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1" w:rightFromText="181" w:bottomFromText="567" w:vertAnchor="text" w:tblpY="1"/>
        <w:tblOverlap w:val="never"/>
        <w:tblW w:w="5000" w:type="pct"/>
        <w:tblBorders>
          <w:top w:val="none" w:sz="0" w:space="0" w:color="auto"/>
          <w:left w:val="none" w:sz="0" w:space="0" w:color="auto"/>
          <w:bottom w:val="single" w:sz="12" w:space="0" w:color="213563" w:themeColor="text1"/>
          <w:right w:val="none" w:sz="0" w:space="0" w:color="auto"/>
          <w:insideH w:val="none" w:sz="0" w:space="0" w:color="auto"/>
          <w:insideV w:val="none" w:sz="0" w:space="0" w:color="auto"/>
        </w:tblBorders>
        <w:shd w:val="clear" w:color="auto" w:fill="213563" w:themeFill="text1"/>
        <w:tblCellMar>
          <w:left w:w="0" w:type="dxa"/>
          <w:right w:w="0" w:type="dxa"/>
        </w:tblCellMar>
        <w:tblLook w:val="04A0" w:firstRow="1" w:lastRow="0" w:firstColumn="1" w:lastColumn="0" w:noHBand="0" w:noVBand="1"/>
      </w:tblPr>
      <w:tblGrid>
        <w:gridCol w:w="10466"/>
      </w:tblGrid>
      <w:tr w:rsidR="00753494" w:rsidRPr="008952DF" w14:paraId="3F2AC534" w14:textId="77777777" w:rsidTr="0068227F">
        <w:trPr>
          <w:trHeight w:val="711"/>
        </w:trPr>
        <w:tc>
          <w:tcPr>
            <w:tcW w:w="10466" w:type="dxa"/>
            <w:shd w:val="clear" w:color="auto" w:fill="213563" w:themeFill="text1"/>
            <w:vAlign w:val="center"/>
          </w:tcPr>
          <w:p w14:paraId="37792FC7" w14:textId="77777777" w:rsidR="00753494" w:rsidRPr="008952DF" w:rsidRDefault="00753494" w:rsidP="00A01973">
            <w:pPr>
              <w:spacing w:after="0"/>
              <w:ind w:right="170"/>
              <w:jc w:val="right"/>
            </w:pPr>
            <w:bookmarkStart w:id="0" w:name="_Toc33020989"/>
            <w:r w:rsidRPr="008952DF">
              <w:rPr>
                <w:noProof/>
                <w:lang w:eastAsia="en-GB"/>
              </w:rPr>
              <w:drawing>
                <wp:inline distT="0" distB="0" distL="0" distR="0" wp14:anchorId="64561033" wp14:editId="54B860CC">
                  <wp:extent cx="2159995" cy="2738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2159995" cy="273802"/>
                          </a:xfrm>
                          <a:prstGeom prst="rect">
                            <a:avLst/>
                          </a:prstGeom>
                        </pic:spPr>
                      </pic:pic>
                    </a:graphicData>
                  </a:graphic>
                </wp:inline>
              </w:drawing>
            </w:r>
          </w:p>
        </w:tc>
      </w:tr>
    </w:tbl>
    <w:sdt>
      <w:sdtPr>
        <w:rPr>
          <w:noProof/>
        </w:rPr>
        <w:id w:val="-1582743121"/>
        <w:picture/>
      </w:sdtPr>
      <w:sdtEndPr/>
      <w:sdtContent>
        <w:p w14:paraId="66DC228C" w14:textId="77777777" w:rsidR="00753494" w:rsidRDefault="00322E3A" w:rsidP="00753494">
          <w:pPr>
            <w:spacing w:after="0" w:line="240" w:lineRule="auto"/>
          </w:pPr>
          <w:r w:rsidRPr="00D902BB">
            <w:rPr>
              <w:noProof/>
            </w:rPr>
            <w:drawing>
              <wp:inline distT="0" distB="0" distL="0" distR="0" wp14:anchorId="40665E02" wp14:editId="32313BC8">
                <wp:extent cx="6619875" cy="3295369"/>
                <wp:effectExtent l="0" t="0" r="0" b="635"/>
                <wp:docPr id="1" name="Picture 1" descr="A collage of building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buildings and flowers&#10;&#10;AI-generated content may be incorrect."/>
                        <pic:cNvPicPr>
                          <a:picLocks noChangeAspect="1" noChangeArrowheads="1"/>
                        </pic:cNvPicPr>
                      </pic:nvPicPr>
                      <pic:blipFill rotWithShape="1">
                        <a:blip r:embed="rId12"/>
                        <a:srcRect t="7186" r="440" b="21767"/>
                        <a:stretch>
                          <a:fillRect/>
                        </a:stretch>
                      </pic:blipFill>
                      <pic:spPr bwMode="auto">
                        <a:xfrm>
                          <a:off x="0" y="0"/>
                          <a:ext cx="6621681" cy="3296268"/>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bl>
      <w:tblPr>
        <w:tblStyle w:val="TableGrid"/>
        <w:tblpPr w:leftFromText="181" w:rightFromText="181" w:vertAnchor="text" w:tblpY="1"/>
        <w:tblOverlap w:val="never"/>
        <w:tblW w:w="5000" w:type="pct"/>
        <w:tblBorders>
          <w:top w:val="none" w:sz="0" w:space="0" w:color="auto"/>
          <w:left w:val="none" w:sz="0" w:space="0" w:color="auto"/>
          <w:bottom w:val="single" w:sz="12" w:space="0" w:color="213563" w:themeColor="text1"/>
          <w:right w:val="none" w:sz="0" w:space="0" w:color="auto"/>
          <w:insideH w:val="none" w:sz="0" w:space="0" w:color="auto"/>
          <w:insideV w:val="none" w:sz="0" w:space="0" w:color="auto"/>
        </w:tblBorders>
        <w:shd w:val="clear" w:color="auto" w:fill="213563" w:themeFill="text1"/>
        <w:tblCellMar>
          <w:top w:w="227" w:type="dxa"/>
          <w:left w:w="0" w:type="dxa"/>
          <w:right w:w="0" w:type="dxa"/>
        </w:tblCellMar>
        <w:tblLook w:val="04A0" w:firstRow="1" w:lastRow="0" w:firstColumn="1" w:lastColumn="0" w:noHBand="0" w:noVBand="1"/>
      </w:tblPr>
      <w:tblGrid>
        <w:gridCol w:w="10466"/>
      </w:tblGrid>
      <w:tr w:rsidR="00753494" w:rsidRPr="008952DF" w14:paraId="2FC30AE7" w14:textId="77777777" w:rsidTr="001F2AA4">
        <w:trPr>
          <w:trHeight w:val="5443"/>
        </w:trPr>
        <w:tc>
          <w:tcPr>
            <w:tcW w:w="10466" w:type="dxa"/>
            <w:shd w:val="clear" w:color="auto" w:fill="213563" w:themeFill="text1"/>
            <w:vAlign w:val="center"/>
          </w:tcPr>
          <w:p w14:paraId="262639B7" w14:textId="77777777" w:rsidR="001F2AA4" w:rsidRDefault="004512B7" w:rsidP="00210CEB">
            <w:pPr>
              <w:pStyle w:val="Title"/>
            </w:pPr>
            <w:r>
              <w:t xml:space="preserve">Sustainability Appraisal </w:t>
            </w:r>
          </w:p>
          <w:p w14:paraId="2380E7B1" w14:textId="77777777" w:rsidR="00753494" w:rsidRPr="001C69E7" w:rsidRDefault="004512B7" w:rsidP="00210CEB">
            <w:pPr>
              <w:pStyle w:val="Title"/>
            </w:pPr>
            <w:r>
              <w:t>Torbay Local Plan 2025-2045: A Landscape to Thrive</w:t>
            </w:r>
          </w:p>
          <w:p w14:paraId="23452C59" w14:textId="77777777" w:rsidR="00753494" w:rsidRPr="008952DF" w:rsidRDefault="004512B7" w:rsidP="00210CEB">
            <w:pPr>
              <w:pStyle w:val="Subtitle"/>
            </w:pPr>
            <w:r>
              <w:t>Regulation 18 Draft Plan: November 2025</w:t>
            </w:r>
          </w:p>
        </w:tc>
      </w:tr>
    </w:tbl>
    <w:p w14:paraId="68861F13" w14:textId="77777777" w:rsidR="00753494" w:rsidRDefault="00753494" w:rsidP="00753494">
      <w:pPr>
        <w:spacing w:after="120" w:line="264" w:lineRule="auto"/>
      </w:pPr>
      <w:r>
        <w:br w:type="page"/>
      </w:r>
    </w:p>
    <w:bookmarkEnd w:id="0" w:displacedByCustomXml="next"/>
    <w:bookmarkStart w:id="1" w:name="_Toc215139999" w:displacedByCustomXml="next"/>
    <w:sdt>
      <w:sdtPr>
        <w:rPr>
          <w:rFonts w:asciiTheme="minorHAnsi" w:eastAsiaTheme="minorEastAsia" w:hAnsiTheme="minorHAnsi" w:cstheme="minorBidi"/>
          <w:color w:val="auto"/>
          <w:sz w:val="24"/>
          <w:szCs w:val="21"/>
        </w:rPr>
        <w:id w:val="-720285372"/>
        <w:docPartObj>
          <w:docPartGallery w:val="Table of Contents"/>
          <w:docPartUnique/>
        </w:docPartObj>
      </w:sdtPr>
      <w:sdtEndPr>
        <w:rPr>
          <w:b/>
          <w:bCs/>
          <w:noProof/>
        </w:rPr>
      </w:sdtEndPr>
      <w:sdtContent>
        <w:p w14:paraId="7C630FF7" w14:textId="77777777" w:rsidR="001C34F1" w:rsidRDefault="001C34F1" w:rsidP="00326CB9">
          <w:pPr>
            <w:pStyle w:val="Heading1nonumber"/>
          </w:pPr>
          <w:r>
            <w:t>Table of Contents</w:t>
          </w:r>
          <w:bookmarkEnd w:id="1"/>
        </w:p>
        <w:p w14:paraId="7F685E6D" w14:textId="77777777" w:rsidR="003B0D74" w:rsidRDefault="001C34F1">
          <w:pPr>
            <w:pStyle w:val="TOC1"/>
            <w:tabs>
              <w:tab w:val="right" w:leader="dot" w:pos="10456"/>
            </w:tabs>
            <w:rPr>
              <w:b w:val="0"/>
              <w:noProof/>
              <w:kern w:val="2"/>
              <w:szCs w:val="24"/>
              <w:lang w:eastAsia="en-GB"/>
              <w14:ligatures w14:val="standardContextual"/>
            </w:rPr>
          </w:pPr>
          <w:r>
            <w:rPr>
              <w:b w:val="0"/>
            </w:rPr>
            <w:fldChar w:fldCharType="begin"/>
          </w:r>
          <w:r>
            <w:rPr>
              <w:b w:val="0"/>
            </w:rPr>
            <w:instrText xml:space="preserve"> TOC \o "1-2" \h \z \u </w:instrText>
          </w:r>
          <w:r>
            <w:rPr>
              <w:b w:val="0"/>
            </w:rPr>
            <w:fldChar w:fldCharType="separate"/>
          </w:r>
          <w:hyperlink w:anchor="_Toc215139999" w:history="1">
            <w:r w:rsidR="003B0D74" w:rsidRPr="00D21259">
              <w:rPr>
                <w:rStyle w:val="Hyperlink"/>
                <w:noProof/>
              </w:rPr>
              <w:t>Table of Contents</w:t>
            </w:r>
            <w:r w:rsidR="003B0D74">
              <w:rPr>
                <w:noProof/>
                <w:webHidden/>
              </w:rPr>
              <w:tab/>
            </w:r>
            <w:r w:rsidR="003B0D74">
              <w:rPr>
                <w:noProof/>
                <w:webHidden/>
              </w:rPr>
              <w:fldChar w:fldCharType="begin"/>
            </w:r>
            <w:r w:rsidR="003B0D74">
              <w:rPr>
                <w:noProof/>
                <w:webHidden/>
              </w:rPr>
              <w:instrText xml:space="preserve"> PAGEREF _Toc215139999 \h </w:instrText>
            </w:r>
            <w:r w:rsidR="003B0D74">
              <w:rPr>
                <w:noProof/>
                <w:webHidden/>
              </w:rPr>
            </w:r>
            <w:r w:rsidR="003B0D74">
              <w:rPr>
                <w:noProof/>
                <w:webHidden/>
              </w:rPr>
              <w:fldChar w:fldCharType="separate"/>
            </w:r>
            <w:r w:rsidR="003B0D74">
              <w:rPr>
                <w:noProof/>
                <w:webHidden/>
              </w:rPr>
              <w:t>2</w:t>
            </w:r>
            <w:r w:rsidR="003B0D74">
              <w:rPr>
                <w:noProof/>
                <w:webHidden/>
              </w:rPr>
              <w:fldChar w:fldCharType="end"/>
            </w:r>
          </w:hyperlink>
        </w:p>
        <w:p w14:paraId="61FB8AC9" w14:textId="77777777" w:rsidR="003B0D74" w:rsidRDefault="003B0D74">
          <w:pPr>
            <w:pStyle w:val="TOC1"/>
            <w:tabs>
              <w:tab w:val="right" w:leader="dot" w:pos="10456"/>
            </w:tabs>
            <w:rPr>
              <w:b w:val="0"/>
              <w:noProof/>
              <w:kern w:val="2"/>
              <w:szCs w:val="24"/>
              <w:lang w:eastAsia="en-GB"/>
              <w14:ligatures w14:val="standardContextual"/>
            </w:rPr>
          </w:pPr>
          <w:hyperlink w:anchor="_Toc215140000" w:history="1">
            <w:r w:rsidRPr="00D21259">
              <w:rPr>
                <w:rStyle w:val="Hyperlink"/>
                <w:noProof/>
              </w:rPr>
              <w:t>Non-Technical Summary</w:t>
            </w:r>
            <w:r>
              <w:rPr>
                <w:noProof/>
                <w:webHidden/>
              </w:rPr>
              <w:tab/>
            </w:r>
            <w:r>
              <w:rPr>
                <w:noProof/>
                <w:webHidden/>
              </w:rPr>
              <w:fldChar w:fldCharType="begin"/>
            </w:r>
            <w:r>
              <w:rPr>
                <w:noProof/>
                <w:webHidden/>
              </w:rPr>
              <w:instrText xml:space="preserve"> PAGEREF _Toc215140000 \h </w:instrText>
            </w:r>
            <w:r>
              <w:rPr>
                <w:noProof/>
                <w:webHidden/>
              </w:rPr>
            </w:r>
            <w:r>
              <w:rPr>
                <w:noProof/>
                <w:webHidden/>
              </w:rPr>
              <w:fldChar w:fldCharType="separate"/>
            </w:r>
            <w:r>
              <w:rPr>
                <w:noProof/>
                <w:webHidden/>
              </w:rPr>
              <w:t>4</w:t>
            </w:r>
            <w:r>
              <w:rPr>
                <w:noProof/>
                <w:webHidden/>
              </w:rPr>
              <w:fldChar w:fldCharType="end"/>
            </w:r>
          </w:hyperlink>
        </w:p>
        <w:p w14:paraId="0A081F5C" w14:textId="77777777" w:rsidR="003B0D74" w:rsidRDefault="003B0D74">
          <w:pPr>
            <w:pStyle w:val="TOC1"/>
            <w:tabs>
              <w:tab w:val="left" w:pos="480"/>
              <w:tab w:val="right" w:leader="dot" w:pos="10456"/>
            </w:tabs>
            <w:rPr>
              <w:b w:val="0"/>
              <w:noProof/>
              <w:kern w:val="2"/>
              <w:szCs w:val="24"/>
              <w:lang w:eastAsia="en-GB"/>
              <w14:ligatures w14:val="standardContextual"/>
            </w:rPr>
          </w:pPr>
          <w:hyperlink w:anchor="_Toc215140001" w:history="1">
            <w:r w:rsidRPr="00D21259">
              <w:rPr>
                <w:rStyle w:val="Hyperlink"/>
                <w:noProof/>
              </w:rPr>
              <w:t>1</w:t>
            </w:r>
            <w:r>
              <w:rPr>
                <w:b w:val="0"/>
                <w:noProof/>
                <w:kern w:val="2"/>
                <w:szCs w:val="24"/>
                <w:lang w:eastAsia="en-GB"/>
                <w14:ligatures w14:val="standardContextual"/>
              </w:rPr>
              <w:tab/>
            </w:r>
            <w:r w:rsidRPr="00D21259">
              <w:rPr>
                <w:rStyle w:val="Hyperlink"/>
                <w:noProof/>
              </w:rPr>
              <w:t>Introduction</w:t>
            </w:r>
            <w:r>
              <w:rPr>
                <w:noProof/>
                <w:webHidden/>
              </w:rPr>
              <w:tab/>
            </w:r>
            <w:r>
              <w:rPr>
                <w:noProof/>
                <w:webHidden/>
              </w:rPr>
              <w:fldChar w:fldCharType="begin"/>
            </w:r>
            <w:r>
              <w:rPr>
                <w:noProof/>
                <w:webHidden/>
              </w:rPr>
              <w:instrText xml:space="preserve"> PAGEREF _Toc215140001 \h </w:instrText>
            </w:r>
            <w:r>
              <w:rPr>
                <w:noProof/>
                <w:webHidden/>
              </w:rPr>
            </w:r>
            <w:r>
              <w:rPr>
                <w:noProof/>
                <w:webHidden/>
              </w:rPr>
              <w:fldChar w:fldCharType="separate"/>
            </w:r>
            <w:r>
              <w:rPr>
                <w:noProof/>
                <w:webHidden/>
              </w:rPr>
              <w:t>11</w:t>
            </w:r>
            <w:r>
              <w:rPr>
                <w:noProof/>
                <w:webHidden/>
              </w:rPr>
              <w:fldChar w:fldCharType="end"/>
            </w:r>
          </w:hyperlink>
        </w:p>
        <w:p w14:paraId="74A7B3D5" w14:textId="77777777" w:rsidR="003B0D74" w:rsidRDefault="003B0D74">
          <w:pPr>
            <w:pStyle w:val="TOC2"/>
            <w:rPr>
              <w:noProof/>
              <w:kern w:val="2"/>
              <w:szCs w:val="24"/>
              <w:lang w:eastAsia="en-GB"/>
              <w14:ligatures w14:val="standardContextual"/>
            </w:rPr>
          </w:pPr>
          <w:hyperlink w:anchor="_Toc215140002" w:history="1">
            <w:r w:rsidRPr="00D21259">
              <w:rPr>
                <w:rStyle w:val="Hyperlink"/>
                <w:noProof/>
              </w:rPr>
              <w:t>1.1</w:t>
            </w:r>
            <w:r>
              <w:rPr>
                <w:noProof/>
                <w:kern w:val="2"/>
                <w:szCs w:val="24"/>
                <w:lang w:eastAsia="en-GB"/>
                <w14:ligatures w14:val="standardContextual"/>
              </w:rPr>
              <w:tab/>
            </w:r>
            <w:r w:rsidRPr="00D21259">
              <w:rPr>
                <w:rStyle w:val="Hyperlink"/>
                <w:noProof/>
              </w:rPr>
              <w:t>Background</w:t>
            </w:r>
            <w:r>
              <w:rPr>
                <w:noProof/>
                <w:webHidden/>
              </w:rPr>
              <w:tab/>
            </w:r>
            <w:r>
              <w:rPr>
                <w:noProof/>
                <w:webHidden/>
              </w:rPr>
              <w:fldChar w:fldCharType="begin"/>
            </w:r>
            <w:r>
              <w:rPr>
                <w:noProof/>
                <w:webHidden/>
              </w:rPr>
              <w:instrText xml:space="preserve"> PAGEREF _Toc215140002 \h </w:instrText>
            </w:r>
            <w:r>
              <w:rPr>
                <w:noProof/>
                <w:webHidden/>
              </w:rPr>
            </w:r>
            <w:r>
              <w:rPr>
                <w:noProof/>
                <w:webHidden/>
              </w:rPr>
              <w:fldChar w:fldCharType="separate"/>
            </w:r>
            <w:r>
              <w:rPr>
                <w:noProof/>
                <w:webHidden/>
              </w:rPr>
              <w:t>11</w:t>
            </w:r>
            <w:r>
              <w:rPr>
                <w:noProof/>
                <w:webHidden/>
              </w:rPr>
              <w:fldChar w:fldCharType="end"/>
            </w:r>
          </w:hyperlink>
        </w:p>
        <w:p w14:paraId="60AAE10C" w14:textId="77777777" w:rsidR="003B0D74" w:rsidRDefault="003B0D74">
          <w:pPr>
            <w:pStyle w:val="TOC2"/>
            <w:rPr>
              <w:noProof/>
              <w:kern w:val="2"/>
              <w:szCs w:val="24"/>
              <w:lang w:eastAsia="en-GB"/>
              <w14:ligatures w14:val="standardContextual"/>
            </w:rPr>
          </w:pPr>
          <w:hyperlink w:anchor="_Toc215140003" w:history="1">
            <w:r w:rsidRPr="00D21259">
              <w:rPr>
                <w:rStyle w:val="Hyperlink"/>
                <w:noProof/>
              </w:rPr>
              <w:t>1.2</w:t>
            </w:r>
            <w:r>
              <w:rPr>
                <w:noProof/>
                <w:kern w:val="2"/>
                <w:szCs w:val="24"/>
                <w:lang w:eastAsia="en-GB"/>
                <w14:ligatures w14:val="standardContextual"/>
              </w:rPr>
              <w:tab/>
            </w:r>
            <w:r w:rsidRPr="00D21259">
              <w:rPr>
                <w:rStyle w:val="Hyperlink"/>
                <w:noProof/>
              </w:rPr>
              <w:t>The Torbay Local Plan</w:t>
            </w:r>
            <w:r>
              <w:rPr>
                <w:noProof/>
                <w:webHidden/>
              </w:rPr>
              <w:tab/>
            </w:r>
            <w:r>
              <w:rPr>
                <w:noProof/>
                <w:webHidden/>
              </w:rPr>
              <w:fldChar w:fldCharType="begin"/>
            </w:r>
            <w:r>
              <w:rPr>
                <w:noProof/>
                <w:webHidden/>
              </w:rPr>
              <w:instrText xml:space="preserve"> PAGEREF _Toc215140003 \h </w:instrText>
            </w:r>
            <w:r>
              <w:rPr>
                <w:noProof/>
                <w:webHidden/>
              </w:rPr>
            </w:r>
            <w:r>
              <w:rPr>
                <w:noProof/>
                <w:webHidden/>
              </w:rPr>
              <w:fldChar w:fldCharType="separate"/>
            </w:r>
            <w:r>
              <w:rPr>
                <w:noProof/>
                <w:webHidden/>
              </w:rPr>
              <w:t>11</w:t>
            </w:r>
            <w:r>
              <w:rPr>
                <w:noProof/>
                <w:webHidden/>
              </w:rPr>
              <w:fldChar w:fldCharType="end"/>
            </w:r>
          </w:hyperlink>
        </w:p>
        <w:p w14:paraId="16886E24" w14:textId="77777777" w:rsidR="003B0D74" w:rsidRDefault="003B0D74">
          <w:pPr>
            <w:pStyle w:val="TOC2"/>
            <w:rPr>
              <w:noProof/>
              <w:kern w:val="2"/>
              <w:szCs w:val="24"/>
              <w:lang w:eastAsia="en-GB"/>
              <w14:ligatures w14:val="standardContextual"/>
            </w:rPr>
          </w:pPr>
          <w:hyperlink w:anchor="_Toc215140004" w:history="1">
            <w:r w:rsidRPr="00D21259">
              <w:rPr>
                <w:rStyle w:val="Hyperlink"/>
                <w:noProof/>
              </w:rPr>
              <w:t>1.3</w:t>
            </w:r>
            <w:r>
              <w:rPr>
                <w:noProof/>
                <w:kern w:val="2"/>
                <w:szCs w:val="24"/>
                <w:lang w:eastAsia="en-GB"/>
                <w14:ligatures w14:val="standardContextual"/>
              </w:rPr>
              <w:tab/>
            </w:r>
            <w:r w:rsidRPr="00D21259">
              <w:rPr>
                <w:rStyle w:val="Hyperlink"/>
                <w:noProof/>
              </w:rPr>
              <w:t>The Plan Area</w:t>
            </w:r>
            <w:r>
              <w:rPr>
                <w:noProof/>
                <w:webHidden/>
              </w:rPr>
              <w:tab/>
            </w:r>
            <w:r>
              <w:rPr>
                <w:noProof/>
                <w:webHidden/>
              </w:rPr>
              <w:fldChar w:fldCharType="begin"/>
            </w:r>
            <w:r>
              <w:rPr>
                <w:noProof/>
                <w:webHidden/>
              </w:rPr>
              <w:instrText xml:space="preserve"> PAGEREF _Toc215140004 \h </w:instrText>
            </w:r>
            <w:r>
              <w:rPr>
                <w:noProof/>
                <w:webHidden/>
              </w:rPr>
            </w:r>
            <w:r>
              <w:rPr>
                <w:noProof/>
                <w:webHidden/>
              </w:rPr>
              <w:fldChar w:fldCharType="separate"/>
            </w:r>
            <w:r>
              <w:rPr>
                <w:noProof/>
                <w:webHidden/>
              </w:rPr>
              <w:t>12</w:t>
            </w:r>
            <w:r>
              <w:rPr>
                <w:noProof/>
                <w:webHidden/>
              </w:rPr>
              <w:fldChar w:fldCharType="end"/>
            </w:r>
          </w:hyperlink>
        </w:p>
        <w:p w14:paraId="0AF61A52" w14:textId="77777777" w:rsidR="003B0D74" w:rsidRDefault="003B0D74">
          <w:pPr>
            <w:pStyle w:val="TOC2"/>
            <w:rPr>
              <w:noProof/>
              <w:kern w:val="2"/>
              <w:szCs w:val="24"/>
              <w:lang w:eastAsia="en-GB"/>
              <w14:ligatures w14:val="standardContextual"/>
            </w:rPr>
          </w:pPr>
          <w:hyperlink w:anchor="_Toc215140005" w:history="1">
            <w:r w:rsidRPr="00D21259">
              <w:rPr>
                <w:rStyle w:val="Hyperlink"/>
                <w:noProof/>
              </w:rPr>
              <w:t>1.4</w:t>
            </w:r>
            <w:r>
              <w:rPr>
                <w:noProof/>
                <w:kern w:val="2"/>
                <w:szCs w:val="24"/>
                <w:lang w:eastAsia="en-GB"/>
                <w14:ligatures w14:val="standardContextual"/>
              </w:rPr>
              <w:tab/>
            </w:r>
            <w:r w:rsidRPr="00D21259">
              <w:rPr>
                <w:rStyle w:val="Hyperlink"/>
                <w:noProof/>
              </w:rPr>
              <w:t>Linkages to other Assessments</w:t>
            </w:r>
            <w:r>
              <w:rPr>
                <w:noProof/>
                <w:webHidden/>
              </w:rPr>
              <w:tab/>
            </w:r>
            <w:r>
              <w:rPr>
                <w:noProof/>
                <w:webHidden/>
              </w:rPr>
              <w:fldChar w:fldCharType="begin"/>
            </w:r>
            <w:r>
              <w:rPr>
                <w:noProof/>
                <w:webHidden/>
              </w:rPr>
              <w:instrText xml:space="preserve"> PAGEREF _Toc215140005 \h </w:instrText>
            </w:r>
            <w:r>
              <w:rPr>
                <w:noProof/>
                <w:webHidden/>
              </w:rPr>
            </w:r>
            <w:r>
              <w:rPr>
                <w:noProof/>
                <w:webHidden/>
              </w:rPr>
              <w:fldChar w:fldCharType="separate"/>
            </w:r>
            <w:r>
              <w:rPr>
                <w:noProof/>
                <w:webHidden/>
              </w:rPr>
              <w:t>14</w:t>
            </w:r>
            <w:r>
              <w:rPr>
                <w:noProof/>
                <w:webHidden/>
              </w:rPr>
              <w:fldChar w:fldCharType="end"/>
            </w:r>
          </w:hyperlink>
        </w:p>
        <w:p w14:paraId="1E5C7AF5" w14:textId="77777777" w:rsidR="003B0D74" w:rsidRDefault="003B0D74">
          <w:pPr>
            <w:pStyle w:val="TOC2"/>
            <w:rPr>
              <w:noProof/>
              <w:kern w:val="2"/>
              <w:szCs w:val="24"/>
              <w:lang w:eastAsia="en-GB"/>
              <w14:ligatures w14:val="standardContextual"/>
            </w:rPr>
          </w:pPr>
          <w:hyperlink w:anchor="_Toc215140006" w:history="1">
            <w:r w:rsidRPr="00D21259">
              <w:rPr>
                <w:rStyle w:val="Hyperlink"/>
                <w:noProof/>
              </w:rPr>
              <w:t>1.5</w:t>
            </w:r>
            <w:r>
              <w:rPr>
                <w:noProof/>
                <w:kern w:val="2"/>
                <w:szCs w:val="24"/>
                <w:lang w:eastAsia="en-GB"/>
                <w14:ligatures w14:val="standardContextual"/>
              </w:rPr>
              <w:tab/>
            </w:r>
            <w:r w:rsidRPr="00D21259">
              <w:rPr>
                <w:rStyle w:val="Hyperlink"/>
                <w:noProof/>
              </w:rPr>
              <w:t>Habitats Regulations Assessment</w:t>
            </w:r>
            <w:r>
              <w:rPr>
                <w:noProof/>
                <w:webHidden/>
              </w:rPr>
              <w:tab/>
            </w:r>
            <w:r>
              <w:rPr>
                <w:noProof/>
                <w:webHidden/>
              </w:rPr>
              <w:fldChar w:fldCharType="begin"/>
            </w:r>
            <w:r>
              <w:rPr>
                <w:noProof/>
                <w:webHidden/>
              </w:rPr>
              <w:instrText xml:space="preserve"> PAGEREF _Toc215140006 \h </w:instrText>
            </w:r>
            <w:r>
              <w:rPr>
                <w:noProof/>
                <w:webHidden/>
              </w:rPr>
            </w:r>
            <w:r>
              <w:rPr>
                <w:noProof/>
                <w:webHidden/>
              </w:rPr>
              <w:fldChar w:fldCharType="separate"/>
            </w:r>
            <w:r>
              <w:rPr>
                <w:noProof/>
                <w:webHidden/>
              </w:rPr>
              <w:t>14</w:t>
            </w:r>
            <w:r>
              <w:rPr>
                <w:noProof/>
                <w:webHidden/>
              </w:rPr>
              <w:fldChar w:fldCharType="end"/>
            </w:r>
          </w:hyperlink>
        </w:p>
        <w:p w14:paraId="5CE5C133" w14:textId="77777777" w:rsidR="003B0D74" w:rsidRDefault="003B0D74">
          <w:pPr>
            <w:pStyle w:val="TOC2"/>
            <w:rPr>
              <w:noProof/>
              <w:kern w:val="2"/>
              <w:szCs w:val="24"/>
              <w:lang w:eastAsia="en-GB"/>
              <w14:ligatures w14:val="standardContextual"/>
            </w:rPr>
          </w:pPr>
          <w:hyperlink w:anchor="_Toc215140007" w:history="1">
            <w:r w:rsidRPr="00D21259">
              <w:rPr>
                <w:rStyle w:val="Hyperlink"/>
                <w:noProof/>
              </w:rPr>
              <w:t>1.6</w:t>
            </w:r>
            <w:r>
              <w:rPr>
                <w:noProof/>
                <w:kern w:val="2"/>
                <w:szCs w:val="24"/>
                <w:lang w:eastAsia="en-GB"/>
                <w14:ligatures w14:val="standardContextual"/>
              </w:rPr>
              <w:tab/>
            </w:r>
            <w:r w:rsidRPr="00D21259">
              <w:rPr>
                <w:rStyle w:val="Hyperlink"/>
                <w:noProof/>
              </w:rPr>
              <w:t>Equality Impact Assessment</w:t>
            </w:r>
            <w:r>
              <w:rPr>
                <w:noProof/>
                <w:webHidden/>
              </w:rPr>
              <w:tab/>
            </w:r>
            <w:r>
              <w:rPr>
                <w:noProof/>
                <w:webHidden/>
              </w:rPr>
              <w:fldChar w:fldCharType="begin"/>
            </w:r>
            <w:r>
              <w:rPr>
                <w:noProof/>
                <w:webHidden/>
              </w:rPr>
              <w:instrText xml:space="preserve"> PAGEREF _Toc215140007 \h </w:instrText>
            </w:r>
            <w:r>
              <w:rPr>
                <w:noProof/>
                <w:webHidden/>
              </w:rPr>
            </w:r>
            <w:r>
              <w:rPr>
                <w:noProof/>
                <w:webHidden/>
              </w:rPr>
              <w:fldChar w:fldCharType="separate"/>
            </w:r>
            <w:r>
              <w:rPr>
                <w:noProof/>
                <w:webHidden/>
              </w:rPr>
              <w:t>14</w:t>
            </w:r>
            <w:r>
              <w:rPr>
                <w:noProof/>
                <w:webHidden/>
              </w:rPr>
              <w:fldChar w:fldCharType="end"/>
            </w:r>
          </w:hyperlink>
        </w:p>
        <w:p w14:paraId="7531A434" w14:textId="77777777" w:rsidR="003B0D74" w:rsidRDefault="003B0D74">
          <w:pPr>
            <w:pStyle w:val="TOC2"/>
            <w:rPr>
              <w:noProof/>
              <w:kern w:val="2"/>
              <w:szCs w:val="24"/>
              <w:lang w:eastAsia="en-GB"/>
              <w14:ligatures w14:val="standardContextual"/>
            </w:rPr>
          </w:pPr>
          <w:hyperlink w:anchor="_Toc215140008" w:history="1">
            <w:r w:rsidRPr="00D21259">
              <w:rPr>
                <w:rStyle w:val="Hyperlink"/>
                <w:noProof/>
              </w:rPr>
              <w:t>1.7</w:t>
            </w:r>
            <w:r>
              <w:rPr>
                <w:noProof/>
                <w:kern w:val="2"/>
                <w:szCs w:val="24"/>
                <w:lang w:eastAsia="en-GB"/>
                <w14:ligatures w14:val="standardContextual"/>
              </w:rPr>
              <w:tab/>
            </w:r>
            <w:r w:rsidRPr="00D21259">
              <w:rPr>
                <w:rStyle w:val="Hyperlink"/>
                <w:noProof/>
              </w:rPr>
              <w:t>Health Impact Assessment</w:t>
            </w:r>
            <w:r>
              <w:rPr>
                <w:noProof/>
                <w:webHidden/>
              </w:rPr>
              <w:tab/>
            </w:r>
            <w:r>
              <w:rPr>
                <w:noProof/>
                <w:webHidden/>
              </w:rPr>
              <w:fldChar w:fldCharType="begin"/>
            </w:r>
            <w:r>
              <w:rPr>
                <w:noProof/>
                <w:webHidden/>
              </w:rPr>
              <w:instrText xml:space="preserve"> PAGEREF _Toc215140008 \h </w:instrText>
            </w:r>
            <w:r>
              <w:rPr>
                <w:noProof/>
                <w:webHidden/>
              </w:rPr>
            </w:r>
            <w:r>
              <w:rPr>
                <w:noProof/>
                <w:webHidden/>
              </w:rPr>
              <w:fldChar w:fldCharType="separate"/>
            </w:r>
            <w:r>
              <w:rPr>
                <w:noProof/>
                <w:webHidden/>
              </w:rPr>
              <w:t>15</w:t>
            </w:r>
            <w:r>
              <w:rPr>
                <w:noProof/>
                <w:webHidden/>
              </w:rPr>
              <w:fldChar w:fldCharType="end"/>
            </w:r>
          </w:hyperlink>
        </w:p>
        <w:p w14:paraId="0C756790" w14:textId="77777777" w:rsidR="003B0D74" w:rsidRDefault="003B0D74">
          <w:pPr>
            <w:pStyle w:val="TOC2"/>
            <w:rPr>
              <w:noProof/>
              <w:kern w:val="2"/>
              <w:szCs w:val="24"/>
              <w:lang w:eastAsia="en-GB"/>
              <w14:ligatures w14:val="standardContextual"/>
            </w:rPr>
          </w:pPr>
          <w:hyperlink w:anchor="_Toc215140009" w:history="1">
            <w:r w:rsidRPr="00D21259">
              <w:rPr>
                <w:rStyle w:val="Hyperlink"/>
                <w:noProof/>
              </w:rPr>
              <w:t>1.8</w:t>
            </w:r>
            <w:r>
              <w:rPr>
                <w:noProof/>
                <w:kern w:val="2"/>
                <w:szCs w:val="24"/>
                <w:lang w:eastAsia="en-GB"/>
                <w14:ligatures w14:val="standardContextual"/>
              </w:rPr>
              <w:tab/>
            </w:r>
            <w:r w:rsidRPr="00D21259">
              <w:rPr>
                <w:rStyle w:val="Hyperlink"/>
                <w:noProof/>
              </w:rPr>
              <w:t>Consultation</w:t>
            </w:r>
            <w:r>
              <w:rPr>
                <w:noProof/>
                <w:webHidden/>
              </w:rPr>
              <w:tab/>
            </w:r>
            <w:r>
              <w:rPr>
                <w:noProof/>
                <w:webHidden/>
              </w:rPr>
              <w:fldChar w:fldCharType="begin"/>
            </w:r>
            <w:r>
              <w:rPr>
                <w:noProof/>
                <w:webHidden/>
              </w:rPr>
              <w:instrText xml:space="preserve"> PAGEREF _Toc215140009 \h </w:instrText>
            </w:r>
            <w:r>
              <w:rPr>
                <w:noProof/>
                <w:webHidden/>
              </w:rPr>
            </w:r>
            <w:r>
              <w:rPr>
                <w:noProof/>
                <w:webHidden/>
              </w:rPr>
              <w:fldChar w:fldCharType="separate"/>
            </w:r>
            <w:r>
              <w:rPr>
                <w:noProof/>
                <w:webHidden/>
              </w:rPr>
              <w:t>15</w:t>
            </w:r>
            <w:r>
              <w:rPr>
                <w:noProof/>
                <w:webHidden/>
              </w:rPr>
              <w:fldChar w:fldCharType="end"/>
            </w:r>
          </w:hyperlink>
        </w:p>
        <w:p w14:paraId="0F12BEC8" w14:textId="77777777" w:rsidR="003B0D74" w:rsidRDefault="003B0D74">
          <w:pPr>
            <w:pStyle w:val="TOC2"/>
            <w:rPr>
              <w:noProof/>
              <w:kern w:val="2"/>
              <w:szCs w:val="24"/>
              <w:lang w:eastAsia="en-GB"/>
              <w14:ligatures w14:val="standardContextual"/>
            </w:rPr>
          </w:pPr>
          <w:hyperlink w:anchor="_Toc215140010" w:history="1">
            <w:r w:rsidRPr="00D21259">
              <w:rPr>
                <w:rStyle w:val="Hyperlink"/>
                <w:noProof/>
              </w:rPr>
              <w:t>1.9</w:t>
            </w:r>
            <w:r>
              <w:rPr>
                <w:noProof/>
                <w:kern w:val="2"/>
                <w:szCs w:val="24"/>
                <w:lang w:eastAsia="en-GB"/>
                <w14:ligatures w14:val="standardContextual"/>
              </w:rPr>
              <w:tab/>
            </w:r>
            <w:r w:rsidRPr="00D21259">
              <w:rPr>
                <w:rStyle w:val="Hyperlink"/>
                <w:noProof/>
              </w:rPr>
              <w:t>The Structure of the Report</w:t>
            </w:r>
            <w:r>
              <w:rPr>
                <w:noProof/>
                <w:webHidden/>
              </w:rPr>
              <w:tab/>
            </w:r>
            <w:r>
              <w:rPr>
                <w:noProof/>
                <w:webHidden/>
              </w:rPr>
              <w:fldChar w:fldCharType="begin"/>
            </w:r>
            <w:r>
              <w:rPr>
                <w:noProof/>
                <w:webHidden/>
              </w:rPr>
              <w:instrText xml:space="preserve"> PAGEREF _Toc215140010 \h </w:instrText>
            </w:r>
            <w:r>
              <w:rPr>
                <w:noProof/>
                <w:webHidden/>
              </w:rPr>
            </w:r>
            <w:r>
              <w:rPr>
                <w:noProof/>
                <w:webHidden/>
              </w:rPr>
              <w:fldChar w:fldCharType="separate"/>
            </w:r>
            <w:r>
              <w:rPr>
                <w:noProof/>
                <w:webHidden/>
              </w:rPr>
              <w:t>16</w:t>
            </w:r>
            <w:r>
              <w:rPr>
                <w:noProof/>
                <w:webHidden/>
              </w:rPr>
              <w:fldChar w:fldCharType="end"/>
            </w:r>
          </w:hyperlink>
        </w:p>
        <w:p w14:paraId="5D2DAC5C" w14:textId="77777777" w:rsidR="003B0D74" w:rsidRDefault="003B0D74">
          <w:pPr>
            <w:pStyle w:val="TOC1"/>
            <w:tabs>
              <w:tab w:val="left" w:pos="480"/>
              <w:tab w:val="right" w:leader="dot" w:pos="10456"/>
            </w:tabs>
            <w:rPr>
              <w:b w:val="0"/>
              <w:noProof/>
              <w:kern w:val="2"/>
              <w:szCs w:val="24"/>
              <w:lang w:eastAsia="en-GB"/>
              <w14:ligatures w14:val="standardContextual"/>
            </w:rPr>
          </w:pPr>
          <w:hyperlink w:anchor="_Toc215140011" w:history="1">
            <w:r w:rsidRPr="00D21259">
              <w:rPr>
                <w:rStyle w:val="Hyperlink"/>
                <w:noProof/>
              </w:rPr>
              <w:t>2</w:t>
            </w:r>
            <w:r>
              <w:rPr>
                <w:b w:val="0"/>
                <w:noProof/>
                <w:kern w:val="2"/>
                <w:szCs w:val="24"/>
                <w:lang w:eastAsia="en-GB"/>
                <w14:ligatures w14:val="standardContextual"/>
              </w:rPr>
              <w:tab/>
            </w:r>
            <w:r w:rsidRPr="00D21259">
              <w:rPr>
                <w:rStyle w:val="Hyperlink"/>
                <w:noProof/>
              </w:rPr>
              <w:t>Methodology</w:t>
            </w:r>
            <w:r>
              <w:rPr>
                <w:noProof/>
                <w:webHidden/>
              </w:rPr>
              <w:tab/>
            </w:r>
            <w:r>
              <w:rPr>
                <w:noProof/>
                <w:webHidden/>
              </w:rPr>
              <w:fldChar w:fldCharType="begin"/>
            </w:r>
            <w:r>
              <w:rPr>
                <w:noProof/>
                <w:webHidden/>
              </w:rPr>
              <w:instrText xml:space="preserve"> PAGEREF _Toc215140011 \h </w:instrText>
            </w:r>
            <w:r>
              <w:rPr>
                <w:noProof/>
                <w:webHidden/>
              </w:rPr>
            </w:r>
            <w:r>
              <w:rPr>
                <w:noProof/>
                <w:webHidden/>
              </w:rPr>
              <w:fldChar w:fldCharType="separate"/>
            </w:r>
            <w:r>
              <w:rPr>
                <w:noProof/>
                <w:webHidden/>
              </w:rPr>
              <w:t>17</w:t>
            </w:r>
            <w:r>
              <w:rPr>
                <w:noProof/>
                <w:webHidden/>
              </w:rPr>
              <w:fldChar w:fldCharType="end"/>
            </w:r>
          </w:hyperlink>
        </w:p>
        <w:p w14:paraId="3C3A3DFB" w14:textId="77777777" w:rsidR="003B0D74" w:rsidRDefault="003B0D74">
          <w:pPr>
            <w:pStyle w:val="TOC1"/>
            <w:tabs>
              <w:tab w:val="left" w:pos="480"/>
              <w:tab w:val="right" w:leader="dot" w:pos="10456"/>
            </w:tabs>
            <w:rPr>
              <w:b w:val="0"/>
              <w:noProof/>
              <w:kern w:val="2"/>
              <w:szCs w:val="24"/>
              <w:lang w:eastAsia="en-GB"/>
              <w14:ligatures w14:val="standardContextual"/>
            </w:rPr>
          </w:pPr>
          <w:hyperlink w:anchor="_Toc215140012" w:history="1">
            <w:r w:rsidRPr="00D21259">
              <w:rPr>
                <w:rStyle w:val="Hyperlink"/>
                <w:noProof/>
              </w:rPr>
              <w:t>3</w:t>
            </w:r>
            <w:r>
              <w:rPr>
                <w:b w:val="0"/>
                <w:noProof/>
                <w:kern w:val="2"/>
                <w:szCs w:val="24"/>
                <w:lang w:eastAsia="en-GB"/>
                <w14:ligatures w14:val="standardContextual"/>
              </w:rPr>
              <w:tab/>
            </w:r>
            <w:r w:rsidRPr="00D21259">
              <w:rPr>
                <w:rStyle w:val="Hyperlink"/>
                <w:noProof/>
              </w:rPr>
              <w:t>Summary of Previous Stages</w:t>
            </w:r>
            <w:r>
              <w:rPr>
                <w:noProof/>
                <w:webHidden/>
              </w:rPr>
              <w:tab/>
            </w:r>
            <w:r>
              <w:rPr>
                <w:noProof/>
                <w:webHidden/>
              </w:rPr>
              <w:fldChar w:fldCharType="begin"/>
            </w:r>
            <w:r>
              <w:rPr>
                <w:noProof/>
                <w:webHidden/>
              </w:rPr>
              <w:instrText xml:space="preserve"> PAGEREF _Toc215140012 \h </w:instrText>
            </w:r>
            <w:r>
              <w:rPr>
                <w:noProof/>
                <w:webHidden/>
              </w:rPr>
            </w:r>
            <w:r>
              <w:rPr>
                <w:noProof/>
                <w:webHidden/>
              </w:rPr>
              <w:fldChar w:fldCharType="separate"/>
            </w:r>
            <w:r>
              <w:rPr>
                <w:noProof/>
                <w:webHidden/>
              </w:rPr>
              <w:t>23</w:t>
            </w:r>
            <w:r>
              <w:rPr>
                <w:noProof/>
                <w:webHidden/>
              </w:rPr>
              <w:fldChar w:fldCharType="end"/>
            </w:r>
          </w:hyperlink>
        </w:p>
        <w:p w14:paraId="2168A9FE" w14:textId="77777777" w:rsidR="003B0D74" w:rsidRDefault="003B0D74">
          <w:pPr>
            <w:pStyle w:val="TOC2"/>
            <w:rPr>
              <w:noProof/>
              <w:kern w:val="2"/>
              <w:szCs w:val="24"/>
              <w:lang w:eastAsia="en-GB"/>
              <w14:ligatures w14:val="standardContextual"/>
            </w:rPr>
          </w:pPr>
          <w:hyperlink w:anchor="_Toc215140013" w:history="1">
            <w:r w:rsidRPr="00D21259">
              <w:rPr>
                <w:rStyle w:val="Hyperlink"/>
                <w:noProof/>
              </w:rPr>
              <w:t>3.1</w:t>
            </w:r>
            <w:r>
              <w:rPr>
                <w:noProof/>
                <w:kern w:val="2"/>
                <w:szCs w:val="24"/>
                <w:lang w:eastAsia="en-GB"/>
                <w14:ligatures w14:val="standardContextual"/>
              </w:rPr>
              <w:tab/>
            </w:r>
            <w:r w:rsidRPr="00D21259">
              <w:rPr>
                <w:rStyle w:val="Hyperlink"/>
                <w:noProof/>
              </w:rPr>
              <w:t>Scoping Report</w:t>
            </w:r>
            <w:r>
              <w:rPr>
                <w:noProof/>
                <w:webHidden/>
              </w:rPr>
              <w:tab/>
            </w:r>
            <w:r>
              <w:rPr>
                <w:noProof/>
                <w:webHidden/>
              </w:rPr>
              <w:fldChar w:fldCharType="begin"/>
            </w:r>
            <w:r>
              <w:rPr>
                <w:noProof/>
                <w:webHidden/>
              </w:rPr>
              <w:instrText xml:space="preserve"> PAGEREF _Toc215140013 \h </w:instrText>
            </w:r>
            <w:r>
              <w:rPr>
                <w:noProof/>
                <w:webHidden/>
              </w:rPr>
            </w:r>
            <w:r>
              <w:rPr>
                <w:noProof/>
                <w:webHidden/>
              </w:rPr>
              <w:fldChar w:fldCharType="separate"/>
            </w:r>
            <w:r>
              <w:rPr>
                <w:noProof/>
                <w:webHidden/>
              </w:rPr>
              <w:t>23</w:t>
            </w:r>
            <w:r>
              <w:rPr>
                <w:noProof/>
                <w:webHidden/>
              </w:rPr>
              <w:fldChar w:fldCharType="end"/>
            </w:r>
          </w:hyperlink>
        </w:p>
        <w:p w14:paraId="474E26A7" w14:textId="77777777" w:rsidR="003B0D74" w:rsidRDefault="003B0D74">
          <w:pPr>
            <w:pStyle w:val="TOC2"/>
            <w:rPr>
              <w:noProof/>
              <w:kern w:val="2"/>
              <w:szCs w:val="24"/>
              <w:lang w:eastAsia="en-GB"/>
              <w14:ligatures w14:val="standardContextual"/>
            </w:rPr>
          </w:pPr>
          <w:hyperlink w:anchor="_Toc215140014" w:history="1">
            <w:r w:rsidRPr="00D21259">
              <w:rPr>
                <w:rStyle w:val="Hyperlink"/>
                <w:noProof/>
              </w:rPr>
              <w:t>3.2</w:t>
            </w:r>
            <w:r>
              <w:rPr>
                <w:noProof/>
                <w:kern w:val="2"/>
                <w:szCs w:val="24"/>
                <w:lang w:eastAsia="en-GB"/>
                <w14:ligatures w14:val="standardContextual"/>
              </w:rPr>
              <w:tab/>
            </w:r>
            <w:r w:rsidRPr="00D21259">
              <w:rPr>
                <w:rStyle w:val="Hyperlink"/>
                <w:noProof/>
              </w:rPr>
              <w:t>Assessing Alternatives</w:t>
            </w:r>
            <w:r>
              <w:rPr>
                <w:noProof/>
                <w:webHidden/>
              </w:rPr>
              <w:tab/>
            </w:r>
            <w:r>
              <w:rPr>
                <w:noProof/>
                <w:webHidden/>
              </w:rPr>
              <w:fldChar w:fldCharType="begin"/>
            </w:r>
            <w:r>
              <w:rPr>
                <w:noProof/>
                <w:webHidden/>
              </w:rPr>
              <w:instrText xml:space="preserve"> PAGEREF _Toc215140014 \h </w:instrText>
            </w:r>
            <w:r>
              <w:rPr>
                <w:noProof/>
                <w:webHidden/>
              </w:rPr>
            </w:r>
            <w:r>
              <w:rPr>
                <w:noProof/>
                <w:webHidden/>
              </w:rPr>
              <w:fldChar w:fldCharType="separate"/>
            </w:r>
            <w:r>
              <w:rPr>
                <w:noProof/>
                <w:webHidden/>
              </w:rPr>
              <w:t>23</w:t>
            </w:r>
            <w:r>
              <w:rPr>
                <w:noProof/>
                <w:webHidden/>
              </w:rPr>
              <w:fldChar w:fldCharType="end"/>
            </w:r>
          </w:hyperlink>
        </w:p>
        <w:p w14:paraId="1C2DA30C" w14:textId="77777777" w:rsidR="003B0D74" w:rsidRDefault="003B0D74">
          <w:pPr>
            <w:pStyle w:val="TOC1"/>
            <w:tabs>
              <w:tab w:val="left" w:pos="480"/>
              <w:tab w:val="right" w:leader="dot" w:pos="10456"/>
            </w:tabs>
            <w:rPr>
              <w:b w:val="0"/>
              <w:noProof/>
              <w:kern w:val="2"/>
              <w:szCs w:val="24"/>
              <w:lang w:eastAsia="en-GB"/>
              <w14:ligatures w14:val="standardContextual"/>
            </w:rPr>
          </w:pPr>
          <w:hyperlink w:anchor="_Toc215140015" w:history="1">
            <w:r w:rsidRPr="00D21259">
              <w:rPr>
                <w:rStyle w:val="Hyperlink"/>
                <w:noProof/>
              </w:rPr>
              <w:t>4</w:t>
            </w:r>
            <w:r>
              <w:rPr>
                <w:b w:val="0"/>
                <w:noProof/>
                <w:kern w:val="2"/>
                <w:szCs w:val="24"/>
                <w:lang w:eastAsia="en-GB"/>
                <w14:ligatures w14:val="standardContextual"/>
              </w:rPr>
              <w:tab/>
            </w:r>
            <w:r w:rsidRPr="00D21259">
              <w:rPr>
                <w:rStyle w:val="Hyperlink"/>
                <w:noProof/>
              </w:rPr>
              <w:t>Sustainability Appraisal of Local Plan Spatial Strategy and Area Policies</w:t>
            </w:r>
            <w:r>
              <w:rPr>
                <w:noProof/>
                <w:webHidden/>
              </w:rPr>
              <w:tab/>
            </w:r>
            <w:r>
              <w:rPr>
                <w:noProof/>
                <w:webHidden/>
              </w:rPr>
              <w:fldChar w:fldCharType="begin"/>
            </w:r>
            <w:r>
              <w:rPr>
                <w:noProof/>
                <w:webHidden/>
              </w:rPr>
              <w:instrText xml:space="preserve"> PAGEREF _Toc215140015 \h </w:instrText>
            </w:r>
            <w:r>
              <w:rPr>
                <w:noProof/>
                <w:webHidden/>
              </w:rPr>
            </w:r>
            <w:r>
              <w:rPr>
                <w:noProof/>
                <w:webHidden/>
              </w:rPr>
              <w:fldChar w:fldCharType="separate"/>
            </w:r>
            <w:r>
              <w:rPr>
                <w:noProof/>
                <w:webHidden/>
              </w:rPr>
              <w:t>28</w:t>
            </w:r>
            <w:r>
              <w:rPr>
                <w:noProof/>
                <w:webHidden/>
              </w:rPr>
              <w:fldChar w:fldCharType="end"/>
            </w:r>
          </w:hyperlink>
        </w:p>
        <w:p w14:paraId="1DD4B6B0" w14:textId="77777777" w:rsidR="003B0D74" w:rsidRDefault="003B0D74">
          <w:pPr>
            <w:pStyle w:val="TOC2"/>
            <w:rPr>
              <w:noProof/>
              <w:kern w:val="2"/>
              <w:szCs w:val="24"/>
              <w:lang w:eastAsia="en-GB"/>
              <w14:ligatures w14:val="standardContextual"/>
            </w:rPr>
          </w:pPr>
          <w:hyperlink w:anchor="_Toc215140016" w:history="1">
            <w:r w:rsidRPr="00D21259">
              <w:rPr>
                <w:rStyle w:val="Hyperlink"/>
                <w:noProof/>
              </w:rPr>
              <w:t>4.2</w:t>
            </w:r>
            <w:r>
              <w:rPr>
                <w:noProof/>
                <w:kern w:val="2"/>
                <w:szCs w:val="24"/>
                <w:lang w:eastAsia="en-GB"/>
                <w14:ligatures w14:val="standardContextual"/>
              </w:rPr>
              <w:tab/>
            </w:r>
            <w:r w:rsidRPr="00D21259">
              <w:rPr>
                <w:rStyle w:val="Hyperlink"/>
                <w:noProof/>
              </w:rPr>
              <w:t>Strategic Policy SS1: Torbay Growth Strategy - Prioritising our communities through improved health, housing, place making and opportunities for all  </w:t>
            </w:r>
            <w:r>
              <w:rPr>
                <w:noProof/>
                <w:webHidden/>
              </w:rPr>
              <w:tab/>
            </w:r>
            <w:r>
              <w:rPr>
                <w:noProof/>
                <w:webHidden/>
              </w:rPr>
              <w:fldChar w:fldCharType="begin"/>
            </w:r>
            <w:r>
              <w:rPr>
                <w:noProof/>
                <w:webHidden/>
              </w:rPr>
              <w:instrText xml:space="preserve"> PAGEREF _Toc215140016 \h </w:instrText>
            </w:r>
            <w:r>
              <w:rPr>
                <w:noProof/>
                <w:webHidden/>
              </w:rPr>
            </w:r>
            <w:r>
              <w:rPr>
                <w:noProof/>
                <w:webHidden/>
              </w:rPr>
              <w:fldChar w:fldCharType="separate"/>
            </w:r>
            <w:r>
              <w:rPr>
                <w:noProof/>
                <w:webHidden/>
              </w:rPr>
              <w:t>28</w:t>
            </w:r>
            <w:r>
              <w:rPr>
                <w:noProof/>
                <w:webHidden/>
              </w:rPr>
              <w:fldChar w:fldCharType="end"/>
            </w:r>
          </w:hyperlink>
        </w:p>
        <w:p w14:paraId="047141AD" w14:textId="77777777" w:rsidR="003B0D74" w:rsidRDefault="003B0D74">
          <w:pPr>
            <w:pStyle w:val="TOC2"/>
            <w:rPr>
              <w:noProof/>
              <w:kern w:val="2"/>
              <w:szCs w:val="24"/>
              <w:lang w:eastAsia="en-GB"/>
              <w14:ligatures w14:val="standardContextual"/>
            </w:rPr>
          </w:pPr>
          <w:hyperlink w:anchor="_Toc215140017" w:history="1">
            <w:r w:rsidRPr="00D21259">
              <w:rPr>
                <w:rStyle w:val="Hyperlink"/>
                <w:noProof/>
              </w:rPr>
              <w:t>4.3</w:t>
            </w:r>
            <w:r>
              <w:rPr>
                <w:noProof/>
                <w:kern w:val="2"/>
                <w:szCs w:val="24"/>
                <w:lang w:eastAsia="en-GB"/>
                <w14:ligatures w14:val="standardContextual"/>
              </w:rPr>
              <w:tab/>
            </w:r>
            <w:r w:rsidRPr="00D21259">
              <w:rPr>
                <w:rStyle w:val="Hyperlink"/>
                <w:noProof/>
              </w:rPr>
              <w:t>Strategic Policy SDT1: Torquay – A strategy for sustainable growth</w:t>
            </w:r>
            <w:r>
              <w:rPr>
                <w:noProof/>
                <w:webHidden/>
              </w:rPr>
              <w:tab/>
            </w:r>
            <w:r>
              <w:rPr>
                <w:noProof/>
                <w:webHidden/>
              </w:rPr>
              <w:fldChar w:fldCharType="begin"/>
            </w:r>
            <w:r>
              <w:rPr>
                <w:noProof/>
                <w:webHidden/>
              </w:rPr>
              <w:instrText xml:space="preserve"> PAGEREF _Toc215140017 \h </w:instrText>
            </w:r>
            <w:r>
              <w:rPr>
                <w:noProof/>
                <w:webHidden/>
              </w:rPr>
            </w:r>
            <w:r>
              <w:rPr>
                <w:noProof/>
                <w:webHidden/>
              </w:rPr>
              <w:fldChar w:fldCharType="separate"/>
            </w:r>
            <w:r>
              <w:rPr>
                <w:noProof/>
                <w:webHidden/>
              </w:rPr>
              <w:t>29</w:t>
            </w:r>
            <w:r>
              <w:rPr>
                <w:noProof/>
                <w:webHidden/>
              </w:rPr>
              <w:fldChar w:fldCharType="end"/>
            </w:r>
          </w:hyperlink>
        </w:p>
        <w:p w14:paraId="07F1451F" w14:textId="77777777" w:rsidR="003B0D74" w:rsidRDefault="003B0D74">
          <w:pPr>
            <w:pStyle w:val="TOC2"/>
            <w:rPr>
              <w:noProof/>
              <w:kern w:val="2"/>
              <w:szCs w:val="24"/>
              <w:lang w:eastAsia="en-GB"/>
              <w14:ligatures w14:val="standardContextual"/>
            </w:rPr>
          </w:pPr>
          <w:hyperlink w:anchor="_Toc215140018" w:history="1">
            <w:r w:rsidRPr="00D21259">
              <w:rPr>
                <w:rStyle w:val="Hyperlink"/>
                <w:noProof/>
              </w:rPr>
              <w:t>4.4</w:t>
            </w:r>
            <w:r>
              <w:rPr>
                <w:noProof/>
                <w:kern w:val="2"/>
                <w:szCs w:val="24"/>
                <w:lang w:eastAsia="en-GB"/>
                <w14:ligatures w14:val="standardContextual"/>
              </w:rPr>
              <w:tab/>
            </w:r>
            <w:r w:rsidRPr="00D21259">
              <w:rPr>
                <w:rStyle w:val="Hyperlink"/>
                <w:noProof/>
              </w:rPr>
              <w:t>Strategic Policy SDT2: Torquay Gateway – A sustainable growth hub for homes, jobs and nature</w:t>
            </w:r>
            <w:r>
              <w:rPr>
                <w:noProof/>
                <w:webHidden/>
              </w:rPr>
              <w:tab/>
            </w:r>
            <w:r>
              <w:rPr>
                <w:noProof/>
                <w:webHidden/>
              </w:rPr>
              <w:fldChar w:fldCharType="begin"/>
            </w:r>
            <w:r>
              <w:rPr>
                <w:noProof/>
                <w:webHidden/>
              </w:rPr>
              <w:instrText xml:space="preserve"> PAGEREF _Toc215140018 \h </w:instrText>
            </w:r>
            <w:r>
              <w:rPr>
                <w:noProof/>
                <w:webHidden/>
              </w:rPr>
            </w:r>
            <w:r>
              <w:rPr>
                <w:noProof/>
                <w:webHidden/>
              </w:rPr>
              <w:fldChar w:fldCharType="separate"/>
            </w:r>
            <w:r>
              <w:rPr>
                <w:noProof/>
                <w:webHidden/>
              </w:rPr>
              <w:t>29</w:t>
            </w:r>
            <w:r>
              <w:rPr>
                <w:noProof/>
                <w:webHidden/>
              </w:rPr>
              <w:fldChar w:fldCharType="end"/>
            </w:r>
          </w:hyperlink>
        </w:p>
        <w:p w14:paraId="4DF55D60" w14:textId="77777777" w:rsidR="003B0D74" w:rsidRDefault="003B0D74">
          <w:pPr>
            <w:pStyle w:val="TOC2"/>
            <w:rPr>
              <w:noProof/>
              <w:kern w:val="2"/>
              <w:szCs w:val="24"/>
              <w:lang w:eastAsia="en-GB"/>
              <w14:ligatures w14:val="standardContextual"/>
            </w:rPr>
          </w:pPr>
          <w:hyperlink w:anchor="_Toc215140019" w:history="1">
            <w:r w:rsidRPr="00D21259">
              <w:rPr>
                <w:rStyle w:val="Hyperlink"/>
                <w:noProof/>
              </w:rPr>
              <w:t>4.5</w:t>
            </w:r>
            <w:r>
              <w:rPr>
                <w:noProof/>
                <w:kern w:val="2"/>
                <w:szCs w:val="24"/>
                <w:lang w:eastAsia="en-GB"/>
                <w14:ligatures w14:val="standardContextual"/>
              </w:rPr>
              <w:tab/>
            </w:r>
            <w:r w:rsidRPr="00D21259">
              <w:rPr>
                <w:rStyle w:val="Hyperlink"/>
                <w:noProof/>
              </w:rPr>
              <w:t>Strategic Policy SDT3: Newton Road to Torre Gateway – A regeneration corridor for homes, jobs, health and connectivity</w:t>
            </w:r>
            <w:r>
              <w:rPr>
                <w:noProof/>
                <w:webHidden/>
              </w:rPr>
              <w:tab/>
            </w:r>
            <w:r>
              <w:rPr>
                <w:noProof/>
                <w:webHidden/>
              </w:rPr>
              <w:fldChar w:fldCharType="begin"/>
            </w:r>
            <w:r>
              <w:rPr>
                <w:noProof/>
                <w:webHidden/>
              </w:rPr>
              <w:instrText xml:space="preserve"> PAGEREF _Toc215140019 \h </w:instrText>
            </w:r>
            <w:r>
              <w:rPr>
                <w:noProof/>
                <w:webHidden/>
              </w:rPr>
            </w:r>
            <w:r>
              <w:rPr>
                <w:noProof/>
                <w:webHidden/>
              </w:rPr>
              <w:fldChar w:fldCharType="separate"/>
            </w:r>
            <w:r>
              <w:rPr>
                <w:noProof/>
                <w:webHidden/>
              </w:rPr>
              <w:t>29</w:t>
            </w:r>
            <w:r>
              <w:rPr>
                <w:noProof/>
                <w:webHidden/>
              </w:rPr>
              <w:fldChar w:fldCharType="end"/>
            </w:r>
          </w:hyperlink>
        </w:p>
        <w:p w14:paraId="590BFEAB" w14:textId="77777777" w:rsidR="003B0D74" w:rsidRDefault="003B0D74">
          <w:pPr>
            <w:pStyle w:val="TOC2"/>
            <w:rPr>
              <w:noProof/>
              <w:kern w:val="2"/>
              <w:szCs w:val="24"/>
              <w:lang w:eastAsia="en-GB"/>
              <w14:ligatures w14:val="standardContextual"/>
            </w:rPr>
          </w:pPr>
          <w:hyperlink w:anchor="_Toc215140020" w:history="1">
            <w:r w:rsidRPr="00D21259">
              <w:rPr>
                <w:rStyle w:val="Hyperlink"/>
                <w:noProof/>
              </w:rPr>
              <w:t>4.6</w:t>
            </w:r>
            <w:r>
              <w:rPr>
                <w:noProof/>
                <w:kern w:val="2"/>
                <w:szCs w:val="24"/>
                <w:lang w:eastAsia="en-GB"/>
                <w14:ligatures w14:val="standardContextual"/>
              </w:rPr>
              <w:tab/>
            </w:r>
            <w:r w:rsidRPr="00D21259">
              <w:rPr>
                <w:rStyle w:val="Hyperlink"/>
                <w:noProof/>
              </w:rPr>
              <w:t>Strategic Policy SDP1: Paignton – A strategy for sustainable growth</w:t>
            </w:r>
            <w:r>
              <w:rPr>
                <w:noProof/>
                <w:webHidden/>
              </w:rPr>
              <w:tab/>
            </w:r>
            <w:r>
              <w:rPr>
                <w:noProof/>
                <w:webHidden/>
              </w:rPr>
              <w:fldChar w:fldCharType="begin"/>
            </w:r>
            <w:r>
              <w:rPr>
                <w:noProof/>
                <w:webHidden/>
              </w:rPr>
              <w:instrText xml:space="preserve"> PAGEREF _Toc215140020 \h </w:instrText>
            </w:r>
            <w:r>
              <w:rPr>
                <w:noProof/>
                <w:webHidden/>
              </w:rPr>
            </w:r>
            <w:r>
              <w:rPr>
                <w:noProof/>
                <w:webHidden/>
              </w:rPr>
              <w:fldChar w:fldCharType="separate"/>
            </w:r>
            <w:r>
              <w:rPr>
                <w:noProof/>
                <w:webHidden/>
              </w:rPr>
              <w:t>30</w:t>
            </w:r>
            <w:r>
              <w:rPr>
                <w:noProof/>
                <w:webHidden/>
              </w:rPr>
              <w:fldChar w:fldCharType="end"/>
            </w:r>
          </w:hyperlink>
        </w:p>
        <w:p w14:paraId="3C35DB4F" w14:textId="77777777" w:rsidR="003B0D74" w:rsidRDefault="003B0D74">
          <w:pPr>
            <w:pStyle w:val="TOC2"/>
            <w:rPr>
              <w:noProof/>
              <w:kern w:val="2"/>
              <w:szCs w:val="24"/>
              <w:lang w:eastAsia="en-GB"/>
              <w14:ligatures w14:val="standardContextual"/>
            </w:rPr>
          </w:pPr>
          <w:hyperlink w:anchor="_Toc215140021" w:history="1">
            <w:r w:rsidRPr="00D21259">
              <w:rPr>
                <w:rStyle w:val="Hyperlink"/>
                <w:noProof/>
              </w:rPr>
              <w:t>4.7</w:t>
            </w:r>
            <w:r>
              <w:rPr>
                <w:noProof/>
                <w:kern w:val="2"/>
                <w:szCs w:val="24"/>
                <w:lang w:eastAsia="en-GB"/>
                <w14:ligatures w14:val="standardContextual"/>
              </w:rPr>
              <w:tab/>
            </w:r>
            <w:r w:rsidRPr="00D21259">
              <w:rPr>
                <w:rStyle w:val="Hyperlink"/>
                <w:noProof/>
              </w:rPr>
              <w:t>Strategic Policy SDP2: Revitalising Paignton Town Centre and Waterfront - A destination for living, tourism and leisure</w:t>
            </w:r>
            <w:r>
              <w:rPr>
                <w:noProof/>
                <w:webHidden/>
              </w:rPr>
              <w:tab/>
            </w:r>
            <w:r>
              <w:rPr>
                <w:noProof/>
                <w:webHidden/>
              </w:rPr>
              <w:fldChar w:fldCharType="begin"/>
            </w:r>
            <w:r>
              <w:rPr>
                <w:noProof/>
                <w:webHidden/>
              </w:rPr>
              <w:instrText xml:space="preserve"> PAGEREF _Toc215140021 \h </w:instrText>
            </w:r>
            <w:r>
              <w:rPr>
                <w:noProof/>
                <w:webHidden/>
              </w:rPr>
            </w:r>
            <w:r>
              <w:rPr>
                <w:noProof/>
                <w:webHidden/>
              </w:rPr>
              <w:fldChar w:fldCharType="separate"/>
            </w:r>
            <w:r>
              <w:rPr>
                <w:noProof/>
                <w:webHidden/>
              </w:rPr>
              <w:t>30</w:t>
            </w:r>
            <w:r>
              <w:rPr>
                <w:noProof/>
                <w:webHidden/>
              </w:rPr>
              <w:fldChar w:fldCharType="end"/>
            </w:r>
          </w:hyperlink>
        </w:p>
        <w:p w14:paraId="792B42D5" w14:textId="77777777" w:rsidR="003B0D74" w:rsidRDefault="003B0D74">
          <w:pPr>
            <w:pStyle w:val="TOC2"/>
            <w:rPr>
              <w:noProof/>
              <w:kern w:val="2"/>
              <w:szCs w:val="24"/>
              <w:lang w:eastAsia="en-GB"/>
              <w14:ligatures w14:val="standardContextual"/>
            </w:rPr>
          </w:pPr>
          <w:hyperlink w:anchor="_Toc215140022" w:history="1">
            <w:r w:rsidRPr="00D21259">
              <w:rPr>
                <w:rStyle w:val="Hyperlink"/>
                <w:noProof/>
              </w:rPr>
              <w:t>4.8</w:t>
            </w:r>
            <w:r>
              <w:rPr>
                <w:noProof/>
                <w:kern w:val="2"/>
                <w:szCs w:val="24"/>
                <w:lang w:eastAsia="en-GB"/>
                <w14:ligatures w14:val="standardContextual"/>
              </w:rPr>
              <w:tab/>
            </w:r>
            <w:r w:rsidRPr="00D21259">
              <w:rPr>
                <w:rStyle w:val="Hyperlink"/>
                <w:noProof/>
              </w:rPr>
              <w:t>Strategic Policy SDP3: Preston – A thriving district centre and Regeneration Hub for living and community</w:t>
            </w:r>
            <w:r>
              <w:rPr>
                <w:noProof/>
                <w:webHidden/>
              </w:rPr>
              <w:tab/>
            </w:r>
            <w:r>
              <w:rPr>
                <w:noProof/>
                <w:webHidden/>
              </w:rPr>
              <w:fldChar w:fldCharType="begin"/>
            </w:r>
            <w:r>
              <w:rPr>
                <w:noProof/>
                <w:webHidden/>
              </w:rPr>
              <w:instrText xml:space="preserve"> PAGEREF _Toc215140022 \h </w:instrText>
            </w:r>
            <w:r>
              <w:rPr>
                <w:noProof/>
                <w:webHidden/>
              </w:rPr>
            </w:r>
            <w:r>
              <w:rPr>
                <w:noProof/>
                <w:webHidden/>
              </w:rPr>
              <w:fldChar w:fldCharType="separate"/>
            </w:r>
            <w:r>
              <w:rPr>
                <w:noProof/>
                <w:webHidden/>
              </w:rPr>
              <w:t>31</w:t>
            </w:r>
            <w:r>
              <w:rPr>
                <w:noProof/>
                <w:webHidden/>
              </w:rPr>
              <w:fldChar w:fldCharType="end"/>
            </w:r>
          </w:hyperlink>
        </w:p>
        <w:p w14:paraId="0BAFDD1E" w14:textId="77777777" w:rsidR="003B0D74" w:rsidRDefault="003B0D74">
          <w:pPr>
            <w:pStyle w:val="TOC2"/>
            <w:rPr>
              <w:noProof/>
              <w:kern w:val="2"/>
              <w:szCs w:val="24"/>
              <w:lang w:eastAsia="en-GB"/>
              <w14:ligatures w14:val="standardContextual"/>
            </w:rPr>
          </w:pPr>
          <w:hyperlink w:anchor="_Toc215140023" w:history="1">
            <w:r w:rsidRPr="00D21259">
              <w:rPr>
                <w:rStyle w:val="Hyperlink"/>
                <w:noProof/>
              </w:rPr>
              <w:t>4.9</w:t>
            </w:r>
            <w:r>
              <w:rPr>
                <w:noProof/>
                <w:kern w:val="2"/>
                <w:szCs w:val="24"/>
                <w:lang w:eastAsia="en-GB"/>
                <w14:ligatures w14:val="standardContextual"/>
              </w:rPr>
              <w:tab/>
            </w:r>
            <w:r w:rsidRPr="00D21259">
              <w:rPr>
                <w:rStyle w:val="Hyperlink"/>
                <w:noProof/>
              </w:rPr>
              <w:t>Strategic Policy SDP4: Collaton St Mary – Sustainable growth in a connected village</w:t>
            </w:r>
            <w:r>
              <w:rPr>
                <w:noProof/>
                <w:webHidden/>
              </w:rPr>
              <w:tab/>
            </w:r>
            <w:r>
              <w:rPr>
                <w:noProof/>
                <w:webHidden/>
              </w:rPr>
              <w:fldChar w:fldCharType="begin"/>
            </w:r>
            <w:r>
              <w:rPr>
                <w:noProof/>
                <w:webHidden/>
              </w:rPr>
              <w:instrText xml:space="preserve"> PAGEREF _Toc215140023 \h </w:instrText>
            </w:r>
            <w:r>
              <w:rPr>
                <w:noProof/>
                <w:webHidden/>
              </w:rPr>
            </w:r>
            <w:r>
              <w:rPr>
                <w:noProof/>
                <w:webHidden/>
              </w:rPr>
              <w:fldChar w:fldCharType="separate"/>
            </w:r>
            <w:r>
              <w:rPr>
                <w:noProof/>
                <w:webHidden/>
              </w:rPr>
              <w:t>31</w:t>
            </w:r>
            <w:r>
              <w:rPr>
                <w:noProof/>
                <w:webHidden/>
              </w:rPr>
              <w:fldChar w:fldCharType="end"/>
            </w:r>
          </w:hyperlink>
        </w:p>
        <w:p w14:paraId="74C28590" w14:textId="77777777" w:rsidR="003B0D74" w:rsidRDefault="003B0D74">
          <w:pPr>
            <w:pStyle w:val="TOC2"/>
            <w:rPr>
              <w:noProof/>
              <w:kern w:val="2"/>
              <w:szCs w:val="24"/>
              <w:lang w:eastAsia="en-GB"/>
              <w14:ligatures w14:val="standardContextual"/>
            </w:rPr>
          </w:pPr>
          <w:hyperlink w:anchor="_Toc215140024" w:history="1">
            <w:r w:rsidRPr="00D21259">
              <w:rPr>
                <w:rStyle w:val="Hyperlink"/>
                <w:noProof/>
              </w:rPr>
              <w:t>4.10</w:t>
            </w:r>
            <w:r>
              <w:rPr>
                <w:noProof/>
                <w:kern w:val="2"/>
                <w:szCs w:val="24"/>
                <w:lang w:eastAsia="en-GB"/>
                <w14:ligatures w14:val="standardContextual"/>
              </w:rPr>
              <w:tab/>
            </w:r>
            <w:r w:rsidRPr="00D21259">
              <w:rPr>
                <w:rStyle w:val="Hyperlink"/>
                <w:noProof/>
              </w:rPr>
              <w:t>Strategic Policy SDP5: Long Road, Yalberton - Sustainable living and employment neighbourhood</w:t>
            </w:r>
            <w:r>
              <w:rPr>
                <w:noProof/>
                <w:webHidden/>
              </w:rPr>
              <w:tab/>
            </w:r>
            <w:r>
              <w:rPr>
                <w:noProof/>
                <w:webHidden/>
              </w:rPr>
              <w:fldChar w:fldCharType="begin"/>
            </w:r>
            <w:r>
              <w:rPr>
                <w:noProof/>
                <w:webHidden/>
              </w:rPr>
              <w:instrText xml:space="preserve"> PAGEREF _Toc215140024 \h </w:instrText>
            </w:r>
            <w:r>
              <w:rPr>
                <w:noProof/>
                <w:webHidden/>
              </w:rPr>
            </w:r>
            <w:r>
              <w:rPr>
                <w:noProof/>
                <w:webHidden/>
              </w:rPr>
              <w:fldChar w:fldCharType="separate"/>
            </w:r>
            <w:r>
              <w:rPr>
                <w:noProof/>
                <w:webHidden/>
              </w:rPr>
              <w:t>32</w:t>
            </w:r>
            <w:r>
              <w:rPr>
                <w:noProof/>
                <w:webHidden/>
              </w:rPr>
              <w:fldChar w:fldCharType="end"/>
            </w:r>
          </w:hyperlink>
        </w:p>
        <w:p w14:paraId="658AD1F5" w14:textId="77777777" w:rsidR="003B0D74" w:rsidRDefault="003B0D74">
          <w:pPr>
            <w:pStyle w:val="TOC2"/>
            <w:rPr>
              <w:noProof/>
              <w:kern w:val="2"/>
              <w:szCs w:val="24"/>
              <w:lang w:eastAsia="en-GB"/>
              <w14:ligatures w14:val="standardContextual"/>
            </w:rPr>
          </w:pPr>
          <w:hyperlink w:anchor="_Toc215140025" w:history="1">
            <w:r w:rsidRPr="00D21259">
              <w:rPr>
                <w:rStyle w:val="Hyperlink"/>
                <w:noProof/>
              </w:rPr>
              <w:t>4.11</w:t>
            </w:r>
            <w:r>
              <w:rPr>
                <w:noProof/>
                <w:kern w:val="2"/>
                <w:szCs w:val="24"/>
                <w:lang w:eastAsia="en-GB"/>
                <w14:ligatures w14:val="standardContextual"/>
              </w:rPr>
              <w:tab/>
            </w:r>
            <w:r w:rsidRPr="00D21259">
              <w:rPr>
                <w:rStyle w:val="Hyperlink"/>
                <w:noProof/>
              </w:rPr>
              <w:t>Policy SDP6: Clennon Valley - Active leisure and nature hub</w:t>
            </w:r>
            <w:r>
              <w:rPr>
                <w:noProof/>
                <w:webHidden/>
              </w:rPr>
              <w:tab/>
            </w:r>
            <w:r>
              <w:rPr>
                <w:noProof/>
                <w:webHidden/>
              </w:rPr>
              <w:fldChar w:fldCharType="begin"/>
            </w:r>
            <w:r>
              <w:rPr>
                <w:noProof/>
                <w:webHidden/>
              </w:rPr>
              <w:instrText xml:space="preserve"> PAGEREF _Toc215140025 \h </w:instrText>
            </w:r>
            <w:r>
              <w:rPr>
                <w:noProof/>
                <w:webHidden/>
              </w:rPr>
            </w:r>
            <w:r>
              <w:rPr>
                <w:noProof/>
                <w:webHidden/>
              </w:rPr>
              <w:fldChar w:fldCharType="separate"/>
            </w:r>
            <w:r>
              <w:rPr>
                <w:noProof/>
                <w:webHidden/>
              </w:rPr>
              <w:t>32</w:t>
            </w:r>
            <w:r>
              <w:rPr>
                <w:noProof/>
                <w:webHidden/>
              </w:rPr>
              <w:fldChar w:fldCharType="end"/>
            </w:r>
          </w:hyperlink>
        </w:p>
        <w:p w14:paraId="19A58C88" w14:textId="77777777" w:rsidR="003B0D74" w:rsidRDefault="003B0D74">
          <w:pPr>
            <w:pStyle w:val="TOC2"/>
            <w:rPr>
              <w:noProof/>
              <w:kern w:val="2"/>
              <w:szCs w:val="24"/>
              <w:lang w:eastAsia="en-GB"/>
              <w14:ligatures w14:val="standardContextual"/>
            </w:rPr>
          </w:pPr>
          <w:hyperlink w:anchor="_Toc215140026" w:history="1">
            <w:r w:rsidRPr="00D21259">
              <w:rPr>
                <w:rStyle w:val="Hyperlink"/>
                <w:noProof/>
              </w:rPr>
              <w:t>4.12</w:t>
            </w:r>
            <w:r>
              <w:rPr>
                <w:noProof/>
                <w:kern w:val="2"/>
                <w:szCs w:val="24"/>
                <w:lang w:eastAsia="en-GB"/>
                <w14:ligatures w14:val="standardContextual"/>
              </w:rPr>
              <w:tab/>
            </w:r>
            <w:r w:rsidRPr="00D21259">
              <w:rPr>
                <w:rStyle w:val="Hyperlink"/>
                <w:noProof/>
              </w:rPr>
              <w:t>Strategic Policy SDB1: Brixham – A strategy for sustainable growth</w:t>
            </w:r>
            <w:r>
              <w:rPr>
                <w:noProof/>
                <w:webHidden/>
              </w:rPr>
              <w:tab/>
            </w:r>
            <w:r>
              <w:rPr>
                <w:noProof/>
                <w:webHidden/>
              </w:rPr>
              <w:fldChar w:fldCharType="begin"/>
            </w:r>
            <w:r>
              <w:rPr>
                <w:noProof/>
                <w:webHidden/>
              </w:rPr>
              <w:instrText xml:space="preserve"> PAGEREF _Toc215140026 \h </w:instrText>
            </w:r>
            <w:r>
              <w:rPr>
                <w:noProof/>
                <w:webHidden/>
              </w:rPr>
            </w:r>
            <w:r>
              <w:rPr>
                <w:noProof/>
                <w:webHidden/>
              </w:rPr>
              <w:fldChar w:fldCharType="separate"/>
            </w:r>
            <w:r>
              <w:rPr>
                <w:noProof/>
                <w:webHidden/>
              </w:rPr>
              <w:t>32</w:t>
            </w:r>
            <w:r>
              <w:rPr>
                <w:noProof/>
                <w:webHidden/>
              </w:rPr>
              <w:fldChar w:fldCharType="end"/>
            </w:r>
          </w:hyperlink>
        </w:p>
        <w:p w14:paraId="7F0CFFCA" w14:textId="77777777" w:rsidR="003B0D74" w:rsidRDefault="003B0D74">
          <w:pPr>
            <w:pStyle w:val="TOC2"/>
            <w:rPr>
              <w:noProof/>
              <w:kern w:val="2"/>
              <w:szCs w:val="24"/>
              <w:lang w:eastAsia="en-GB"/>
              <w14:ligatures w14:val="standardContextual"/>
            </w:rPr>
          </w:pPr>
          <w:hyperlink w:anchor="_Toc215140027" w:history="1">
            <w:r w:rsidRPr="00D21259">
              <w:rPr>
                <w:rStyle w:val="Hyperlink"/>
                <w:noProof/>
              </w:rPr>
              <w:t>4.13</w:t>
            </w:r>
            <w:r>
              <w:rPr>
                <w:noProof/>
                <w:kern w:val="2"/>
                <w:szCs w:val="24"/>
                <w:lang w:eastAsia="en-GB"/>
                <w14:ligatures w14:val="standardContextual"/>
              </w:rPr>
              <w:tab/>
            </w:r>
            <w:r w:rsidRPr="00D21259">
              <w:rPr>
                <w:rStyle w:val="Hyperlink"/>
                <w:noProof/>
              </w:rPr>
              <w:t>Strategic Policy SDB2: Revitalising Brixham’s Town Centre, Harbour and Waterfront - A destination for living, maritime activity and tourism</w:t>
            </w:r>
            <w:r>
              <w:rPr>
                <w:noProof/>
                <w:webHidden/>
              </w:rPr>
              <w:tab/>
            </w:r>
            <w:r>
              <w:rPr>
                <w:noProof/>
                <w:webHidden/>
              </w:rPr>
              <w:fldChar w:fldCharType="begin"/>
            </w:r>
            <w:r>
              <w:rPr>
                <w:noProof/>
                <w:webHidden/>
              </w:rPr>
              <w:instrText xml:space="preserve"> PAGEREF _Toc215140027 \h </w:instrText>
            </w:r>
            <w:r>
              <w:rPr>
                <w:noProof/>
                <w:webHidden/>
              </w:rPr>
            </w:r>
            <w:r>
              <w:rPr>
                <w:noProof/>
                <w:webHidden/>
              </w:rPr>
              <w:fldChar w:fldCharType="separate"/>
            </w:r>
            <w:r>
              <w:rPr>
                <w:noProof/>
                <w:webHidden/>
              </w:rPr>
              <w:t>33</w:t>
            </w:r>
            <w:r>
              <w:rPr>
                <w:noProof/>
                <w:webHidden/>
              </w:rPr>
              <w:fldChar w:fldCharType="end"/>
            </w:r>
          </w:hyperlink>
        </w:p>
        <w:p w14:paraId="30BDE60A" w14:textId="77777777" w:rsidR="003B0D74" w:rsidRDefault="003B0D74">
          <w:pPr>
            <w:pStyle w:val="TOC2"/>
            <w:rPr>
              <w:noProof/>
              <w:kern w:val="2"/>
              <w:szCs w:val="24"/>
              <w:lang w:eastAsia="en-GB"/>
              <w14:ligatures w14:val="standardContextual"/>
            </w:rPr>
          </w:pPr>
          <w:hyperlink w:anchor="_Toc215140028" w:history="1">
            <w:r w:rsidRPr="00D21259">
              <w:rPr>
                <w:rStyle w:val="Hyperlink"/>
                <w:noProof/>
              </w:rPr>
              <w:t>4.14</w:t>
            </w:r>
            <w:r>
              <w:rPr>
                <w:noProof/>
                <w:kern w:val="2"/>
                <w:szCs w:val="24"/>
                <w:lang w:eastAsia="en-GB"/>
                <w14:ligatures w14:val="standardContextual"/>
              </w:rPr>
              <w:tab/>
            </w:r>
            <w:r w:rsidRPr="00D21259">
              <w:rPr>
                <w:rStyle w:val="Hyperlink"/>
                <w:noProof/>
              </w:rPr>
              <w:t>Strategic Policy SDB3: Berry Head to Sharkham Point - Coastal conservation and recreation management</w:t>
            </w:r>
            <w:r>
              <w:rPr>
                <w:noProof/>
                <w:webHidden/>
              </w:rPr>
              <w:tab/>
            </w:r>
            <w:r>
              <w:rPr>
                <w:noProof/>
                <w:webHidden/>
              </w:rPr>
              <w:fldChar w:fldCharType="begin"/>
            </w:r>
            <w:r>
              <w:rPr>
                <w:noProof/>
                <w:webHidden/>
              </w:rPr>
              <w:instrText xml:space="preserve"> PAGEREF _Toc215140028 \h </w:instrText>
            </w:r>
            <w:r>
              <w:rPr>
                <w:noProof/>
                <w:webHidden/>
              </w:rPr>
            </w:r>
            <w:r>
              <w:rPr>
                <w:noProof/>
                <w:webHidden/>
              </w:rPr>
              <w:fldChar w:fldCharType="separate"/>
            </w:r>
            <w:r>
              <w:rPr>
                <w:noProof/>
                <w:webHidden/>
              </w:rPr>
              <w:t>33</w:t>
            </w:r>
            <w:r>
              <w:rPr>
                <w:noProof/>
                <w:webHidden/>
              </w:rPr>
              <w:fldChar w:fldCharType="end"/>
            </w:r>
          </w:hyperlink>
        </w:p>
        <w:p w14:paraId="002ED8A4" w14:textId="77777777" w:rsidR="003B0D74" w:rsidRDefault="003B0D74">
          <w:pPr>
            <w:pStyle w:val="TOC2"/>
            <w:rPr>
              <w:noProof/>
              <w:kern w:val="2"/>
              <w:szCs w:val="24"/>
              <w:lang w:eastAsia="en-GB"/>
              <w14:ligatures w14:val="standardContextual"/>
            </w:rPr>
          </w:pPr>
          <w:hyperlink w:anchor="_Toc215140029" w:history="1">
            <w:r w:rsidRPr="00D21259">
              <w:rPr>
                <w:rStyle w:val="Hyperlink"/>
                <w:noProof/>
              </w:rPr>
              <w:t>4.15</w:t>
            </w:r>
            <w:r>
              <w:rPr>
                <w:noProof/>
                <w:kern w:val="2"/>
                <w:szCs w:val="24"/>
                <w:lang w:eastAsia="en-GB"/>
                <w14:ligatures w14:val="standardContextual"/>
              </w:rPr>
              <w:tab/>
            </w:r>
            <w:r w:rsidRPr="00D21259">
              <w:rPr>
                <w:rStyle w:val="Hyperlink"/>
                <w:noProof/>
              </w:rPr>
              <w:t>Strategic Policy SDBCG1: Broadsands, Churston and Galmpton Villages - Sustainable living and landscape protection strategy</w:t>
            </w:r>
            <w:r>
              <w:rPr>
                <w:noProof/>
                <w:webHidden/>
              </w:rPr>
              <w:tab/>
            </w:r>
            <w:r>
              <w:rPr>
                <w:noProof/>
                <w:webHidden/>
              </w:rPr>
              <w:fldChar w:fldCharType="begin"/>
            </w:r>
            <w:r>
              <w:rPr>
                <w:noProof/>
                <w:webHidden/>
              </w:rPr>
              <w:instrText xml:space="preserve"> PAGEREF _Toc215140029 \h </w:instrText>
            </w:r>
            <w:r>
              <w:rPr>
                <w:noProof/>
                <w:webHidden/>
              </w:rPr>
            </w:r>
            <w:r>
              <w:rPr>
                <w:noProof/>
                <w:webHidden/>
              </w:rPr>
              <w:fldChar w:fldCharType="separate"/>
            </w:r>
            <w:r>
              <w:rPr>
                <w:noProof/>
                <w:webHidden/>
              </w:rPr>
              <w:t>33</w:t>
            </w:r>
            <w:r>
              <w:rPr>
                <w:noProof/>
                <w:webHidden/>
              </w:rPr>
              <w:fldChar w:fldCharType="end"/>
            </w:r>
          </w:hyperlink>
        </w:p>
        <w:p w14:paraId="2039B83D" w14:textId="77777777" w:rsidR="003B0D74" w:rsidRDefault="003B0D74">
          <w:pPr>
            <w:pStyle w:val="TOC2"/>
            <w:rPr>
              <w:noProof/>
              <w:kern w:val="2"/>
              <w:szCs w:val="24"/>
              <w:lang w:eastAsia="en-GB"/>
              <w14:ligatures w14:val="standardContextual"/>
            </w:rPr>
          </w:pPr>
          <w:hyperlink w:anchor="_Toc215140030" w:history="1">
            <w:r w:rsidRPr="00D21259">
              <w:rPr>
                <w:rStyle w:val="Hyperlink"/>
                <w:noProof/>
              </w:rPr>
              <w:t>4.16</w:t>
            </w:r>
            <w:r>
              <w:rPr>
                <w:noProof/>
                <w:kern w:val="2"/>
                <w:szCs w:val="24"/>
                <w:lang w:eastAsia="en-GB"/>
                <w14:ligatures w14:val="standardContextual"/>
              </w:rPr>
              <w:tab/>
            </w:r>
            <w:r w:rsidRPr="00D21259">
              <w:rPr>
                <w:rStyle w:val="Hyperlink"/>
                <w:noProof/>
              </w:rPr>
              <w:t>Strategic Policy SDBCG2 Land at Inglewood and its environs north of Windy Corner</w:t>
            </w:r>
            <w:r>
              <w:rPr>
                <w:noProof/>
                <w:webHidden/>
              </w:rPr>
              <w:tab/>
            </w:r>
            <w:r>
              <w:rPr>
                <w:noProof/>
                <w:webHidden/>
              </w:rPr>
              <w:fldChar w:fldCharType="begin"/>
            </w:r>
            <w:r>
              <w:rPr>
                <w:noProof/>
                <w:webHidden/>
              </w:rPr>
              <w:instrText xml:space="preserve"> PAGEREF _Toc215140030 \h </w:instrText>
            </w:r>
            <w:r>
              <w:rPr>
                <w:noProof/>
                <w:webHidden/>
              </w:rPr>
            </w:r>
            <w:r>
              <w:rPr>
                <w:noProof/>
                <w:webHidden/>
              </w:rPr>
              <w:fldChar w:fldCharType="separate"/>
            </w:r>
            <w:r>
              <w:rPr>
                <w:noProof/>
                <w:webHidden/>
              </w:rPr>
              <w:t>34</w:t>
            </w:r>
            <w:r>
              <w:rPr>
                <w:noProof/>
                <w:webHidden/>
              </w:rPr>
              <w:fldChar w:fldCharType="end"/>
            </w:r>
          </w:hyperlink>
        </w:p>
        <w:p w14:paraId="615DB987" w14:textId="77777777" w:rsidR="003B0D74" w:rsidRDefault="003B0D74">
          <w:pPr>
            <w:pStyle w:val="TOC2"/>
            <w:rPr>
              <w:noProof/>
              <w:kern w:val="2"/>
              <w:szCs w:val="24"/>
              <w:lang w:eastAsia="en-GB"/>
              <w14:ligatures w14:val="standardContextual"/>
            </w:rPr>
          </w:pPr>
          <w:hyperlink w:anchor="_Toc215140031" w:history="1">
            <w:r w:rsidRPr="00D21259">
              <w:rPr>
                <w:rStyle w:val="Hyperlink"/>
                <w:noProof/>
              </w:rPr>
              <w:t>4.17</w:t>
            </w:r>
            <w:r>
              <w:rPr>
                <w:noProof/>
                <w:kern w:val="2"/>
                <w:szCs w:val="24"/>
                <w:lang w:eastAsia="en-GB"/>
                <w14:ligatures w14:val="standardContextual"/>
              </w:rPr>
              <w:tab/>
            </w:r>
            <w:r w:rsidRPr="00D21259">
              <w:rPr>
                <w:rStyle w:val="Hyperlink"/>
                <w:noProof/>
              </w:rPr>
              <w:t>Policy SDBCG3: Rural villages south of Windy Corner – Landscape, ecology and settlement gap protection zone</w:t>
            </w:r>
            <w:r>
              <w:rPr>
                <w:noProof/>
                <w:webHidden/>
              </w:rPr>
              <w:tab/>
            </w:r>
            <w:r>
              <w:rPr>
                <w:noProof/>
                <w:webHidden/>
              </w:rPr>
              <w:fldChar w:fldCharType="begin"/>
            </w:r>
            <w:r>
              <w:rPr>
                <w:noProof/>
                <w:webHidden/>
              </w:rPr>
              <w:instrText xml:space="preserve"> PAGEREF _Toc215140031 \h </w:instrText>
            </w:r>
            <w:r>
              <w:rPr>
                <w:noProof/>
                <w:webHidden/>
              </w:rPr>
            </w:r>
            <w:r>
              <w:rPr>
                <w:noProof/>
                <w:webHidden/>
              </w:rPr>
              <w:fldChar w:fldCharType="separate"/>
            </w:r>
            <w:r>
              <w:rPr>
                <w:noProof/>
                <w:webHidden/>
              </w:rPr>
              <w:t>34</w:t>
            </w:r>
            <w:r>
              <w:rPr>
                <w:noProof/>
                <w:webHidden/>
              </w:rPr>
              <w:fldChar w:fldCharType="end"/>
            </w:r>
          </w:hyperlink>
        </w:p>
        <w:p w14:paraId="63A34F33" w14:textId="77777777" w:rsidR="003B0D74" w:rsidRDefault="003B0D74">
          <w:pPr>
            <w:pStyle w:val="TOC1"/>
            <w:tabs>
              <w:tab w:val="left" w:pos="480"/>
              <w:tab w:val="right" w:leader="dot" w:pos="10456"/>
            </w:tabs>
            <w:rPr>
              <w:b w:val="0"/>
              <w:noProof/>
              <w:kern w:val="2"/>
              <w:szCs w:val="24"/>
              <w:lang w:eastAsia="en-GB"/>
              <w14:ligatures w14:val="standardContextual"/>
            </w:rPr>
          </w:pPr>
          <w:hyperlink w:anchor="_Toc215140032" w:history="1">
            <w:r w:rsidRPr="00D21259">
              <w:rPr>
                <w:rStyle w:val="Hyperlink"/>
                <w:noProof/>
              </w:rPr>
              <w:t>5</w:t>
            </w:r>
            <w:r>
              <w:rPr>
                <w:b w:val="0"/>
                <w:noProof/>
                <w:kern w:val="2"/>
                <w:szCs w:val="24"/>
                <w:lang w:eastAsia="en-GB"/>
                <w14:ligatures w14:val="standardContextual"/>
              </w:rPr>
              <w:tab/>
            </w:r>
            <w:r w:rsidRPr="00D21259">
              <w:rPr>
                <w:rStyle w:val="Hyperlink"/>
                <w:noProof/>
              </w:rPr>
              <w:t>Sustainability Appraisal of Local Plan Strategic Policies and Development Management Policies</w:t>
            </w:r>
            <w:r>
              <w:rPr>
                <w:noProof/>
                <w:webHidden/>
              </w:rPr>
              <w:tab/>
            </w:r>
            <w:r>
              <w:rPr>
                <w:noProof/>
                <w:webHidden/>
              </w:rPr>
              <w:fldChar w:fldCharType="begin"/>
            </w:r>
            <w:r>
              <w:rPr>
                <w:noProof/>
                <w:webHidden/>
              </w:rPr>
              <w:instrText xml:space="preserve"> PAGEREF _Toc215140032 \h </w:instrText>
            </w:r>
            <w:r>
              <w:rPr>
                <w:noProof/>
                <w:webHidden/>
              </w:rPr>
            </w:r>
            <w:r>
              <w:rPr>
                <w:noProof/>
                <w:webHidden/>
              </w:rPr>
              <w:fldChar w:fldCharType="separate"/>
            </w:r>
            <w:r>
              <w:rPr>
                <w:noProof/>
                <w:webHidden/>
              </w:rPr>
              <w:t>35</w:t>
            </w:r>
            <w:r>
              <w:rPr>
                <w:noProof/>
                <w:webHidden/>
              </w:rPr>
              <w:fldChar w:fldCharType="end"/>
            </w:r>
          </w:hyperlink>
        </w:p>
        <w:p w14:paraId="0B224B98" w14:textId="77777777" w:rsidR="003B0D74" w:rsidRDefault="003B0D74">
          <w:pPr>
            <w:pStyle w:val="TOC2"/>
            <w:rPr>
              <w:noProof/>
              <w:kern w:val="2"/>
              <w:szCs w:val="24"/>
              <w:lang w:eastAsia="en-GB"/>
              <w14:ligatures w14:val="standardContextual"/>
            </w:rPr>
          </w:pPr>
          <w:hyperlink w:anchor="_Toc215140033" w:history="1">
            <w:r w:rsidRPr="00D21259">
              <w:rPr>
                <w:rStyle w:val="Hyperlink"/>
                <w:noProof/>
              </w:rPr>
              <w:t>5.2</w:t>
            </w:r>
            <w:r>
              <w:rPr>
                <w:noProof/>
                <w:kern w:val="2"/>
                <w:szCs w:val="24"/>
                <w:lang w:eastAsia="en-GB"/>
                <w14:ligatures w14:val="standardContextual"/>
              </w:rPr>
              <w:tab/>
            </w:r>
            <w:r w:rsidRPr="00D21259">
              <w:rPr>
                <w:rStyle w:val="Hyperlink"/>
                <w:noProof/>
              </w:rPr>
              <w:t>Housing and Regeneration Policies</w:t>
            </w:r>
            <w:r>
              <w:rPr>
                <w:noProof/>
                <w:webHidden/>
              </w:rPr>
              <w:tab/>
            </w:r>
            <w:r>
              <w:rPr>
                <w:noProof/>
                <w:webHidden/>
              </w:rPr>
              <w:fldChar w:fldCharType="begin"/>
            </w:r>
            <w:r>
              <w:rPr>
                <w:noProof/>
                <w:webHidden/>
              </w:rPr>
              <w:instrText xml:space="preserve"> PAGEREF _Toc215140033 \h </w:instrText>
            </w:r>
            <w:r>
              <w:rPr>
                <w:noProof/>
                <w:webHidden/>
              </w:rPr>
            </w:r>
            <w:r>
              <w:rPr>
                <w:noProof/>
                <w:webHidden/>
              </w:rPr>
              <w:fldChar w:fldCharType="separate"/>
            </w:r>
            <w:r>
              <w:rPr>
                <w:noProof/>
                <w:webHidden/>
              </w:rPr>
              <w:t>35</w:t>
            </w:r>
            <w:r>
              <w:rPr>
                <w:noProof/>
                <w:webHidden/>
              </w:rPr>
              <w:fldChar w:fldCharType="end"/>
            </w:r>
          </w:hyperlink>
        </w:p>
        <w:p w14:paraId="3DBAC78F" w14:textId="77777777" w:rsidR="003B0D74" w:rsidRDefault="003B0D74">
          <w:pPr>
            <w:pStyle w:val="TOC2"/>
            <w:rPr>
              <w:noProof/>
              <w:kern w:val="2"/>
              <w:szCs w:val="24"/>
              <w:lang w:eastAsia="en-GB"/>
              <w14:ligatures w14:val="standardContextual"/>
            </w:rPr>
          </w:pPr>
          <w:hyperlink w:anchor="_Toc215140034" w:history="1">
            <w:r w:rsidRPr="00D21259">
              <w:rPr>
                <w:rStyle w:val="Hyperlink"/>
                <w:noProof/>
              </w:rPr>
              <w:t>5.3</w:t>
            </w:r>
            <w:r>
              <w:rPr>
                <w:noProof/>
                <w:kern w:val="2"/>
                <w:szCs w:val="24"/>
                <w:lang w:eastAsia="en-GB"/>
                <w14:ligatures w14:val="standardContextual"/>
              </w:rPr>
              <w:tab/>
            </w:r>
            <w:r w:rsidRPr="00D21259">
              <w:rPr>
                <w:rStyle w:val="Hyperlink"/>
                <w:noProof/>
              </w:rPr>
              <w:t>Building a Prosperous and Inclusive Torbay - Unlocking Opportunity for All</w:t>
            </w:r>
            <w:r>
              <w:rPr>
                <w:noProof/>
                <w:webHidden/>
              </w:rPr>
              <w:tab/>
            </w:r>
            <w:r>
              <w:rPr>
                <w:noProof/>
                <w:webHidden/>
              </w:rPr>
              <w:fldChar w:fldCharType="begin"/>
            </w:r>
            <w:r>
              <w:rPr>
                <w:noProof/>
                <w:webHidden/>
              </w:rPr>
              <w:instrText xml:space="preserve"> PAGEREF _Toc215140034 \h </w:instrText>
            </w:r>
            <w:r>
              <w:rPr>
                <w:noProof/>
                <w:webHidden/>
              </w:rPr>
            </w:r>
            <w:r>
              <w:rPr>
                <w:noProof/>
                <w:webHidden/>
              </w:rPr>
              <w:fldChar w:fldCharType="separate"/>
            </w:r>
            <w:r>
              <w:rPr>
                <w:noProof/>
                <w:webHidden/>
              </w:rPr>
              <w:t>39</w:t>
            </w:r>
            <w:r>
              <w:rPr>
                <w:noProof/>
                <w:webHidden/>
              </w:rPr>
              <w:fldChar w:fldCharType="end"/>
            </w:r>
          </w:hyperlink>
        </w:p>
        <w:p w14:paraId="41867B69" w14:textId="77777777" w:rsidR="003B0D74" w:rsidRDefault="003B0D74">
          <w:pPr>
            <w:pStyle w:val="TOC2"/>
            <w:rPr>
              <w:noProof/>
              <w:kern w:val="2"/>
              <w:szCs w:val="24"/>
              <w:lang w:eastAsia="en-GB"/>
              <w14:ligatures w14:val="standardContextual"/>
            </w:rPr>
          </w:pPr>
          <w:hyperlink w:anchor="_Toc215140035" w:history="1">
            <w:r w:rsidRPr="00D21259">
              <w:rPr>
                <w:rStyle w:val="Hyperlink"/>
                <w:noProof/>
              </w:rPr>
              <w:t>5.4</w:t>
            </w:r>
            <w:r>
              <w:rPr>
                <w:noProof/>
                <w:kern w:val="2"/>
                <w:szCs w:val="24"/>
                <w:lang w:eastAsia="en-GB"/>
                <w14:ligatures w14:val="standardContextual"/>
              </w:rPr>
              <w:tab/>
            </w:r>
            <w:r w:rsidRPr="00D21259">
              <w:rPr>
                <w:rStyle w:val="Hyperlink"/>
                <w:noProof/>
              </w:rPr>
              <w:t>Thriving communities - Wellbeing, safety and belonging</w:t>
            </w:r>
            <w:r>
              <w:rPr>
                <w:noProof/>
                <w:webHidden/>
              </w:rPr>
              <w:tab/>
            </w:r>
            <w:r>
              <w:rPr>
                <w:noProof/>
                <w:webHidden/>
              </w:rPr>
              <w:fldChar w:fldCharType="begin"/>
            </w:r>
            <w:r>
              <w:rPr>
                <w:noProof/>
                <w:webHidden/>
              </w:rPr>
              <w:instrText xml:space="preserve"> PAGEREF _Toc215140035 \h </w:instrText>
            </w:r>
            <w:r>
              <w:rPr>
                <w:noProof/>
                <w:webHidden/>
              </w:rPr>
            </w:r>
            <w:r>
              <w:rPr>
                <w:noProof/>
                <w:webHidden/>
              </w:rPr>
              <w:fldChar w:fldCharType="separate"/>
            </w:r>
            <w:r>
              <w:rPr>
                <w:noProof/>
                <w:webHidden/>
              </w:rPr>
              <w:t>47</w:t>
            </w:r>
            <w:r>
              <w:rPr>
                <w:noProof/>
                <w:webHidden/>
              </w:rPr>
              <w:fldChar w:fldCharType="end"/>
            </w:r>
          </w:hyperlink>
        </w:p>
        <w:p w14:paraId="5F394967" w14:textId="77777777" w:rsidR="003B0D74" w:rsidRDefault="003B0D74">
          <w:pPr>
            <w:pStyle w:val="TOC2"/>
            <w:rPr>
              <w:noProof/>
              <w:kern w:val="2"/>
              <w:szCs w:val="24"/>
              <w:lang w:eastAsia="en-GB"/>
              <w14:ligatures w14:val="standardContextual"/>
            </w:rPr>
          </w:pPr>
          <w:hyperlink w:anchor="_Toc215140036" w:history="1">
            <w:r w:rsidRPr="00D21259">
              <w:rPr>
                <w:rStyle w:val="Hyperlink"/>
                <w:noProof/>
              </w:rPr>
              <w:t>5.5</w:t>
            </w:r>
            <w:r>
              <w:rPr>
                <w:noProof/>
                <w:kern w:val="2"/>
                <w:szCs w:val="24"/>
                <w:lang w:eastAsia="en-GB"/>
                <w14:ligatures w14:val="standardContextual"/>
              </w:rPr>
              <w:tab/>
            </w:r>
            <w:r w:rsidRPr="00D21259">
              <w:rPr>
                <w:rStyle w:val="Hyperlink"/>
                <w:noProof/>
              </w:rPr>
              <w:t>Moving Torbay: Sustainable Travel and Inclusive Access</w:t>
            </w:r>
            <w:r>
              <w:rPr>
                <w:noProof/>
                <w:webHidden/>
              </w:rPr>
              <w:tab/>
            </w:r>
            <w:r>
              <w:rPr>
                <w:noProof/>
                <w:webHidden/>
              </w:rPr>
              <w:fldChar w:fldCharType="begin"/>
            </w:r>
            <w:r>
              <w:rPr>
                <w:noProof/>
                <w:webHidden/>
              </w:rPr>
              <w:instrText xml:space="preserve"> PAGEREF _Toc215140036 \h </w:instrText>
            </w:r>
            <w:r>
              <w:rPr>
                <w:noProof/>
                <w:webHidden/>
              </w:rPr>
            </w:r>
            <w:r>
              <w:rPr>
                <w:noProof/>
                <w:webHidden/>
              </w:rPr>
              <w:fldChar w:fldCharType="separate"/>
            </w:r>
            <w:r>
              <w:rPr>
                <w:noProof/>
                <w:webHidden/>
              </w:rPr>
              <w:t>49</w:t>
            </w:r>
            <w:r>
              <w:rPr>
                <w:noProof/>
                <w:webHidden/>
              </w:rPr>
              <w:fldChar w:fldCharType="end"/>
            </w:r>
          </w:hyperlink>
        </w:p>
        <w:p w14:paraId="33C1E197" w14:textId="77777777" w:rsidR="003B0D74" w:rsidRDefault="003B0D74">
          <w:pPr>
            <w:pStyle w:val="TOC2"/>
            <w:rPr>
              <w:noProof/>
              <w:kern w:val="2"/>
              <w:szCs w:val="24"/>
              <w:lang w:eastAsia="en-GB"/>
              <w14:ligatures w14:val="standardContextual"/>
            </w:rPr>
          </w:pPr>
          <w:hyperlink w:anchor="_Toc215140037" w:history="1">
            <w:r w:rsidRPr="00D21259">
              <w:rPr>
                <w:rStyle w:val="Hyperlink"/>
                <w:noProof/>
              </w:rPr>
              <w:t>5.6</w:t>
            </w:r>
            <w:r>
              <w:rPr>
                <w:noProof/>
                <w:kern w:val="2"/>
                <w:szCs w:val="24"/>
                <w:lang w:eastAsia="en-GB"/>
                <w14:ligatures w14:val="standardContextual"/>
              </w:rPr>
              <w:tab/>
            </w:r>
            <w:r w:rsidRPr="00D21259">
              <w:rPr>
                <w:rStyle w:val="Hyperlink"/>
                <w:noProof/>
              </w:rPr>
              <w:t>Building for the future - Resilient and smart infrastructure and developer contributions</w:t>
            </w:r>
            <w:r>
              <w:rPr>
                <w:noProof/>
                <w:webHidden/>
              </w:rPr>
              <w:tab/>
            </w:r>
            <w:r>
              <w:rPr>
                <w:noProof/>
                <w:webHidden/>
              </w:rPr>
              <w:fldChar w:fldCharType="begin"/>
            </w:r>
            <w:r>
              <w:rPr>
                <w:noProof/>
                <w:webHidden/>
              </w:rPr>
              <w:instrText xml:space="preserve"> PAGEREF _Toc215140037 \h </w:instrText>
            </w:r>
            <w:r>
              <w:rPr>
                <w:noProof/>
                <w:webHidden/>
              </w:rPr>
            </w:r>
            <w:r>
              <w:rPr>
                <w:noProof/>
                <w:webHidden/>
              </w:rPr>
              <w:fldChar w:fldCharType="separate"/>
            </w:r>
            <w:r>
              <w:rPr>
                <w:noProof/>
                <w:webHidden/>
              </w:rPr>
              <w:t>50</w:t>
            </w:r>
            <w:r>
              <w:rPr>
                <w:noProof/>
                <w:webHidden/>
              </w:rPr>
              <w:fldChar w:fldCharType="end"/>
            </w:r>
          </w:hyperlink>
        </w:p>
        <w:p w14:paraId="2FF82A49" w14:textId="77777777" w:rsidR="003B0D74" w:rsidRDefault="003B0D74">
          <w:pPr>
            <w:pStyle w:val="TOC2"/>
            <w:rPr>
              <w:noProof/>
              <w:kern w:val="2"/>
              <w:szCs w:val="24"/>
              <w:lang w:eastAsia="en-GB"/>
              <w14:ligatures w14:val="standardContextual"/>
            </w:rPr>
          </w:pPr>
          <w:hyperlink w:anchor="_Toc215140038" w:history="1">
            <w:r w:rsidRPr="00D21259">
              <w:rPr>
                <w:rStyle w:val="Hyperlink"/>
                <w:noProof/>
              </w:rPr>
              <w:t>5.7</w:t>
            </w:r>
            <w:r>
              <w:rPr>
                <w:noProof/>
                <w:kern w:val="2"/>
                <w:szCs w:val="24"/>
                <w:lang w:eastAsia="en-GB"/>
                <w14:ligatures w14:val="standardContextual"/>
              </w:rPr>
              <w:tab/>
            </w:r>
            <w:r w:rsidRPr="00D21259">
              <w:rPr>
                <w:rStyle w:val="Hyperlink"/>
                <w:noProof/>
              </w:rPr>
              <w:t>Climate Change: Our Sustainable and Resilient Future</w:t>
            </w:r>
            <w:r>
              <w:rPr>
                <w:noProof/>
                <w:webHidden/>
              </w:rPr>
              <w:tab/>
            </w:r>
            <w:r>
              <w:rPr>
                <w:noProof/>
                <w:webHidden/>
              </w:rPr>
              <w:fldChar w:fldCharType="begin"/>
            </w:r>
            <w:r>
              <w:rPr>
                <w:noProof/>
                <w:webHidden/>
              </w:rPr>
              <w:instrText xml:space="preserve"> PAGEREF _Toc215140038 \h </w:instrText>
            </w:r>
            <w:r>
              <w:rPr>
                <w:noProof/>
                <w:webHidden/>
              </w:rPr>
            </w:r>
            <w:r>
              <w:rPr>
                <w:noProof/>
                <w:webHidden/>
              </w:rPr>
              <w:fldChar w:fldCharType="separate"/>
            </w:r>
            <w:r>
              <w:rPr>
                <w:noProof/>
                <w:webHidden/>
              </w:rPr>
              <w:t>51</w:t>
            </w:r>
            <w:r>
              <w:rPr>
                <w:noProof/>
                <w:webHidden/>
              </w:rPr>
              <w:fldChar w:fldCharType="end"/>
            </w:r>
          </w:hyperlink>
        </w:p>
        <w:p w14:paraId="5E7AF07C" w14:textId="77777777" w:rsidR="003B0D74" w:rsidRDefault="003B0D74">
          <w:pPr>
            <w:pStyle w:val="TOC2"/>
            <w:rPr>
              <w:noProof/>
              <w:kern w:val="2"/>
              <w:szCs w:val="24"/>
              <w:lang w:eastAsia="en-GB"/>
              <w14:ligatures w14:val="standardContextual"/>
            </w:rPr>
          </w:pPr>
          <w:hyperlink w:anchor="_Toc215140039" w:history="1">
            <w:r w:rsidRPr="00D21259">
              <w:rPr>
                <w:rStyle w:val="Hyperlink"/>
                <w:noProof/>
              </w:rPr>
              <w:t>5.8</w:t>
            </w:r>
            <w:r>
              <w:rPr>
                <w:noProof/>
                <w:kern w:val="2"/>
                <w:szCs w:val="24"/>
                <w:lang w:eastAsia="en-GB"/>
                <w14:ligatures w14:val="standardContextual"/>
              </w:rPr>
              <w:tab/>
            </w:r>
            <w:r w:rsidRPr="00D21259">
              <w:rPr>
                <w:rStyle w:val="Hyperlink"/>
                <w:noProof/>
              </w:rPr>
              <w:t>Our natural places: Protecting and Enhancing Torbay’s Countryside, Landscape and Natural Environment</w:t>
            </w:r>
            <w:r>
              <w:rPr>
                <w:noProof/>
                <w:webHidden/>
              </w:rPr>
              <w:tab/>
            </w:r>
            <w:r>
              <w:rPr>
                <w:noProof/>
                <w:webHidden/>
              </w:rPr>
              <w:fldChar w:fldCharType="begin"/>
            </w:r>
            <w:r>
              <w:rPr>
                <w:noProof/>
                <w:webHidden/>
              </w:rPr>
              <w:instrText xml:space="preserve"> PAGEREF _Toc215140039 \h </w:instrText>
            </w:r>
            <w:r>
              <w:rPr>
                <w:noProof/>
                <w:webHidden/>
              </w:rPr>
            </w:r>
            <w:r>
              <w:rPr>
                <w:noProof/>
                <w:webHidden/>
              </w:rPr>
              <w:fldChar w:fldCharType="separate"/>
            </w:r>
            <w:r>
              <w:rPr>
                <w:noProof/>
                <w:webHidden/>
              </w:rPr>
              <w:t>55</w:t>
            </w:r>
            <w:r>
              <w:rPr>
                <w:noProof/>
                <w:webHidden/>
              </w:rPr>
              <w:fldChar w:fldCharType="end"/>
            </w:r>
          </w:hyperlink>
        </w:p>
        <w:p w14:paraId="2D68A734" w14:textId="77777777" w:rsidR="003B0D74" w:rsidRDefault="003B0D74">
          <w:pPr>
            <w:pStyle w:val="TOC2"/>
            <w:rPr>
              <w:noProof/>
              <w:kern w:val="2"/>
              <w:szCs w:val="24"/>
              <w:lang w:eastAsia="en-GB"/>
              <w14:ligatures w14:val="standardContextual"/>
            </w:rPr>
          </w:pPr>
          <w:hyperlink w:anchor="_Toc215140040" w:history="1">
            <w:r w:rsidRPr="00D21259">
              <w:rPr>
                <w:rStyle w:val="Hyperlink"/>
                <w:noProof/>
              </w:rPr>
              <w:t>5.9</w:t>
            </w:r>
            <w:r>
              <w:rPr>
                <w:noProof/>
                <w:kern w:val="2"/>
                <w:szCs w:val="24"/>
                <w:lang w:eastAsia="en-GB"/>
                <w14:ligatures w14:val="standardContextual"/>
              </w:rPr>
              <w:tab/>
            </w:r>
            <w:r w:rsidRPr="00D21259">
              <w:rPr>
                <w:rStyle w:val="Hyperlink"/>
                <w:noProof/>
              </w:rPr>
              <w:t>Our Shared History: Protecting and Enhancing Torbay’s Heritage and Identity</w:t>
            </w:r>
            <w:r>
              <w:rPr>
                <w:noProof/>
                <w:webHidden/>
              </w:rPr>
              <w:tab/>
            </w:r>
            <w:r>
              <w:rPr>
                <w:noProof/>
                <w:webHidden/>
              </w:rPr>
              <w:fldChar w:fldCharType="begin"/>
            </w:r>
            <w:r>
              <w:rPr>
                <w:noProof/>
                <w:webHidden/>
              </w:rPr>
              <w:instrText xml:space="preserve"> PAGEREF _Toc215140040 \h </w:instrText>
            </w:r>
            <w:r>
              <w:rPr>
                <w:noProof/>
                <w:webHidden/>
              </w:rPr>
            </w:r>
            <w:r>
              <w:rPr>
                <w:noProof/>
                <w:webHidden/>
              </w:rPr>
              <w:fldChar w:fldCharType="separate"/>
            </w:r>
            <w:r>
              <w:rPr>
                <w:noProof/>
                <w:webHidden/>
              </w:rPr>
              <w:t>60</w:t>
            </w:r>
            <w:r>
              <w:rPr>
                <w:noProof/>
                <w:webHidden/>
              </w:rPr>
              <w:fldChar w:fldCharType="end"/>
            </w:r>
          </w:hyperlink>
        </w:p>
        <w:p w14:paraId="22E34DC9" w14:textId="77777777" w:rsidR="003B0D74" w:rsidRDefault="003B0D74">
          <w:pPr>
            <w:pStyle w:val="TOC2"/>
            <w:rPr>
              <w:noProof/>
              <w:kern w:val="2"/>
              <w:szCs w:val="24"/>
              <w:lang w:eastAsia="en-GB"/>
              <w14:ligatures w14:val="standardContextual"/>
            </w:rPr>
          </w:pPr>
          <w:hyperlink w:anchor="_Toc215140041" w:history="1">
            <w:r w:rsidRPr="00D21259">
              <w:rPr>
                <w:rStyle w:val="Hyperlink"/>
                <w:noProof/>
              </w:rPr>
              <w:t>5.10</w:t>
            </w:r>
            <w:r>
              <w:rPr>
                <w:noProof/>
                <w:kern w:val="2"/>
                <w:szCs w:val="24"/>
                <w:lang w:eastAsia="en-GB"/>
                <w14:ligatures w14:val="standardContextual"/>
              </w:rPr>
              <w:tab/>
            </w:r>
            <w:r w:rsidRPr="00D21259">
              <w:rPr>
                <w:rStyle w:val="Hyperlink"/>
                <w:noProof/>
              </w:rPr>
              <w:t>Designed with quality Taking pride in Torbay’s place-making</w:t>
            </w:r>
            <w:r>
              <w:rPr>
                <w:noProof/>
                <w:webHidden/>
              </w:rPr>
              <w:tab/>
            </w:r>
            <w:r>
              <w:rPr>
                <w:noProof/>
                <w:webHidden/>
              </w:rPr>
              <w:fldChar w:fldCharType="begin"/>
            </w:r>
            <w:r>
              <w:rPr>
                <w:noProof/>
                <w:webHidden/>
              </w:rPr>
              <w:instrText xml:space="preserve"> PAGEREF _Toc215140041 \h </w:instrText>
            </w:r>
            <w:r>
              <w:rPr>
                <w:noProof/>
                <w:webHidden/>
              </w:rPr>
            </w:r>
            <w:r>
              <w:rPr>
                <w:noProof/>
                <w:webHidden/>
              </w:rPr>
              <w:fldChar w:fldCharType="separate"/>
            </w:r>
            <w:r>
              <w:rPr>
                <w:noProof/>
                <w:webHidden/>
              </w:rPr>
              <w:t>62</w:t>
            </w:r>
            <w:r>
              <w:rPr>
                <w:noProof/>
                <w:webHidden/>
              </w:rPr>
              <w:fldChar w:fldCharType="end"/>
            </w:r>
          </w:hyperlink>
        </w:p>
        <w:p w14:paraId="052BCDF9" w14:textId="77777777" w:rsidR="003B0D74" w:rsidRDefault="003B0D74">
          <w:pPr>
            <w:pStyle w:val="TOC2"/>
            <w:rPr>
              <w:noProof/>
              <w:kern w:val="2"/>
              <w:szCs w:val="24"/>
              <w:lang w:eastAsia="en-GB"/>
              <w14:ligatures w14:val="standardContextual"/>
            </w:rPr>
          </w:pPr>
          <w:hyperlink w:anchor="_Toc215140042" w:history="1">
            <w:r w:rsidRPr="00D21259">
              <w:rPr>
                <w:rStyle w:val="Hyperlink"/>
                <w:noProof/>
              </w:rPr>
              <w:t>5.11</w:t>
            </w:r>
            <w:r>
              <w:rPr>
                <w:noProof/>
                <w:kern w:val="2"/>
                <w:szCs w:val="24"/>
                <w:lang w:eastAsia="en-GB"/>
                <w14:ligatures w14:val="standardContextual"/>
              </w:rPr>
              <w:tab/>
            </w:r>
            <w:r w:rsidRPr="00D21259">
              <w:rPr>
                <w:rStyle w:val="Hyperlink"/>
                <w:noProof/>
              </w:rPr>
              <w:t>Responsible resource use: Waste and Minerals</w:t>
            </w:r>
            <w:r>
              <w:rPr>
                <w:noProof/>
                <w:webHidden/>
              </w:rPr>
              <w:tab/>
            </w:r>
            <w:r>
              <w:rPr>
                <w:noProof/>
                <w:webHidden/>
              </w:rPr>
              <w:fldChar w:fldCharType="begin"/>
            </w:r>
            <w:r>
              <w:rPr>
                <w:noProof/>
                <w:webHidden/>
              </w:rPr>
              <w:instrText xml:space="preserve"> PAGEREF _Toc215140042 \h </w:instrText>
            </w:r>
            <w:r>
              <w:rPr>
                <w:noProof/>
                <w:webHidden/>
              </w:rPr>
            </w:r>
            <w:r>
              <w:rPr>
                <w:noProof/>
                <w:webHidden/>
              </w:rPr>
              <w:fldChar w:fldCharType="separate"/>
            </w:r>
            <w:r>
              <w:rPr>
                <w:noProof/>
                <w:webHidden/>
              </w:rPr>
              <w:t>64</w:t>
            </w:r>
            <w:r>
              <w:rPr>
                <w:noProof/>
                <w:webHidden/>
              </w:rPr>
              <w:fldChar w:fldCharType="end"/>
            </w:r>
          </w:hyperlink>
        </w:p>
        <w:p w14:paraId="7C89748A" w14:textId="77777777" w:rsidR="003B0D74" w:rsidRDefault="003B0D74">
          <w:pPr>
            <w:pStyle w:val="TOC1"/>
            <w:tabs>
              <w:tab w:val="left" w:pos="480"/>
              <w:tab w:val="right" w:leader="dot" w:pos="10456"/>
            </w:tabs>
            <w:rPr>
              <w:b w:val="0"/>
              <w:noProof/>
              <w:kern w:val="2"/>
              <w:szCs w:val="24"/>
              <w:lang w:eastAsia="en-GB"/>
              <w14:ligatures w14:val="standardContextual"/>
            </w:rPr>
          </w:pPr>
          <w:hyperlink w:anchor="_Toc215140043" w:history="1">
            <w:r w:rsidRPr="00D21259">
              <w:rPr>
                <w:rStyle w:val="Hyperlink"/>
                <w:noProof/>
              </w:rPr>
              <w:t>6</w:t>
            </w:r>
            <w:r>
              <w:rPr>
                <w:b w:val="0"/>
                <w:noProof/>
                <w:kern w:val="2"/>
                <w:szCs w:val="24"/>
                <w:lang w:eastAsia="en-GB"/>
                <w14:ligatures w14:val="standardContextual"/>
              </w:rPr>
              <w:tab/>
            </w:r>
            <w:r w:rsidRPr="00D21259">
              <w:rPr>
                <w:rStyle w:val="Hyperlink"/>
                <w:noProof/>
              </w:rPr>
              <w:t>Monitoring</w:t>
            </w:r>
            <w:r>
              <w:rPr>
                <w:noProof/>
                <w:webHidden/>
              </w:rPr>
              <w:tab/>
            </w:r>
            <w:r>
              <w:rPr>
                <w:noProof/>
                <w:webHidden/>
              </w:rPr>
              <w:fldChar w:fldCharType="begin"/>
            </w:r>
            <w:r>
              <w:rPr>
                <w:noProof/>
                <w:webHidden/>
              </w:rPr>
              <w:instrText xml:space="preserve"> PAGEREF _Toc215140043 \h </w:instrText>
            </w:r>
            <w:r>
              <w:rPr>
                <w:noProof/>
                <w:webHidden/>
              </w:rPr>
            </w:r>
            <w:r>
              <w:rPr>
                <w:noProof/>
                <w:webHidden/>
              </w:rPr>
              <w:fldChar w:fldCharType="separate"/>
            </w:r>
            <w:r>
              <w:rPr>
                <w:noProof/>
                <w:webHidden/>
              </w:rPr>
              <w:t>68</w:t>
            </w:r>
            <w:r>
              <w:rPr>
                <w:noProof/>
                <w:webHidden/>
              </w:rPr>
              <w:fldChar w:fldCharType="end"/>
            </w:r>
          </w:hyperlink>
        </w:p>
        <w:p w14:paraId="4048BCFB" w14:textId="77777777" w:rsidR="003B0D74" w:rsidRDefault="003B0D74">
          <w:pPr>
            <w:pStyle w:val="TOC1"/>
            <w:tabs>
              <w:tab w:val="left" w:pos="480"/>
              <w:tab w:val="right" w:leader="dot" w:pos="10456"/>
            </w:tabs>
            <w:rPr>
              <w:b w:val="0"/>
              <w:noProof/>
              <w:kern w:val="2"/>
              <w:szCs w:val="24"/>
              <w:lang w:eastAsia="en-GB"/>
              <w14:ligatures w14:val="standardContextual"/>
            </w:rPr>
          </w:pPr>
          <w:hyperlink w:anchor="_Toc215140044" w:history="1">
            <w:r w:rsidRPr="00D21259">
              <w:rPr>
                <w:rStyle w:val="Hyperlink"/>
                <w:noProof/>
              </w:rPr>
              <w:t>7</w:t>
            </w:r>
            <w:r>
              <w:rPr>
                <w:b w:val="0"/>
                <w:noProof/>
                <w:kern w:val="2"/>
                <w:szCs w:val="24"/>
                <w:lang w:eastAsia="en-GB"/>
                <w14:ligatures w14:val="standardContextual"/>
              </w:rPr>
              <w:tab/>
            </w:r>
            <w:r w:rsidRPr="00D21259">
              <w:rPr>
                <w:rStyle w:val="Hyperlink"/>
                <w:noProof/>
              </w:rPr>
              <w:t>Next Steps</w:t>
            </w:r>
            <w:r>
              <w:rPr>
                <w:noProof/>
                <w:webHidden/>
              </w:rPr>
              <w:tab/>
            </w:r>
            <w:r>
              <w:rPr>
                <w:noProof/>
                <w:webHidden/>
              </w:rPr>
              <w:fldChar w:fldCharType="begin"/>
            </w:r>
            <w:r>
              <w:rPr>
                <w:noProof/>
                <w:webHidden/>
              </w:rPr>
              <w:instrText xml:space="preserve"> PAGEREF _Toc215140044 \h </w:instrText>
            </w:r>
            <w:r>
              <w:rPr>
                <w:noProof/>
                <w:webHidden/>
              </w:rPr>
            </w:r>
            <w:r>
              <w:rPr>
                <w:noProof/>
                <w:webHidden/>
              </w:rPr>
              <w:fldChar w:fldCharType="separate"/>
            </w:r>
            <w:r>
              <w:rPr>
                <w:noProof/>
                <w:webHidden/>
              </w:rPr>
              <w:t>69</w:t>
            </w:r>
            <w:r>
              <w:rPr>
                <w:noProof/>
                <w:webHidden/>
              </w:rPr>
              <w:fldChar w:fldCharType="end"/>
            </w:r>
          </w:hyperlink>
        </w:p>
        <w:p w14:paraId="4186C3EC" w14:textId="77777777" w:rsidR="003B0D74" w:rsidRDefault="003B0D74">
          <w:pPr>
            <w:pStyle w:val="TOC1"/>
            <w:tabs>
              <w:tab w:val="left" w:pos="480"/>
              <w:tab w:val="right" w:leader="dot" w:pos="10456"/>
            </w:tabs>
            <w:rPr>
              <w:b w:val="0"/>
              <w:noProof/>
              <w:kern w:val="2"/>
              <w:szCs w:val="24"/>
              <w:lang w:eastAsia="en-GB"/>
              <w14:ligatures w14:val="standardContextual"/>
            </w:rPr>
          </w:pPr>
          <w:hyperlink w:anchor="_Toc215140045" w:history="1">
            <w:r w:rsidRPr="00D21259">
              <w:rPr>
                <w:rStyle w:val="Hyperlink"/>
                <w:noProof/>
              </w:rPr>
              <w:t>8</w:t>
            </w:r>
            <w:r>
              <w:rPr>
                <w:b w:val="0"/>
                <w:noProof/>
                <w:kern w:val="2"/>
                <w:szCs w:val="24"/>
                <w:lang w:eastAsia="en-GB"/>
                <w14:ligatures w14:val="standardContextual"/>
              </w:rPr>
              <w:tab/>
            </w:r>
            <w:r w:rsidRPr="00D21259">
              <w:rPr>
                <w:rStyle w:val="Hyperlink"/>
                <w:noProof/>
              </w:rPr>
              <w:t>A List of Appendices</w:t>
            </w:r>
            <w:r>
              <w:rPr>
                <w:noProof/>
                <w:webHidden/>
              </w:rPr>
              <w:tab/>
            </w:r>
            <w:r>
              <w:rPr>
                <w:noProof/>
                <w:webHidden/>
              </w:rPr>
              <w:fldChar w:fldCharType="begin"/>
            </w:r>
            <w:r>
              <w:rPr>
                <w:noProof/>
                <w:webHidden/>
              </w:rPr>
              <w:instrText xml:space="preserve"> PAGEREF _Toc215140045 \h </w:instrText>
            </w:r>
            <w:r>
              <w:rPr>
                <w:noProof/>
                <w:webHidden/>
              </w:rPr>
            </w:r>
            <w:r>
              <w:rPr>
                <w:noProof/>
                <w:webHidden/>
              </w:rPr>
              <w:fldChar w:fldCharType="separate"/>
            </w:r>
            <w:r>
              <w:rPr>
                <w:noProof/>
                <w:webHidden/>
              </w:rPr>
              <w:t>70</w:t>
            </w:r>
            <w:r>
              <w:rPr>
                <w:noProof/>
                <w:webHidden/>
              </w:rPr>
              <w:fldChar w:fldCharType="end"/>
            </w:r>
          </w:hyperlink>
        </w:p>
        <w:p w14:paraId="6A170D4C" w14:textId="77777777" w:rsidR="001C34F1" w:rsidRDefault="001C34F1">
          <w:r>
            <w:rPr>
              <w:b/>
            </w:rPr>
            <w:fldChar w:fldCharType="end"/>
          </w:r>
        </w:p>
      </w:sdtContent>
    </w:sdt>
    <w:p w14:paraId="11661147" w14:textId="77777777" w:rsidR="00C52D41" w:rsidRPr="00C52D41" w:rsidRDefault="00C52D41" w:rsidP="00C52D41">
      <w:pPr>
        <w:spacing w:after="120" w:line="264" w:lineRule="auto"/>
        <w:rPr>
          <w:rFonts w:asciiTheme="majorHAnsi" w:eastAsiaTheme="majorEastAsia" w:hAnsiTheme="majorHAnsi" w:cstheme="majorBidi"/>
          <w:color w:val="213563" w:themeColor="text1"/>
          <w:sz w:val="48"/>
          <w:szCs w:val="36"/>
        </w:rPr>
      </w:pPr>
      <w:r>
        <w:br w:type="page"/>
      </w:r>
    </w:p>
    <w:p w14:paraId="13B17D27" w14:textId="77777777" w:rsidR="00CA3F60" w:rsidRPr="00112FFE" w:rsidRDefault="00CA3F60" w:rsidP="00112FFE">
      <w:pPr>
        <w:pStyle w:val="Heading1nonumber"/>
      </w:pPr>
      <w:bookmarkStart w:id="2" w:name="_Toc215140000"/>
      <w:r w:rsidRPr="00112FFE">
        <w:lastRenderedPageBreak/>
        <w:t>Non-Technical Summary</w:t>
      </w:r>
      <w:bookmarkEnd w:id="2"/>
    </w:p>
    <w:p w14:paraId="1B1B0907" w14:textId="77777777" w:rsidR="00414302" w:rsidRPr="002D529E" w:rsidRDefault="00B70716" w:rsidP="002D529E">
      <w:r w:rsidRPr="002D529E">
        <w:t>This Non-Technical Summary (NTS) summarises the findings of the Sustainability Appraisal (SA) Report for the Regulation 1</w:t>
      </w:r>
      <w:r w:rsidR="007F08A1" w:rsidRPr="002D529E">
        <w:t>8</w:t>
      </w:r>
      <w:r w:rsidRPr="002D529E">
        <w:t xml:space="preserve"> </w:t>
      </w:r>
      <w:r w:rsidR="00612FF4" w:rsidRPr="002D529E">
        <w:t>Torbay</w:t>
      </w:r>
      <w:r w:rsidRPr="002D529E">
        <w:t xml:space="preserve"> Local Plan </w:t>
      </w:r>
      <w:r w:rsidR="00612FF4" w:rsidRPr="002D529E">
        <w:t>Update.</w:t>
      </w:r>
      <w:r w:rsidRPr="002D529E">
        <w:t xml:space="preserve"> which has been prepared b</w:t>
      </w:r>
      <w:r w:rsidR="00612FF4" w:rsidRPr="002D529E">
        <w:t>y Torbay</w:t>
      </w:r>
      <w:r w:rsidRPr="002D529E">
        <w:t xml:space="preserve"> Council.</w:t>
      </w:r>
    </w:p>
    <w:p w14:paraId="77360C6F" w14:textId="77777777" w:rsidR="00FE1AAE" w:rsidRPr="00414302" w:rsidRDefault="00FE1AAE" w:rsidP="00701118">
      <w:pPr>
        <w:pStyle w:val="Heading4"/>
      </w:pPr>
      <w:r w:rsidRPr="00414302">
        <w:t>What is this document about?</w:t>
      </w:r>
    </w:p>
    <w:p w14:paraId="6F87F5AF" w14:textId="77777777" w:rsidR="00FE1AAE" w:rsidRPr="00414302" w:rsidRDefault="00FE1AAE" w:rsidP="002D529E">
      <w:r w:rsidRPr="002D529E">
        <w:t xml:space="preserve">This document explains how Torbay Council is assessing the environmental, social, and economic impacts of its new Local Plan, which will guide development in Torbay from 2025 to 2045. The assessment is called a </w:t>
      </w:r>
      <w:r w:rsidR="00EF1BEB" w:rsidRPr="002D529E">
        <w:t>Sustainability Appraisal</w:t>
      </w:r>
      <w:r w:rsidRPr="002D529E">
        <w:t xml:space="preserve"> and includes legal requirements from UK and European regulations</w:t>
      </w:r>
      <w:r w:rsidRPr="00414302">
        <w:t>.</w:t>
      </w:r>
    </w:p>
    <w:p w14:paraId="4DE9220D" w14:textId="77777777" w:rsidR="00FE1AAE" w:rsidRPr="00112FFE" w:rsidRDefault="00FE1AAE" w:rsidP="00112FFE">
      <w:pPr>
        <w:pStyle w:val="Heading4"/>
      </w:pPr>
      <w:r w:rsidRPr="00112FFE">
        <w:t>Why is the Sustainability Appraisal important?</w:t>
      </w:r>
    </w:p>
    <w:p w14:paraId="03CC20B9" w14:textId="77777777" w:rsidR="00FE1AAE" w:rsidRPr="00414302" w:rsidRDefault="00FE1AAE" w:rsidP="002D529E">
      <w:r w:rsidRPr="00414302">
        <w:t>The SA helps make sure that the Local Plan:</w:t>
      </w:r>
    </w:p>
    <w:p w14:paraId="490FFE12" w14:textId="77777777" w:rsidR="00FE1AAE" w:rsidRPr="00414302" w:rsidRDefault="00FE1AAE" w:rsidP="002D529E">
      <w:pPr>
        <w:pStyle w:val="squarebullets"/>
      </w:pPr>
      <w:r w:rsidRPr="00414302">
        <w:t>Promotes sustainable development.</w:t>
      </w:r>
    </w:p>
    <w:p w14:paraId="0592E078" w14:textId="77777777" w:rsidR="00FE1AAE" w:rsidRPr="00414302" w:rsidRDefault="00FE1AAE" w:rsidP="002D529E">
      <w:pPr>
        <w:pStyle w:val="squarebullets"/>
      </w:pPr>
      <w:r w:rsidRPr="00414302">
        <w:t>Avoids harmful impacts on people and the environment.</w:t>
      </w:r>
    </w:p>
    <w:p w14:paraId="6EBA0C98" w14:textId="77777777" w:rsidR="00FE1AAE" w:rsidRPr="00414302" w:rsidRDefault="00FE1AAE" w:rsidP="002D529E">
      <w:pPr>
        <w:pStyle w:val="squarebullets"/>
      </w:pPr>
      <w:r w:rsidRPr="00414302">
        <w:t>Considers different policy options and chooses the most balanced and beneficial ones.</w:t>
      </w:r>
    </w:p>
    <w:p w14:paraId="72821B7A" w14:textId="77777777" w:rsidR="00FE1AAE" w:rsidRPr="00414302" w:rsidRDefault="00FE1AAE" w:rsidP="002D529E">
      <w:pPr>
        <w:pStyle w:val="squarebullets"/>
      </w:pPr>
      <w:r w:rsidRPr="00414302">
        <w:t>Includes ways to reduce or prevent negative effects.</w:t>
      </w:r>
    </w:p>
    <w:p w14:paraId="046505B2" w14:textId="77777777" w:rsidR="00FE1AAE" w:rsidRPr="00FE1AAE" w:rsidRDefault="00FE1AAE" w:rsidP="00112FFE">
      <w:pPr>
        <w:pStyle w:val="Heading4"/>
      </w:pPr>
      <w:r w:rsidRPr="00FE1AAE">
        <w:t>About the Local Plan</w:t>
      </w:r>
    </w:p>
    <w:p w14:paraId="32982035" w14:textId="77777777" w:rsidR="00FE1AAE" w:rsidRPr="00FE1AAE" w:rsidRDefault="00FE1AAE" w:rsidP="002D529E">
      <w:r w:rsidRPr="00FE1AAE">
        <w:t>Torbay Council is updating its Local Plan to reflect current needs and priorities. It will cover:</w:t>
      </w:r>
    </w:p>
    <w:p w14:paraId="111860FB" w14:textId="77777777" w:rsidR="00FE1AAE" w:rsidRPr="00FE1AAE" w:rsidRDefault="00FE1AAE" w:rsidP="002D529E">
      <w:pPr>
        <w:pStyle w:val="squarebullets"/>
      </w:pPr>
      <w:r w:rsidRPr="00FE1AAE">
        <w:t>Housing</w:t>
      </w:r>
    </w:p>
    <w:p w14:paraId="6F4D3AD9" w14:textId="77777777" w:rsidR="00FE1AAE" w:rsidRPr="00FE1AAE" w:rsidRDefault="00FE1AAE" w:rsidP="002D529E">
      <w:pPr>
        <w:pStyle w:val="squarebullets"/>
      </w:pPr>
      <w:r w:rsidRPr="00FE1AAE">
        <w:t>Jobs and the economy</w:t>
      </w:r>
    </w:p>
    <w:p w14:paraId="00D7837B" w14:textId="77777777" w:rsidR="00FE1AAE" w:rsidRPr="00FE1AAE" w:rsidRDefault="00FE1AAE" w:rsidP="002D529E">
      <w:pPr>
        <w:pStyle w:val="squarebullets"/>
      </w:pPr>
      <w:r w:rsidRPr="00FE1AAE">
        <w:t>Environmental protection</w:t>
      </w:r>
    </w:p>
    <w:p w14:paraId="66DBC7D8" w14:textId="77777777" w:rsidR="00FE1AAE" w:rsidRPr="00FE1AAE" w:rsidRDefault="00FE1AAE" w:rsidP="002D529E">
      <w:pPr>
        <w:pStyle w:val="squarebullets"/>
      </w:pPr>
      <w:r w:rsidRPr="00FE1AAE">
        <w:t>Social wellbeing</w:t>
      </w:r>
    </w:p>
    <w:p w14:paraId="188E9239" w14:textId="77777777" w:rsidR="00414302" w:rsidRPr="00FE1AAE" w:rsidRDefault="00FE1AAE" w:rsidP="00326CB9">
      <w:r w:rsidRPr="00FE1AAE">
        <w:t>The plan has already gone through three public consultations:</w:t>
      </w:r>
    </w:p>
    <w:p w14:paraId="308C511A" w14:textId="77777777" w:rsidR="00FE1AAE" w:rsidRPr="00FE1AAE" w:rsidRDefault="00D430A8" w:rsidP="003B0D74">
      <w:pPr>
        <w:pStyle w:val="ListParagraph"/>
        <w:numPr>
          <w:ilvl w:val="0"/>
          <w:numId w:val="5"/>
        </w:numPr>
      </w:pPr>
      <w:r w:rsidRPr="00FE1AAE">
        <w:t xml:space="preserve">Call for evidence </w:t>
      </w:r>
      <w:r>
        <w:t xml:space="preserve">- </w:t>
      </w:r>
      <w:r w:rsidR="00FE1AAE" w:rsidRPr="00FE1AAE">
        <w:t xml:space="preserve">March 2021  </w:t>
      </w:r>
    </w:p>
    <w:p w14:paraId="1210155C" w14:textId="77777777" w:rsidR="00FE1AAE" w:rsidRPr="00FE1AAE" w:rsidRDefault="00D430A8" w:rsidP="003B0D74">
      <w:pPr>
        <w:pStyle w:val="ListParagraph"/>
        <w:numPr>
          <w:ilvl w:val="0"/>
          <w:numId w:val="5"/>
        </w:numPr>
      </w:pPr>
      <w:r w:rsidRPr="00FE1AAE">
        <w:t xml:space="preserve">Growth options </w:t>
      </w:r>
      <w:r>
        <w:t xml:space="preserve">- </w:t>
      </w:r>
      <w:r w:rsidR="00FE1AAE" w:rsidRPr="00FE1AAE">
        <w:t xml:space="preserve">January 2022 </w:t>
      </w:r>
    </w:p>
    <w:p w14:paraId="0E1025C5" w14:textId="77777777" w:rsidR="00FE1AAE" w:rsidRPr="00FE1AAE" w:rsidRDefault="00FE1AAE" w:rsidP="003B0D74">
      <w:pPr>
        <w:pStyle w:val="ListParagraph"/>
        <w:numPr>
          <w:ilvl w:val="0"/>
          <w:numId w:val="5"/>
        </w:numPr>
      </w:pPr>
      <w:r w:rsidRPr="00FE1AAE">
        <w:t>Housing site options</w:t>
      </w:r>
      <w:r w:rsidR="00D430A8">
        <w:t xml:space="preserve"> - </w:t>
      </w:r>
      <w:r w:rsidR="00D430A8" w:rsidRPr="00FE1AAE">
        <w:t xml:space="preserve">October 2022 </w:t>
      </w:r>
    </w:p>
    <w:p w14:paraId="1C85A4A6" w14:textId="77777777" w:rsidR="00FE1AAE" w:rsidRPr="00FE1AAE" w:rsidRDefault="00FE1AAE" w:rsidP="00112FFE">
      <w:pPr>
        <w:pStyle w:val="Heading4"/>
      </w:pPr>
      <w:r w:rsidRPr="00FE1AAE">
        <w:lastRenderedPageBreak/>
        <w:t>What is the SA Methodology?</w:t>
      </w:r>
    </w:p>
    <w:p w14:paraId="4E0A42FB" w14:textId="77777777" w:rsidR="00FE1AAE" w:rsidRPr="00FE1AAE" w:rsidRDefault="00FE1AAE" w:rsidP="00EF1BEB">
      <w:r w:rsidRPr="00FE1AAE">
        <w:t>The Sustainability Appraisal is a step-by-step process used to check how well the Local Plan supports sustainable development. It looks at how policies and proposals might affect the environment, society, and the economy</w:t>
      </w:r>
      <w:r w:rsidR="00A313B4">
        <w:t xml:space="preserve"> </w:t>
      </w:r>
      <w:r w:rsidRPr="00FE1AAE">
        <w:t>both positively and negatively</w:t>
      </w:r>
      <w:r w:rsidR="00A313B4">
        <w:t xml:space="preserve"> </w:t>
      </w:r>
      <w:r w:rsidRPr="00FE1AAE">
        <w:t>and helps choose the best options.</w:t>
      </w:r>
    </w:p>
    <w:p w14:paraId="7AB86661" w14:textId="77777777" w:rsidR="00FE1AAE" w:rsidRPr="00FE1AAE" w:rsidRDefault="00FE1AAE" w:rsidP="00EF1BEB">
      <w:r w:rsidRPr="00FE1AAE">
        <w:t>The SA follows five main stages:</w:t>
      </w:r>
    </w:p>
    <w:p w14:paraId="0F3C9738" w14:textId="77777777" w:rsidR="00FE1AAE" w:rsidRPr="00FE1AAE" w:rsidRDefault="00FE1AAE" w:rsidP="003B0D74">
      <w:pPr>
        <w:pStyle w:val="ListParagraph"/>
        <w:numPr>
          <w:ilvl w:val="0"/>
          <w:numId w:val="4"/>
        </w:numPr>
      </w:pPr>
      <w:r w:rsidRPr="00FE1AAE">
        <w:t>Stage A – Understand the local context and set the scope.</w:t>
      </w:r>
    </w:p>
    <w:p w14:paraId="2281FC1D" w14:textId="77777777" w:rsidR="00FE1AAE" w:rsidRPr="00FE1AAE" w:rsidRDefault="00FE1AAE" w:rsidP="003B0D74">
      <w:pPr>
        <w:pStyle w:val="ListParagraph"/>
        <w:numPr>
          <w:ilvl w:val="0"/>
          <w:numId w:val="4"/>
        </w:numPr>
      </w:pPr>
      <w:r w:rsidRPr="00FE1AAE">
        <w:t>Stage B – Develop and assess different policy options.</w:t>
      </w:r>
    </w:p>
    <w:p w14:paraId="6FB1A3EC" w14:textId="77777777" w:rsidR="00FE1AAE" w:rsidRPr="00FE1AAE" w:rsidRDefault="00FE1AAE" w:rsidP="003B0D74">
      <w:pPr>
        <w:pStyle w:val="ListParagraph"/>
        <w:numPr>
          <w:ilvl w:val="0"/>
          <w:numId w:val="4"/>
        </w:numPr>
      </w:pPr>
      <w:r w:rsidRPr="00FE1AAE">
        <w:t>Stage C – Write the SA Report.</w:t>
      </w:r>
    </w:p>
    <w:p w14:paraId="0CEA8834" w14:textId="77777777" w:rsidR="00FE1AAE" w:rsidRPr="00FE1AAE" w:rsidRDefault="00FE1AAE" w:rsidP="003B0D74">
      <w:pPr>
        <w:pStyle w:val="ListParagraph"/>
        <w:numPr>
          <w:ilvl w:val="0"/>
          <w:numId w:val="4"/>
        </w:numPr>
      </w:pPr>
      <w:r w:rsidRPr="00FE1AAE">
        <w:t>Stage D – Consult the public and stakeholders.</w:t>
      </w:r>
    </w:p>
    <w:p w14:paraId="1C77E2EC" w14:textId="77777777" w:rsidR="00FE1AAE" w:rsidRPr="00FE1AAE" w:rsidRDefault="00FE1AAE" w:rsidP="003B0D74">
      <w:pPr>
        <w:pStyle w:val="ListParagraph"/>
        <w:numPr>
          <w:ilvl w:val="0"/>
          <w:numId w:val="4"/>
        </w:numPr>
      </w:pPr>
      <w:r w:rsidRPr="00FE1AAE">
        <w:t>Stage E – Monitor the effects of the Local Plan once it’s in use.</w:t>
      </w:r>
    </w:p>
    <w:p w14:paraId="3E493BC5" w14:textId="77777777" w:rsidR="00FE1AAE" w:rsidRPr="00FE1AAE" w:rsidRDefault="00FE1AAE" w:rsidP="00EF1BEB">
      <w:r w:rsidRPr="00FE1AAE">
        <w:t>This document is part of Stage C, and the upcoming public consultation will be Stage D.</w:t>
      </w:r>
    </w:p>
    <w:p w14:paraId="1A86CBB6" w14:textId="77777777" w:rsidR="00FE1AAE" w:rsidRPr="00FE1AAE" w:rsidRDefault="00FE1AAE" w:rsidP="00112FFE">
      <w:pPr>
        <w:pStyle w:val="Heading4"/>
      </w:pPr>
      <w:r w:rsidRPr="00FE1AAE">
        <w:t>How Are Policies Assessed?</w:t>
      </w:r>
    </w:p>
    <w:p w14:paraId="4041C21C" w14:textId="77777777" w:rsidR="00FE1AAE" w:rsidRPr="00FE1AAE" w:rsidRDefault="00FE1AAE" w:rsidP="00EF1BEB">
      <w:r w:rsidRPr="00FE1AAE">
        <w:t>Each part of the Local Plan is checked against a set of 13 sustainability objectives. These cover environmental, social, and economic goals and were chosen to reflect both national planning guidance and local priorities in Torbay.</w:t>
      </w:r>
    </w:p>
    <w:p w14:paraId="35C08078" w14:textId="77777777" w:rsidR="00F8764E" w:rsidRDefault="00FE1AAE" w:rsidP="00F8764E">
      <w:r w:rsidRPr="00FE1AAE">
        <w:t>Policies are rated using simple symbols and colours to show their expected impact</w:t>
      </w:r>
      <w:r w:rsidR="00A313B4">
        <w:t xml:space="preserve">. </w:t>
      </w:r>
      <w:r w:rsidRPr="00FE1AAE">
        <w:t>Most assessments are qualitative, meaning they describe expected trends rather than using numbers. They also consider how long the impact might last, how big it could be, and where it might happen.</w:t>
      </w:r>
    </w:p>
    <w:p w14:paraId="350D3C55" w14:textId="77777777" w:rsidR="008D4182" w:rsidRDefault="008D4182" w:rsidP="008D4182">
      <w:pPr>
        <w:pStyle w:val="Heading4"/>
      </w:pPr>
      <w:r>
        <w:t xml:space="preserve">Sustainability Appraisal of </w:t>
      </w:r>
      <w:r w:rsidRPr="00A71EDD">
        <w:t>Spatial Strategy and Area Policies </w:t>
      </w:r>
    </w:p>
    <w:p w14:paraId="57D06052" w14:textId="77777777" w:rsidR="008D4182" w:rsidRDefault="008D4182" w:rsidP="00F8764E">
      <w:r w:rsidRPr="00095A0B">
        <w:t>The Local Plan establishes Torbay’s overarching growth strategy</w:t>
      </w:r>
      <w:r w:rsidR="00701118">
        <w:t xml:space="preserve"> policy</w:t>
      </w:r>
      <w:r w:rsidRPr="00095A0B">
        <w:t xml:space="preserve"> and is supported by broad area-based strategies</w:t>
      </w:r>
      <w:r w:rsidR="00701118">
        <w:t>/policies</w:t>
      </w:r>
      <w:r w:rsidRPr="00095A0B">
        <w:t xml:space="preserve"> for Torquay, Paignton, Brixham, and the Broadsands-Churston-Galmpton (BCG) villages</w:t>
      </w:r>
      <w:r>
        <w:t xml:space="preserve">. </w:t>
      </w:r>
      <w:r w:rsidRPr="004121BE">
        <w:t>Further information</w:t>
      </w:r>
      <w:r>
        <w:t xml:space="preserve"> on sustainability appraisal of </w:t>
      </w:r>
      <w:r w:rsidR="00701118">
        <w:t>these</w:t>
      </w:r>
      <w:r>
        <w:t xml:space="preserve"> policies</w:t>
      </w:r>
      <w:r w:rsidRPr="004121BE">
        <w:t xml:space="preserve"> is provided in Section </w:t>
      </w:r>
      <w:r>
        <w:t>4</w:t>
      </w:r>
      <w:r w:rsidRPr="004121BE">
        <w:t xml:space="preserve"> of this report and in Appendix </w:t>
      </w:r>
      <w:r>
        <w:t>B</w:t>
      </w:r>
      <w:r w:rsidRPr="004121BE">
        <w:t>.</w:t>
      </w:r>
    </w:p>
    <w:p w14:paraId="700C02A7" w14:textId="77777777" w:rsidR="00701118" w:rsidRPr="001B4C0F" w:rsidRDefault="00701118" w:rsidP="00701118">
      <w:pPr>
        <w:pStyle w:val="Heading4"/>
      </w:pPr>
      <w:bookmarkStart w:id="3" w:name="_Toc214017909"/>
      <w:r w:rsidRPr="001B4C0F">
        <w:t>Strategic Policy SS1: Torbay Growth Strategy - Prioritising our communities through improved health, housing, place making and opportunities for all</w:t>
      </w:r>
      <w:bookmarkEnd w:id="3"/>
      <w:r w:rsidRPr="001B4C0F">
        <w:t>  </w:t>
      </w:r>
    </w:p>
    <w:p w14:paraId="17CEAAD8" w14:textId="77777777" w:rsidR="00701118" w:rsidRDefault="00701118" w:rsidP="00F8764E">
      <w:r w:rsidRPr="00701118">
        <w:t>Strategic Policy SS1</w:t>
      </w:r>
      <w:r w:rsidR="003F4201">
        <w:t xml:space="preserve"> </w:t>
      </w:r>
      <w:r w:rsidRPr="00701118">
        <w:t xml:space="preserve">strongly aligns with sustainability objectives by promoting low-carbon development, biodiversity protection, brownfield regeneration, and inclusive economic growth. It </w:t>
      </w:r>
      <w:r w:rsidRPr="00701118">
        <w:lastRenderedPageBreak/>
        <w:t>addresses housing needs, health, wellbeing, and community safety while encouraging investment in town centres and employment opportunities. However, improvements are needed in waste minimisation, managing air and noise quality during construction, and reducing car dependency in growth areas. Key mitigation measures include biodiversity net gain, robust design standards, and enhanced sustainable transport infrastructure to ensure balanced environmental, social, and economic benefits across Torbay.</w:t>
      </w:r>
    </w:p>
    <w:p w14:paraId="6E7CE2C7" w14:textId="77777777" w:rsidR="00570466" w:rsidRDefault="00570466" w:rsidP="00570466">
      <w:pPr>
        <w:pStyle w:val="Heading4"/>
      </w:pPr>
      <w:r>
        <w:t xml:space="preserve">Torquay </w:t>
      </w:r>
      <w:r w:rsidRPr="005A6767">
        <w:t>Neighbourhood Plan Area Policies</w:t>
      </w:r>
    </w:p>
    <w:p w14:paraId="4814E2FB" w14:textId="77777777" w:rsidR="00570466" w:rsidRPr="00570466" w:rsidRDefault="00570466" w:rsidP="00570466">
      <w:r w:rsidRPr="00570466">
        <w:t>Strategic Policies SDT1, SDT2, and SDT3 collectively support sustainable growth through brownfield regeneration, biodiversity protection, and improved transport connectivity. SDT1 focuses on town centre revitalisation and heritage protection, SDT2 delivers a landscape-led gateway with major transport upgrades, and SDT3 promotes a regeneration corridor with active travel and healthcare facilities. Key gaps include waste minimisation, managing construction impacts, and reducing car dependency. Recommended actions include biodiversity net gain, circular economy principles, robust design standards, and enhanced sustainable transport to ensure balanced environmental, social, and economic outcomes.</w:t>
      </w:r>
    </w:p>
    <w:p w14:paraId="6454863B" w14:textId="77777777" w:rsidR="00570466" w:rsidRDefault="00570466" w:rsidP="00570466">
      <w:pPr>
        <w:pStyle w:val="Heading4"/>
      </w:pPr>
      <w:r>
        <w:t xml:space="preserve">Paignton </w:t>
      </w:r>
      <w:r w:rsidRPr="005A6767">
        <w:t>Neighbourhood Plan Area Policies</w:t>
      </w:r>
    </w:p>
    <w:p w14:paraId="19AE777A" w14:textId="77777777" w:rsidR="00570466" w:rsidRPr="00570466" w:rsidRDefault="00570466" w:rsidP="00570466">
      <w:r w:rsidRPr="00570466">
        <w:t>Strategic Policies SDP1–SDP6 collectively promote sustainable growth in Paignton through mixed-use regeneration, brownfield redevelopment, climate resilience measures, and enhanced green infrastructure. They support housing delivery (including affordable homes), economic growth via tourism and employment hubs, and improved transport connectivity along key corridors. Strong alignment exists with biodiversity protection and flood resilience, while key gaps include explicit waste minimisation, managing construction impacts, and ensuring biodiversity net gain delivery. Recommended actions include enforcing circular economy principles, robust design standards, and health and heritage impact assessments to achieve balanced environmental, social, and economic outcomes.</w:t>
      </w:r>
    </w:p>
    <w:p w14:paraId="552A4854" w14:textId="77777777" w:rsidR="00570466" w:rsidRDefault="00570466" w:rsidP="00570466">
      <w:pPr>
        <w:pStyle w:val="Heading4"/>
      </w:pPr>
      <w:r>
        <w:t xml:space="preserve">Brixham </w:t>
      </w:r>
      <w:r w:rsidRPr="005A6767">
        <w:t>Neighbourhood Plan Area Policies</w:t>
      </w:r>
    </w:p>
    <w:p w14:paraId="5225A385" w14:textId="77777777" w:rsidR="00570466" w:rsidRPr="00570466" w:rsidRDefault="00570466" w:rsidP="00570466">
      <w:r w:rsidRPr="00570466">
        <w:t xml:space="preserve">Strategic Policies SDB1–SDB3 collectively aim to deliver sustainable growth in Brixham through limited development, town centre and harbour regeneration, and strong environmental protection. SDB1 focuses on housing, maritime industries, and community facilities while safeguarding the South Devon National Landscape and Berry Head SAC. SDB2 promotes mixed-use waterfront regeneration to boost economic vitality and tourism, with flood resilience and habitat safeguards. SDB3 prioritises coastal conservation and recreation management, strongly aligning with environmental objectives by protecting sensitive habitats and landscapes. Key gaps include waste </w:t>
      </w:r>
      <w:r w:rsidRPr="00570466">
        <w:lastRenderedPageBreak/>
        <w:t>minimisation and managing construction impacts, with recommended actions such as biodiversity net gain, sustainable drainage, and circular economy</w:t>
      </w:r>
    </w:p>
    <w:p w14:paraId="08FEF977" w14:textId="77777777" w:rsidR="00570466" w:rsidRDefault="00C52D41" w:rsidP="00570466">
      <w:pPr>
        <w:pStyle w:val="Heading4"/>
      </w:pPr>
      <w:r w:rsidRPr="00BD194F">
        <w:t xml:space="preserve">Broadsands, Churston, and Galmpton Villages </w:t>
      </w:r>
      <w:r>
        <w:t>(</w:t>
      </w:r>
      <w:r w:rsidR="00570466">
        <w:t>BCG</w:t>
      </w:r>
      <w:r>
        <w:t>)</w:t>
      </w:r>
      <w:r w:rsidR="00570466">
        <w:t xml:space="preserve"> </w:t>
      </w:r>
      <w:r w:rsidR="00570466" w:rsidRPr="005A6767">
        <w:t>Neighbourhood Plan Area Policies</w:t>
      </w:r>
    </w:p>
    <w:p w14:paraId="38B4FD08" w14:textId="77777777" w:rsidR="00701118" w:rsidRDefault="00570466" w:rsidP="00F8764E">
      <w:r>
        <w:t>S</w:t>
      </w:r>
      <w:r w:rsidRPr="00570466">
        <w:t>trategic Policies SDBCG1–SDBCG3 collectively aim to balance limited development with strong environmental protection in the BCG villages. SDBCG1 focuses on sustainable living and landscape protection, delivering housing and a school at Inglewood while maintaining rural character and green infrastructure. SDBCG2 provides housing, affordable homes, employment land, and biodiversity net gain north of Windy Corner, but faces challenges around carbon emissions, transport, and waste management. SDBCG3 prioritises conservation of the South Devon National Landscape and ecological corridors while enabling small-scale development, a park-and-ride facility, and a SANG to manage recreation pressures. Overall, these policies strongly align with environmental objectives and local needs, with mitigation required for transport, waste, and climate resilience.</w:t>
      </w:r>
    </w:p>
    <w:p w14:paraId="125BFB98" w14:textId="77777777" w:rsidR="00F8764E" w:rsidRDefault="00F8764E" w:rsidP="00112FFE">
      <w:pPr>
        <w:pStyle w:val="Heading4"/>
      </w:pPr>
      <w:r>
        <w:t xml:space="preserve">Sustainability Appraisal of Local Plan Strategic Policies and Development Management Policies </w:t>
      </w:r>
    </w:p>
    <w:p w14:paraId="6DCFA7F8" w14:textId="77777777" w:rsidR="004121BE" w:rsidRDefault="004121BE" w:rsidP="00326CB9">
      <w:r w:rsidRPr="004121BE">
        <w:t>The Local Plan includes both strategic policies and detailed development management policies. Further information</w:t>
      </w:r>
      <w:r w:rsidR="008D4182">
        <w:t xml:space="preserve"> on sustainability appraisal of </w:t>
      </w:r>
      <w:r w:rsidR="00701118">
        <w:t>these</w:t>
      </w:r>
      <w:r w:rsidR="008D4182">
        <w:t xml:space="preserve"> polic</w:t>
      </w:r>
      <w:r w:rsidR="00701118">
        <w:t>i</w:t>
      </w:r>
      <w:r w:rsidR="008D4182">
        <w:t>es</w:t>
      </w:r>
      <w:r w:rsidRPr="004121BE">
        <w:t xml:space="preserve"> is provided in Section </w:t>
      </w:r>
      <w:r w:rsidR="008D4182">
        <w:t>5</w:t>
      </w:r>
      <w:r w:rsidRPr="004121BE">
        <w:t xml:space="preserve"> of this report and in Appendix </w:t>
      </w:r>
      <w:r w:rsidR="008D4182">
        <w:t>C</w:t>
      </w:r>
      <w:r w:rsidRPr="004121BE">
        <w:t>.</w:t>
      </w:r>
    </w:p>
    <w:p w14:paraId="526BC64F" w14:textId="77777777" w:rsidR="00F8764E" w:rsidRDefault="00F8764E" w:rsidP="00112FFE">
      <w:pPr>
        <w:pStyle w:val="Heading4"/>
      </w:pPr>
      <w:r w:rsidRPr="00B664EF">
        <w:t xml:space="preserve">Housing and Regeneration Policies </w:t>
      </w:r>
    </w:p>
    <w:p w14:paraId="0BA3B03A" w14:textId="77777777" w:rsidR="00150898" w:rsidRDefault="00150898" w:rsidP="00EF1BEB">
      <w:r w:rsidRPr="00150898">
        <w:t>Torbay’s housing policies aim to deliver inclusive, climate-resilient homes while prioritising urban regeneration over greenfield development. They focus on revitalising town centres, reusing land and buildings, and providing affordable, high-quality housing that supports active travel and community wellbeing. The strategy promotes mixed communities, accessible design, and specialist housing for vulnerable groups, while managing conversions, HMOs, and self-build opportunities responsibly. Strong design standards, infrastructure investment, and environmental safeguards are essential to balance growth with heritage protection and sustainability. Together, these policies seek to create vibrant, equitable, and resilient communities across Torbay.</w:t>
      </w:r>
    </w:p>
    <w:p w14:paraId="21AC4749" w14:textId="77777777" w:rsidR="00150898" w:rsidRDefault="00150898" w:rsidP="00112FFE">
      <w:pPr>
        <w:pStyle w:val="Heading4"/>
      </w:pPr>
      <w:r w:rsidRPr="00846D9A">
        <w:lastRenderedPageBreak/>
        <w:t xml:space="preserve">Building a </w:t>
      </w:r>
      <w:r>
        <w:t>P</w:t>
      </w:r>
      <w:r w:rsidRPr="00846D9A">
        <w:t xml:space="preserve">rosperous and </w:t>
      </w:r>
      <w:r>
        <w:t>I</w:t>
      </w:r>
      <w:r w:rsidRPr="00846D9A">
        <w:t xml:space="preserve">nclusive Torbay - Unlocking </w:t>
      </w:r>
      <w:r>
        <w:t>O</w:t>
      </w:r>
      <w:r w:rsidRPr="00846D9A">
        <w:t xml:space="preserve">pportunity for </w:t>
      </w:r>
      <w:r>
        <w:t>A</w:t>
      </w:r>
      <w:r w:rsidRPr="00846D9A">
        <w:t>ll</w:t>
      </w:r>
    </w:p>
    <w:p w14:paraId="6937876B" w14:textId="77777777" w:rsidR="00377E10" w:rsidRDefault="00377E10" w:rsidP="00112FFE">
      <w:pPr>
        <w:pStyle w:val="Heading4"/>
      </w:pPr>
      <w:r>
        <w:t>Economy Policies</w:t>
      </w:r>
    </w:p>
    <w:p w14:paraId="12531427" w14:textId="77777777" w:rsidR="00377E10" w:rsidRDefault="00377E10" w:rsidP="00EF1BEB">
      <w:r w:rsidRPr="00377E10">
        <w:t>These policies aim to build a stronger, fairer, and greener economy for Torbay. They support job creation, business growth, and education, while also recognising the need to protect the environment and promote community wellbeing.</w:t>
      </w:r>
    </w:p>
    <w:p w14:paraId="1838CE73" w14:textId="77777777" w:rsidR="00377E10" w:rsidRDefault="00377E10" w:rsidP="00112FFE">
      <w:pPr>
        <w:pStyle w:val="Heading4"/>
      </w:pPr>
      <w:r>
        <w:t>Tourism Polic</w:t>
      </w:r>
      <w:r w:rsidR="00A313B4">
        <w:t>i</w:t>
      </w:r>
      <w:r>
        <w:t>es</w:t>
      </w:r>
    </w:p>
    <w:p w14:paraId="5654C0AE" w14:textId="77777777" w:rsidR="00377E10" w:rsidRDefault="00377E10" w:rsidP="00EF1BEB">
      <w:r w:rsidRPr="00377E10">
        <w:t>These policies aim to make Torbay’s tourism sector modern, sustainable, and community friendly. They support economic growth while protecting the environment, cultural heritage, and quality of life for residents.</w:t>
      </w:r>
    </w:p>
    <w:p w14:paraId="0C70C82D" w14:textId="77777777" w:rsidR="00377E10" w:rsidRDefault="00377E10" w:rsidP="00112FFE">
      <w:pPr>
        <w:pStyle w:val="Heading4"/>
      </w:pPr>
      <w:r>
        <w:t xml:space="preserve">Town Centre Policies </w:t>
      </w:r>
    </w:p>
    <w:p w14:paraId="5DBC2E94" w14:textId="77777777" w:rsidR="00377E10" w:rsidRDefault="00692ED1" w:rsidP="00EF1BEB">
      <w:r w:rsidRPr="00692ED1">
        <w:t>These policies aim to make Torbay’s town centres thriving, inclusive, and sustainable places to live, work, and visit. They balance growth with protecting heritage, supporting communities, and improving the environment.</w:t>
      </w:r>
    </w:p>
    <w:p w14:paraId="1753C181" w14:textId="77777777" w:rsidR="0090378B" w:rsidRPr="0090378B" w:rsidRDefault="00A501F4" w:rsidP="00112FFE">
      <w:pPr>
        <w:pStyle w:val="Heading4"/>
      </w:pPr>
      <w:r w:rsidRPr="00846D9A">
        <w:t>Thriving communities - Wellbeing, safety and belonging</w:t>
      </w:r>
      <w:r>
        <w:t xml:space="preserve"> </w:t>
      </w:r>
    </w:p>
    <w:p w14:paraId="03332E42" w14:textId="77777777" w:rsidR="006B66AB" w:rsidRDefault="0090378B" w:rsidP="0090378B">
      <w:r w:rsidRPr="0090378B">
        <w:t xml:space="preserve">The Sustainable and Inclusive Communities Strategy and its supporting policies aim to create healthier, more inclusive, and environmentally responsible communities by improving access to health services, education, food, and recreational spaces while reducing inequalities and promoting active lifestyles. Together, they strengthen social cohesion, support economic development, and enhance public health through well-designed infrastructure, sport and leisure facilities, and local food production. These policies also contribute to environmental protection, climate resilience, and biodiversity, ensuring safe, accessible, and vibrant </w:t>
      </w:r>
      <w:r w:rsidR="00E06B74" w:rsidRPr="0090378B">
        <w:t>neighbourhoods.</w:t>
      </w:r>
      <w:r w:rsidRPr="0090378B">
        <w:t xml:space="preserve"> that foster wellbeing and sustainable growth.</w:t>
      </w:r>
    </w:p>
    <w:p w14:paraId="5D825CE3" w14:textId="77777777" w:rsidR="0090378B" w:rsidRDefault="0090378B" w:rsidP="00112FFE">
      <w:pPr>
        <w:pStyle w:val="Heading4"/>
      </w:pPr>
      <w:r w:rsidRPr="00846D9A">
        <w:t xml:space="preserve">Moving Torbay: Sustainable </w:t>
      </w:r>
      <w:r>
        <w:t>T</w:t>
      </w:r>
      <w:r w:rsidRPr="00846D9A">
        <w:t xml:space="preserve">ravel and </w:t>
      </w:r>
      <w:r>
        <w:t>I</w:t>
      </w:r>
      <w:r w:rsidRPr="00846D9A">
        <w:t xml:space="preserve">nclusive </w:t>
      </w:r>
      <w:r>
        <w:t>A</w:t>
      </w:r>
      <w:r w:rsidRPr="00846D9A">
        <w:t>ccess</w:t>
      </w:r>
    </w:p>
    <w:p w14:paraId="6D32522C" w14:textId="77777777" w:rsidR="0090378B" w:rsidRPr="0090378B" w:rsidRDefault="0090378B" w:rsidP="0090378B">
      <w:r w:rsidRPr="0090378B">
        <w:t>The Moving Torbay: Sustainable Travel and Inclusive Access strategy focuses on creating an integrated, low-carbon, and accessible transport system that promotes active travel, public transport, and connectivity while reducing car dependency. Policies within this strategy aim to improve health and wellbeing, support climate action, and enhance economic development through safe, inclusive, and affordable transport options. Key measures include walking and cycling infrastructure, mobility hubs, EV charging, shared transport, and better connectivity standards for new developments. While the approach strongly supports sustainability and equity, careful mitigation is needed to protect natural habitats and landscape character, and further improvements could strengthen biodiversity, affordability, and long-term monitoring.</w:t>
      </w:r>
    </w:p>
    <w:p w14:paraId="3E874D6F" w14:textId="77777777" w:rsidR="0090378B" w:rsidRDefault="0090378B" w:rsidP="00112FFE">
      <w:pPr>
        <w:pStyle w:val="Heading4"/>
      </w:pPr>
      <w:r w:rsidRPr="00B83ED2">
        <w:lastRenderedPageBreak/>
        <w:t>Building for the future - Resilient and smart infrastructure and developer contributions</w:t>
      </w:r>
    </w:p>
    <w:p w14:paraId="67B26115" w14:textId="77777777" w:rsidR="00446D2C" w:rsidRDefault="00446D2C" w:rsidP="00414302">
      <w:r w:rsidRPr="00446D2C">
        <w:t>Torbay’s approach to infrastructure planning focuses on creating sustainable, connected, and future-ready communities. The strategy promotes climate resilience, biodiversity, active travel, and health equity, while ensuring essential services and digital connectivity are prioritized in new developments. Although areas like waste management and land reuse need further attention, these can be strengthened through targeted actions and monitoring. Overall, the policies provide a clear framework for sustainable growth, balancing environmental protection with economic and social benefits.</w:t>
      </w:r>
    </w:p>
    <w:p w14:paraId="41434097" w14:textId="77777777" w:rsidR="00A32BAD" w:rsidRDefault="00A32BAD" w:rsidP="00112FFE">
      <w:pPr>
        <w:pStyle w:val="Heading4"/>
      </w:pPr>
      <w:r w:rsidRPr="00846D9A">
        <w:t xml:space="preserve">Climate Change: Our </w:t>
      </w:r>
      <w:r>
        <w:t>S</w:t>
      </w:r>
      <w:r w:rsidRPr="00846D9A">
        <w:t xml:space="preserve">ustainable and </w:t>
      </w:r>
      <w:r>
        <w:t>R</w:t>
      </w:r>
      <w:r w:rsidRPr="00846D9A">
        <w:t xml:space="preserve">esilient </w:t>
      </w:r>
      <w:r>
        <w:t>F</w:t>
      </w:r>
      <w:r w:rsidRPr="00846D9A">
        <w:t xml:space="preserve">uture </w:t>
      </w:r>
    </w:p>
    <w:p w14:paraId="4C11B227" w14:textId="77777777" w:rsidR="00FE1AAE" w:rsidRPr="00FE1AAE" w:rsidRDefault="00A32BAD" w:rsidP="00FE1AAE">
      <w:r>
        <w:t>T</w:t>
      </w:r>
      <w:r w:rsidRPr="00A32BAD">
        <w:t>he Climate Change strategy focuses on creating a sustainable, climate-resilient Torbay by promoting net zero carbon development, renewable energy, and water-sensitive design. Policies encourage energy-efficient buildings, reduction of embodied carbon, and reuse of heritage assets to cut emissions while preserving cultural identity. They also support renewable energy generation, flood risk management, and sustainable drainage systems to protect communities and biodiversity. Additional measures address contaminated land, ground stability, and coastal erosion, ensuring safe and adaptive development. Together, these policies strengthen climate resilience, safeguard public health, and drive Torbay’s transition to a low-carbon, sustainable future.</w:t>
      </w:r>
    </w:p>
    <w:p w14:paraId="5DEC5F14" w14:textId="77777777" w:rsidR="00B93979" w:rsidRDefault="006B66AB" w:rsidP="007F08A1">
      <w:r w:rsidRPr="00193ADE">
        <w:rPr>
          <w:rFonts w:asciiTheme="majorHAnsi" w:eastAsiaTheme="majorEastAsia" w:hAnsiTheme="majorHAnsi" w:cstheme="majorBidi"/>
          <w:color w:val="213563" w:themeColor="text1"/>
          <w:sz w:val="28"/>
          <w:szCs w:val="24"/>
        </w:rPr>
        <w:t>Our Natural Places: Protecting and Enhancing Torbay’s Countryside, Landscape and Natural Environment</w:t>
      </w:r>
      <w:r w:rsidRPr="006B66AB">
        <w:br/>
      </w:r>
      <w:r w:rsidR="00193ADE" w:rsidRPr="00193ADE">
        <w:t>These policies safeguard Torbay’s landscapes, coastlines, and green spaces while promoting biodiversity, climate resilience, and community wellbeing. They protect valued rural and urban areas, limit harmful development, and enhance access to nature. By conserving trees, hedgerows, habitats, and geodiversity, and integrating green and blue infrastructure, they strengthen environmental stewardship, improve public health, and support sustainable tourism and placemaking.</w:t>
      </w:r>
    </w:p>
    <w:p w14:paraId="50086518" w14:textId="77777777" w:rsidR="00B93979" w:rsidRPr="00B93979" w:rsidRDefault="00B93979" w:rsidP="007F08A1">
      <w:pPr>
        <w:rPr>
          <w:rFonts w:asciiTheme="majorHAnsi" w:eastAsiaTheme="majorEastAsia" w:hAnsiTheme="majorHAnsi" w:cstheme="majorBidi"/>
          <w:color w:val="213563" w:themeColor="text1"/>
          <w:sz w:val="28"/>
          <w:szCs w:val="24"/>
        </w:rPr>
      </w:pPr>
      <w:r w:rsidRPr="00B93979">
        <w:rPr>
          <w:rFonts w:asciiTheme="majorHAnsi" w:eastAsiaTheme="majorEastAsia" w:hAnsiTheme="majorHAnsi" w:cstheme="majorBidi"/>
          <w:color w:val="213563" w:themeColor="text1"/>
          <w:sz w:val="28"/>
          <w:szCs w:val="24"/>
        </w:rPr>
        <w:t xml:space="preserve">Our Shared History: Protecting and Enhancing Torbay’s Heritage and Identity </w:t>
      </w:r>
    </w:p>
    <w:p w14:paraId="6D1B39F5" w14:textId="77777777" w:rsidR="00B93979" w:rsidRDefault="00B93979" w:rsidP="007F08A1">
      <w:r w:rsidRPr="00B93979">
        <w:t xml:space="preserve">The heritage policies aim to protect and enhance Torbay’s historic environment while supporting sustainable development and community identity. They focus on conserving designated and non-designated heritage assets, safeguarding archaeology, and promoting adaptive reuse to reduce waste and regenerate urban areas. These policies strengthen cultural identity, economic growth, </w:t>
      </w:r>
      <w:r w:rsidRPr="00B93979">
        <w:lastRenderedPageBreak/>
        <w:t>and wellbeing, while encouraging sensitive redevelopment and integration with climate resilience and inclusive access. Together, they provide a robust framework for heritage-led sustainability and long-term stewardship.</w:t>
      </w:r>
    </w:p>
    <w:p w14:paraId="488B6FF4" w14:textId="77777777" w:rsidR="00B93979" w:rsidRPr="00B93979" w:rsidRDefault="00B93979" w:rsidP="00B93979">
      <w:pPr>
        <w:rPr>
          <w:rFonts w:asciiTheme="majorHAnsi" w:eastAsiaTheme="majorEastAsia" w:hAnsiTheme="majorHAnsi" w:cstheme="majorBidi"/>
          <w:color w:val="213563" w:themeColor="text1"/>
          <w:sz w:val="28"/>
          <w:szCs w:val="24"/>
        </w:rPr>
      </w:pPr>
      <w:r w:rsidRPr="00B93979">
        <w:rPr>
          <w:rFonts w:asciiTheme="majorHAnsi" w:eastAsiaTheme="majorEastAsia" w:hAnsiTheme="majorHAnsi" w:cstheme="majorBidi"/>
          <w:color w:val="213563" w:themeColor="text1"/>
          <w:sz w:val="28"/>
          <w:szCs w:val="24"/>
        </w:rPr>
        <w:t xml:space="preserve">Designed with quality Taking pride in Torbay’s place-making </w:t>
      </w:r>
    </w:p>
    <w:p w14:paraId="2852B889" w14:textId="77777777" w:rsidR="00B93979" w:rsidRDefault="00B93979" w:rsidP="007F08A1">
      <w:r w:rsidRPr="00B93979">
        <w:t xml:space="preserve">These design and placemaking policies aim to create attractive, inclusive, and sustainable communities in Torbay. They promote high-quality design, efficient land use, and protection of heritage and environmental assets while supporting health, wellbeing, and economic regeneration. Key measures include integrating green infrastructure, ensuring good living standards, managing building heights sensitively, and encouraging active travel. Additional policies regulate extensions and advertisements to maintain character, reduce visual clutter, and protect amenity. Together, they foster safe, vibrant </w:t>
      </w:r>
      <w:r w:rsidR="00E06B74" w:rsidRPr="00B93979">
        <w:t>neighbourhoods</w:t>
      </w:r>
      <w:r w:rsidRPr="00B93979">
        <w:t xml:space="preserve"> that balance growth with environmental and social quality.</w:t>
      </w:r>
    </w:p>
    <w:p w14:paraId="087E31E5" w14:textId="77777777" w:rsidR="00B93979" w:rsidRPr="00B93979" w:rsidRDefault="00B93979" w:rsidP="007F08A1">
      <w:pPr>
        <w:rPr>
          <w:rFonts w:asciiTheme="majorHAnsi" w:eastAsiaTheme="majorEastAsia" w:hAnsiTheme="majorHAnsi" w:cstheme="majorBidi"/>
          <w:color w:val="213563" w:themeColor="text1"/>
          <w:sz w:val="28"/>
          <w:szCs w:val="24"/>
        </w:rPr>
      </w:pPr>
      <w:r w:rsidRPr="00B93979">
        <w:rPr>
          <w:rFonts w:asciiTheme="majorHAnsi" w:eastAsiaTheme="majorEastAsia" w:hAnsiTheme="majorHAnsi" w:cstheme="majorBidi"/>
          <w:color w:val="213563" w:themeColor="text1"/>
          <w:sz w:val="28"/>
          <w:szCs w:val="24"/>
        </w:rPr>
        <w:t xml:space="preserve">Responsible resource use: Waste and Minerals </w:t>
      </w:r>
    </w:p>
    <w:p w14:paraId="6C4CD4A9" w14:textId="77777777" w:rsidR="00CA3F60" w:rsidRPr="00CA3F60" w:rsidRDefault="00E06B74" w:rsidP="007F08A1">
      <w:r>
        <w:t>T</w:t>
      </w:r>
      <w:r w:rsidR="00B93979" w:rsidRPr="00B93979">
        <w:t>hese policies aim to ensure responsible use of resources in Torbay by promoting sustainable waste and minerals management. They encourage waste reduction, recycling, and circular economy practices</w:t>
      </w:r>
      <w:r w:rsidR="00B73962">
        <w:rPr>
          <w:rStyle w:val="FootnoteReference"/>
        </w:rPr>
        <w:footnoteReference w:id="1"/>
      </w:r>
      <w:r w:rsidR="00B93979" w:rsidRPr="00B93979">
        <w:t>, safeguard existing facilities, and require high standards for new infrastructure. Wastewater policies protect water quality and support climate resilience. Minerals policies focus on using recycled aggregates, preserving local stone, and restoring extraction sites to protect landscapes and biodiversity. Together, these measures reduce environmental impacts, support economic growth, and enhance community wellbeing.</w:t>
      </w:r>
      <w:r w:rsidR="00014785">
        <w:br w:type="page"/>
      </w:r>
    </w:p>
    <w:p w14:paraId="5A87599E" w14:textId="77777777" w:rsidR="0090605D" w:rsidRPr="00031A61" w:rsidRDefault="00380FCD" w:rsidP="003B0D74">
      <w:pPr>
        <w:pStyle w:val="Heading1"/>
        <w:numPr>
          <w:ilvl w:val="0"/>
          <w:numId w:val="9"/>
        </w:numPr>
      </w:pPr>
      <w:bookmarkStart w:id="4" w:name="_Toc215140001"/>
      <w:r w:rsidRPr="00031A61">
        <w:lastRenderedPageBreak/>
        <w:t>Introduction</w:t>
      </w:r>
      <w:bookmarkEnd w:id="4"/>
    </w:p>
    <w:p w14:paraId="1585F6EA" w14:textId="77777777" w:rsidR="008654C0" w:rsidRPr="00031A61" w:rsidRDefault="00380FCD" w:rsidP="00112FFE">
      <w:pPr>
        <w:pStyle w:val="Heading2"/>
      </w:pPr>
      <w:bookmarkStart w:id="5" w:name="_Toc215140002"/>
      <w:r w:rsidRPr="00031A61">
        <w:t>Background</w:t>
      </w:r>
      <w:bookmarkEnd w:id="5"/>
      <w:r w:rsidRPr="00031A61">
        <w:t xml:space="preserve"> </w:t>
      </w:r>
    </w:p>
    <w:p w14:paraId="4F5E33CB" w14:textId="77777777" w:rsidR="00F734FD" w:rsidRPr="0083442C" w:rsidRDefault="00F734FD" w:rsidP="00326CB9">
      <w:pPr>
        <w:pStyle w:val="Heading3"/>
      </w:pPr>
      <w:r w:rsidRPr="0083442C">
        <w:t>This document presents the Sustainability Appraisal (SA) of the Torbay Local Plan. It integrates the requirements of the Strategic Environmental Assessment (SEA) Directive</w:t>
      </w:r>
      <w:r w:rsidRPr="00072B1D">
        <w:rPr>
          <w:vertAlign w:val="superscript"/>
        </w:rPr>
        <w:footnoteReference w:id="2"/>
      </w:r>
      <w:r w:rsidRPr="00072B1D">
        <w:rPr>
          <w:vertAlign w:val="superscript"/>
        </w:rPr>
        <w:t xml:space="preserve"> </w:t>
      </w:r>
      <w:r w:rsidRPr="0083442C">
        <w:t>(2001/42/EC) and the Environmental Assessment of Plans and Programmes Regulations 2004</w:t>
      </w:r>
      <w:r w:rsidRPr="00072B1D">
        <w:rPr>
          <w:vertAlign w:val="superscript"/>
        </w:rPr>
        <w:footnoteReference w:id="3"/>
      </w:r>
      <w:r w:rsidRPr="0083442C">
        <w:t>. In accordance with the Planning and Compulsory Purchase Act 2004, the SA is a statutory component of Local Development Documents, as required under Section 19. Additionally, the National Planning Policy Framework (NPPF) mandates that Sustainability Appraisal incorporating SEA requirements must be embedded throughout the plan-making process.</w:t>
      </w:r>
    </w:p>
    <w:p w14:paraId="6BF5C2D8" w14:textId="77777777" w:rsidR="003410BD" w:rsidRPr="0083442C" w:rsidRDefault="00A71B58" w:rsidP="00326CB9">
      <w:pPr>
        <w:pStyle w:val="Heading3"/>
      </w:pPr>
      <w:bookmarkStart w:id="6" w:name="_Toc461097340"/>
      <w:bookmarkStart w:id="7" w:name="_Toc461542864"/>
      <w:r w:rsidRPr="0083442C">
        <w:t>The purpose of the SA is to evaluate the environmental, social, and economic impacts of proposed plans and programmes. By assessing Local Plan policies and their reasonable alternatives, the SA helps shape the most sustainable options as part of the plan’s development. Where significant adverse effects are identified, appropriate mitigation measures should be explored and incorporated.</w:t>
      </w:r>
    </w:p>
    <w:p w14:paraId="4E40B8FA" w14:textId="77777777" w:rsidR="004B75C5" w:rsidRDefault="004B75C5" w:rsidP="00112FFE">
      <w:pPr>
        <w:pStyle w:val="Heading2"/>
      </w:pPr>
      <w:bookmarkStart w:id="8" w:name="_Toc215140003"/>
      <w:r>
        <w:t>The Torbay Local Plan</w:t>
      </w:r>
      <w:bookmarkEnd w:id="8"/>
      <w:r>
        <w:t xml:space="preserve"> </w:t>
      </w:r>
    </w:p>
    <w:p w14:paraId="240526DD" w14:textId="77777777" w:rsidR="004B75C5" w:rsidRDefault="004B75C5" w:rsidP="00326CB9">
      <w:pPr>
        <w:pStyle w:val="Heading3"/>
      </w:pPr>
      <w:r>
        <w:t xml:space="preserve">Torbay </w:t>
      </w:r>
      <w:r w:rsidRPr="004B75C5">
        <w:t>Council is preparing a Local Plan</w:t>
      </w:r>
      <w:r>
        <w:t xml:space="preserve"> update </w:t>
      </w:r>
      <w:r w:rsidRPr="004B75C5">
        <w:t>which, once adopted, will replace the existing Local Plan. The new Local Plan will set the planning framework for</w:t>
      </w:r>
      <w:r>
        <w:t xml:space="preserve"> Torbay</w:t>
      </w:r>
      <w:r w:rsidRPr="004B75C5">
        <w:t xml:space="preserve"> between 202</w:t>
      </w:r>
      <w:r>
        <w:t>5</w:t>
      </w:r>
      <w:r w:rsidRPr="004B75C5">
        <w:t xml:space="preserve"> and 20</w:t>
      </w:r>
      <w:r>
        <w:t>45</w:t>
      </w:r>
      <w:r w:rsidRPr="004B75C5">
        <w:t xml:space="preserve">, setting out policies and proposals to address housing needs and other economic, social and environmental issues. </w:t>
      </w:r>
    </w:p>
    <w:p w14:paraId="74B0B02B" w14:textId="77777777" w:rsidR="00176938" w:rsidRPr="00176938" w:rsidRDefault="00176938" w:rsidP="00326CB9">
      <w:pPr>
        <w:pStyle w:val="Heading3"/>
      </w:pPr>
      <w:r w:rsidRPr="00176938">
        <w:t>To date, three rounds of Regulation 18 consultation have taken place, each supported by a Sustainability Appraisal exploring reasonable alternatives. These include:</w:t>
      </w:r>
    </w:p>
    <w:p w14:paraId="39635131" w14:textId="77777777" w:rsidR="00176938" w:rsidRPr="00176938" w:rsidRDefault="00176938" w:rsidP="002D529E">
      <w:pPr>
        <w:pStyle w:val="squarebullets"/>
      </w:pPr>
      <w:r w:rsidRPr="00176938">
        <w:t xml:space="preserve">A call for evidence </w:t>
      </w:r>
      <w:r w:rsidR="009415ED">
        <w:t>-</w:t>
      </w:r>
      <w:r w:rsidRPr="00176938">
        <w:t xml:space="preserve"> March 2021</w:t>
      </w:r>
    </w:p>
    <w:p w14:paraId="322E8A1C" w14:textId="77777777" w:rsidR="00176938" w:rsidRPr="00176938" w:rsidRDefault="00176938" w:rsidP="002D529E">
      <w:pPr>
        <w:pStyle w:val="squarebullets"/>
      </w:pPr>
      <w:r w:rsidRPr="00176938">
        <w:lastRenderedPageBreak/>
        <w:t xml:space="preserve">Growth Options consultation </w:t>
      </w:r>
      <w:r w:rsidR="009415ED">
        <w:t>-</w:t>
      </w:r>
      <w:r w:rsidRPr="00176938">
        <w:t xml:space="preserve"> January 2022</w:t>
      </w:r>
    </w:p>
    <w:p w14:paraId="3E752EB0" w14:textId="77777777" w:rsidR="00176938" w:rsidRPr="00176938" w:rsidRDefault="00176938" w:rsidP="002D529E">
      <w:pPr>
        <w:pStyle w:val="squarebullets"/>
      </w:pPr>
      <w:r w:rsidRPr="00176938">
        <w:t xml:space="preserve">Housing Site Options consultation </w:t>
      </w:r>
      <w:r w:rsidR="009415ED">
        <w:t>-</w:t>
      </w:r>
      <w:r w:rsidRPr="00176938">
        <w:t xml:space="preserve"> October 2022</w:t>
      </w:r>
    </w:p>
    <w:p w14:paraId="308CD999" w14:textId="77777777" w:rsidR="00176938" w:rsidRDefault="00176938" w:rsidP="00326CB9">
      <w:pPr>
        <w:pStyle w:val="Heading3"/>
      </w:pPr>
      <w:r w:rsidRPr="00176938">
        <w:t>Feedback from these stages has informed the preparation of the current Regulation 18 consultation.</w:t>
      </w:r>
    </w:p>
    <w:p w14:paraId="26849D3F" w14:textId="77777777" w:rsidR="009B49B1" w:rsidRDefault="009B49B1" w:rsidP="00112FFE">
      <w:pPr>
        <w:pStyle w:val="Heading2"/>
      </w:pPr>
      <w:bookmarkStart w:id="9" w:name="_Toc215140004"/>
      <w:r>
        <w:t xml:space="preserve">The Plan </w:t>
      </w:r>
      <w:r w:rsidR="00AC2AC6">
        <w:t>Area</w:t>
      </w:r>
      <w:bookmarkEnd w:id="9"/>
    </w:p>
    <w:p w14:paraId="48914B7C" w14:textId="77777777" w:rsidR="00B4727C" w:rsidRPr="00B4727C" w:rsidRDefault="00B4727C" w:rsidP="00326CB9">
      <w:pPr>
        <w:pStyle w:val="Heading3"/>
      </w:pPr>
      <w:r w:rsidRPr="00B4727C">
        <w:t xml:space="preserve">Torbay is one of nine unitary authorities in the </w:t>
      </w:r>
      <w:r w:rsidR="00072B1D" w:rsidRPr="00B4727C">
        <w:t>Southwest</w:t>
      </w:r>
      <w:r w:rsidRPr="00B4727C">
        <w:t xml:space="preserve"> of England, encompassing the coastal towns of Torquay, Paignton, and Brixham, which curve around a sheltered bay on Devon’s south coast (Figure 1). </w:t>
      </w:r>
      <w:r w:rsidR="00B73962" w:rsidRPr="00B73962">
        <w:t>Torbay is about 60% urban</w:t>
      </w:r>
      <w:r w:rsidR="00B73962">
        <w:t>, t</w:t>
      </w:r>
      <w:r w:rsidRPr="00B4727C">
        <w:t>he surrounding area features a diverse landscape of small farms, orchards, caravan parks, industrial estates, and seasonal tourist accommodation.</w:t>
      </w:r>
    </w:p>
    <w:p w14:paraId="0909A679" w14:textId="77777777" w:rsidR="00B4727C" w:rsidRPr="00B4727C" w:rsidRDefault="00B4727C" w:rsidP="001F2AA4">
      <w:pPr>
        <w:pStyle w:val="Heading3"/>
      </w:pPr>
      <w:r w:rsidRPr="00B4727C">
        <w:t xml:space="preserve">As of 2025, Torbay’s estimated resident population was 139,485, with numbers rising significantly during peak tourist seasons. </w:t>
      </w:r>
      <w:r w:rsidR="005820B3" w:rsidRPr="005820B3">
        <w:t xml:space="preserve">Torbay contains deep pockets of deprivation and is the most deprived Local Authority in the </w:t>
      </w:r>
      <w:r w:rsidR="00072B1D" w:rsidRPr="005820B3">
        <w:t>Southwest</w:t>
      </w:r>
      <w:r w:rsidR="005820B3" w:rsidRPr="005820B3">
        <w:t xml:space="preserve"> measured by the 2025 Indices of Multiple Deprivation. </w:t>
      </w:r>
    </w:p>
    <w:p w14:paraId="52441BF0" w14:textId="77777777" w:rsidR="00B4727C" w:rsidRPr="00B4727C" w:rsidRDefault="00B4727C" w:rsidP="00326CB9">
      <w:pPr>
        <w:pStyle w:val="Heading3"/>
      </w:pPr>
      <w:r w:rsidRPr="00B4727C">
        <w:t>Tor</w:t>
      </w:r>
      <w:r w:rsidR="009415ED">
        <w:t>qu</w:t>
      </w:r>
      <w:r w:rsidRPr="00B4727C">
        <w:t>ay serves as a gateway for exploring the wider region and attracts holidaymakers staying both within and beyond its boundaries due to its rich mix of natural beauty and developed attractions. The area also hosts one of the UK’s leading fishing ports in Brixham, alongside a concentration of light industry and service-based businesses, particularly around Paignton.</w:t>
      </w:r>
    </w:p>
    <w:p w14:paraId="19F0B7EE" w14:textId="77777777" w:rsidR="00C52D41" w:rsidRDefault="00C52D41" w:rsidP="009B49B1">
      <w:pPr>
        <w:rPr>
          <w:color w:val="EE0000"/>
        </w:rPr>
      </w:pPr>
    </w:p>
    <w:p w14:paraId="42CCF4F6" w14:textId="77777777" w:rsidR="00C52D41" w:rsidRDefault="00C52D41" w:rsidP="009B49B1">
      <w:pPr>
        <w:rPr>
          <w:color w:val="EE0000"/>
        </w:rPr>
      </w:pPr>
    </w:p>
    <w:p w14:paraId="4BDE507E" w14:textId="77777777" w:rsidR="00C52D41" w:rsidRDefault="00C52D41" w:rsidP="009B49B1">
      <w:pPr>
        <w:rPr>
          <w:color w:val="EE0000"/>
        </w:rPr>
      </w:pPr>
    </w:p>
    <w:p w14:paraId="2AC2C46C" w14:textId="77777777" w:rsidR="00C52D41" w:rsidRDefault="00C52D41" w:rsidP="009B49B1">
      <w:pPr>
        <w:rPr>
          <w:color w:val="EE0000"/>
        </w:rPr>
      </w:pPr>
    </w:p>
    <w:p w14:paraId="0CF62420" w14:textId="77777777" w:rsidR="00C52D41" w:rsidRDefault="00C52D41" w:rsidP="009B49B1">
      <w:pPr>
        <w:rPr>
          <w:color w:val="EE0000"/>
        </w:rPr>
      </w:pPr>
    </w:p>
    <w:p w14:paraId="59D49EA3" w14:textId="77777777" w:rsidR="00C52D41" w:rsidRDefault="00C52D41" w:rsidP="009B49B1">
      <w:pPr>
        <w:rPr>
          <w:color w:val="EE0000"/>
        </w:rPr>
      </w:pPr>
    </w:p>
    <w:p w14:paraId="4CD6CA33" w14:textId="77777777" w:rsidR="00C52D41" w:rsidRDefault="00C52D41" w:rsidP="009B49B1">
      <w:pPr>
        <w:rPr>
          <w:color w:val="EE0000"/>
        </w:rPr>
      </w:pPr>
    </w:p>
    <w:p w14:paraId="6717F173" w14:textId="77777777" w:rsidR="00C44F7C" w:rsidRDefault="003B0D74" w:rsidP="009B49B1">
      <w:r>
        <w:lastRenderedPageBreak/>
        <w:tab/>
      </w:r>
      <w:r>
        <w:rPr>
          <w:noProof/>
        </w:rPr>
        <w:drawing>
          <wp:inline distT="0" distB="0" distL="0" distR="0" wp14:anchorId="25CF4552" wp14:editId="1BA31037">
            <wp:extent cx="5410835" cy="7802245"/>
            <wp:effectExtent l="0" t="0" r="0" b="8255"/>
            <wp:docPr id="726658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835" cy="7802245"/>
                    </a:xfrm>
                    <a:prstGeom prst="rect">
                      <a:avLst/>
                    </a:prstGeom>
                    <a:noFill/>
                  </pic:spPr>
                </pic:pic>
              </a:graphicData>
            </a:graphic>
          </wp:inline>
        </w:drawing>
      </w:r>
    </w:p>
    <w:p w14:paraId="1C96AA56" w14:textId="77777777" w:rsidR="00C44F7C" w:rsidRPr="00C44F7C" w:rsidRDefault="00C44F7C" w:rsidP="00C44F7C">
      <w:pPr>
        <w:pStyle w:val="Caption"/>
        <w:rPr>
          <w:color w:val="auto"/>
        </w:rPr>
      </w:pPr>
      <w:r>
        <w:t xml:space="preserve">Figure </w:t>
      </w:r>
      <w:fldSimple w:instr=" SEQ Figure \* ARABIC ">
        <w:r w:rsidR="00386AA5">
          <w:rPr>
            <w:noProof/>
          </w:rPr>
          <w:t>1</w:t>
        </w:r>
      </w:fldSimple>
      <w:r>
        <w:t xml:space="preserve">: </w:t>
      </w:r>
      <w:r w:rsidR="003B0D74">
        <w:t xml:space="preserve">Torbay </w:t>
      </w:r>
      <w:r>
        <w:t>Local Plan Area</w:t>
      </w:r>
    </w:p>
    <w:p w14:paraId="5B116BC0" w14:textId="77777777" w:rsidR="00B4727C" w:rsidRPr="00B4727C" w:rsidRDefault="00C52D41" w:rsidP="00C52D41">
      <w:pPr>
        <w:spacing w:after="120" w:line="264" w:lineRule="auto"/>
        <w:rPr>
          <w:color w:val="EE0000"/>
        </w:rPr>
      </w:pPr>
      <w:r>
        <w:rPr>
          <w:color w:val="EE0000"/>
        </w:rPr>
        <w:br w:type="page"/>
      </w:r>
    </w:p>
    <w:p w14:paraId="465F7BAB" w14:textId="77777777" w:rsidR="003E6358" w:rsidRDefault="003E6358" w:rsidP="00112FFE">
      <w:pPr>
        <w:pStyle w:val="Heading2"/>
      </w:pPr>
      <w:bookmarkStart w:id="10" w:name="_Toc215140005"/>
      <w:r>
        <w:lastRenderedPageBreak/>
        <w:t>Linkages to other Assessments</w:t>
      </w:r>
      <w:bookmarkEnd w:id="6"/>
      <w:bookmarkEnd w:id="7"/>
      <w:bookmarkEnd w:id="10"/>
      <w:r>
        <w:t xml:space="preserve"> </w:t>
      </w:r>
    </w:p>
    <w:p w14:paraId="58181D92" w14:textId="77777777" w:rsidR="003E6358" w:rsidRPr="00014785" w:rsidRDefault="009B4A5B" w:rsidP="00326CB9">
      <w:pPr>
        <w:pStyle w:val="Heading3"/>
      </w:pPr>
      <w:r w:rsidRPr="009B4A5B">
        <w:t>The Sustainability Appraisal process also provides an opportunity to consider other key assessments, including the Habitats Regulations Assessment (HRA), Health Impact Assessment (HIA), and Equality Impact Assessment (EqIA). The following sections outline the purpose of each and explain how they relate to and complement the SA process.</w:t>
      </w:r>
      <w:r w:rsidR="003E6358">
        <w:t xml:space="preserve">       </w:t>
      </w:r>
    </w:p>
    <w:p w14:paraId="30334AB3" w14:textId="77777777" w:rsidR="003E6358" w:rsidRDefault="003E6358" w:rsidP="00112FFE">
      <w:pPr>
        <w:pStyle w:val="Heading2"/>
      </w:pPr>
      <w:bookmarkStart w:id="11" w:name="_Toc215140006"/>
      <w:r>
        <w:t>Habitats Regulations Assessment</w:t>
      </w:r>
      <w:bookmarkEnd w:id="11"/>
    </w:p>
    <w:p w14:paraId="3AC574A4" w14:textId="77777777" w:rsidR="00221060" w:rsidRPr="00221060" w:rsidRDefault="00221060" w:rsidP="00326CB9">
      <w:pPr>
        <w:pStyle w:val="Heading3"/>
      </w:pPr>
      <w:r w:rsidRPr="00221060">
        <w:t>The Habitats Regulations Assessment (HRA) is a legal requirement under the Habitats Directive (92/43/EEC). Land use plans may need to undergo HRA to evaluate their potential effects on European Sites. The assessment determines whether a plan would adversely impact the integrity of these sites, either alone or in combination with other plans or projects, based on their conservation objectives.</w:t>
      </w:r>
    </w:p>
    <w:p w14:paraId="44189996" w14:textId="77777777" w:rsidR="00221060" w:rsidRPr="00112FFE" w:rsidRDefault="00221060" w:rsidP="00326CB9">
      <w:pPr>
        <w:pStyle w:val="Heading3"/>
      </w:pPr>
      <w:r w:rsidRPr="00221060">
        <w:t xml:space="preserve">Within Torbay’s boundaries, there are two designated European Sites: </w:t>
      </w:r>
      <w:r w:rsidR="00CC5CB0" w:rsidRPr="00221060">
        <w:t>The</w:t>
      </w:r>
      <w:r w:rsidRPr="00221060">
        <w:t xml:space="preserve"> South Hams Special Area of Conservation (SAC) and the Lyme </w:t>
      </w:r>
      <w:r w:rsidR="00072B1D">
        <w:t xml:space="preserve">Bay </w:t>
      </w:r>
      <w:r w:rsidRPr="00221060">
        <w:t xml:space="preserve">and Torbay Marine SAC. Additionally, </w:t>
      </w:r>
      <w:r w:rsidRPr="00112FFE">
        <w:t xml:space="preserve">four more European </w:t>
      </w:r>
      <w:r w:rsidR="00072B1D">
        <w:t>s</w:t>
      </w:r>
      <w:r w:rsidRPr="00112FFE">
        <w:t>ites fall within a 20km buffer zone surrounding Torbay.</w:t>
      </w:r>
    </w:p>
    <w:p w14:paraId="7EC8D971" w14:textId="77777777" w:rsidR="00221060" w:rsidRPr="00326CB9" w:rsidRDefault="00221060" w:rsidP="00326CB9">
      <w:pPr>
        <w:pStyle w:val="Heading3"/>
      </w:pPr>
      <w:r w:rsidRPr="00112FFE">
        <w:t>The HRA screening for the sites proposed for allocation in the Local Plan is available at t</w:t>
      </w:r>
      <w:r w:rsidR="005B7B89" w:rsidRPr="00112FFE">
        <w:t>he Council website</w:t>
      </w:r>
      <w:r w:rsidR="005B7B89" w:rsidRPr="00112FFE">
        <w:rPr>
          <w:rStyle w:val="FootnoteReference"/>
        </w:rPr>
        <w:footnoteReference w:id="4"/>
      </w:r>
      <w:r w:rsidR="005B7B89" w:rsidRPr="00112FFE">
        <w:t>.</w:t>
      </w:r>
    </w:p>
    <w:p w14:paraId="7A4ACEF7" w14:textId="77777777" w:rsidR="003E6358" w:rsidRDefault="003E6358" w:rsidP="00112FFE">
      <w:pPr>
        <w:pStyle w:val="Heading2"/>
      </w:pPr>
      <w:bookmarkStart w:id="12" w:name="_Toc215140007"/>
      <w:r>
        <w:t>Equality Impact Assessment</w:t>
      </w:r>
      <w:bookmarkEnd w:id="12"/>
    </w:p>
    <w:p w14:paraId="22F2D0F2" w14:textId="77777777" w:rsidR="00621345" w:rsidRPr="00674635" w:rsidRDefault="00621345" w:rsidP="00326CB9">
      <w:pPr>
        <w:pStyle w:val="Heading3"/>
      </w:pPr>
      <w:r w:rsidRPr="00674635">
        <w:t>As a public-sector organisation, Torbay Council is legally required under the Equality Act 2010 and the Public Sector Equality Duty (PSED) to undertake an Equality Impact Assessment (EqIA). This assessment ensures that the policies, proposals, and objectives within the Local Plan do not result in unlawful discrimination whether direct or indirect against individuals or groups with protected characteristics.</w:t>
      </w:r>
    </w:p>
    <w:p w14:paraId="58468717" w14:textId="77777777" w:rsidR="00621345" w:rsidRPr="00621345" w:rsidRDefault="00621345" w:rsidP="00326CB9">
      <w:pPr>
        <w:pStyle w:val="Heading3"/>
      </w:pPr>
      <w:r w:rsidRPr="00621345">
        <w:t xml:space="preserve">Beyond avoiding discrimination, the Council also has a statutory duty to advance equality of opportunity and foster good relations between people who share protected characteristics (such as age, disability, race, religion or belief, sex, sexual orientation, gender </w:t>
      </w:r>
      <w:r w:rsidRPr="00621345">
        <w:lastRenderedPageBreak/>
        <w:t>reassignment, pregnancy and maternity, and marriage and civil partnership) and those who do not.</w:t>
      </w:r>
    </w:p>
    <w:p w14:paraId="24B95985" w14:textId="77777777" w:rsidR="00621345" w:rsidRPr="00621345" w:rsidRDefault="00621345" w:rsidP="00326CB9">
      <w:pPr>
        <w:pStyle w:val="Heading3"/>
      </w:pPr>
      <w:r w:rsidRPr="00621345">
        <w:t>Torbay Council is currently in the process of preparing an EqIA for the emerging Local Plan. This assessment will examine how different groups may be affected by the plan’s policies and proposals and identify opportunities to mitigate any negative impacts or enhance positive outcomes.</w:t>
      </w:r>
    </w:p>
    <w:p w14:paraId="75AC06D3" w14:textId="77777777" w:rsidR="00621345" w:rsidRDefault="00621345" w:rsidP="00326CB9">
      <w:pPr>
        <w:pStyle w:val="Heading3"/>
      </w:pPr>
      <w:r w:rsidRPr="00621345">
        <w:t>The findings from the EqIA will play shap</w:t>
      </w:r>
      <w:r w:rsidR="00CC5CB0">
        <w:t>e</w:t>
      </w:r>
      <w:r w:rsidRPr="00621345">
        <w:t xml:space="preserve"> both the current draft and future iterations of the Local Plan. By embedding equality considerations into the plan-making process, the Council aims to ensure that the Local Plan supports inclusive growth and contributes to a fairer, more equitable Torbay for all residents.</w:t>
      </w:r>
    </w:p>
    <w:p w14:paraId="638EBFBE" w14:textId="77777777" w:rsidR="00C578F3" w:rsidRDefault="00C578F3" w:rsidP="00112FFE">
      <w:pPr>
        <w:pStyle w:val="Heading2"/>
      </w:pPr>
      <w:bookmarkStart w:id="13" w:name="_Toc215140008"/>
      <w:r>
        <w:t>Hea</w:t>
      </w:r>
      <w:r w:rsidR="009415ED">
        <w:t>l</w:t>
      </w:r>
      <w:r>
        <w:t>th Impact Assessment</w:t>
      </w:r>
      <w:bookmarkEnd w:id="13"/>
    </w:p>
    <w:p w14:paraId="765EB5DC" w14:textId="77777777" w:rsidR="00391E72" w:rsidRPr="00380FCD" w:rsidRDefault="00391E72" w:rsidP="00326CB9">
      <w:pPr>
        <w:pStyle w:val="Heading3"/>
      </w:pPr>
      <w:r w:rsidRPr="00391E72">
        <w:t>The National Planning Policy Framework (NPPF, 2025) highlights numerous connections between planning and health. According to the National Planning Practice Guidance (NPPG), Local Planning Authorities should ensure that health and wellbeing, along with health infrastructure, are considered in both Local Plans and planning decisions. Health Impact Assessment (HIA) is a valuable tool for identifying and evaluating the potential health effects of a plan, helping to inform decision-making. Public Health England’s October 2020 guide on HIA in spatial planning offers practical advice on integrating HIA with the Sustainability Appraisal and Strategic Environmental Assessment processes. The findings from the HIA will contribute to shaping both the current and future versions of the Local Plan.</w:t>
      </w:r>
    </w:p>
    <w:p w14:paraId="2A73B0F5" w14:textId="77777777" w:rsidR="0090605D" w:rsidRDefault="00CA3F60" w:rsidP="00112FFE">
      <w:pPr>
        <w:pStyle w:val="Heading2"/>
      </w:pPr>
      <w:bookmarkStart w:id="14" w:name="_Toc215140009"/>
      <w:r>
        <w:t>Consultation</w:t>
      </w:r>
      <w:bookmarkEnd w:id="14"/>
      <w:r>
        <w:t xml:space="preserve"> </w:t>
      </w:r>
    </w:p>
    <w:p w14:paraId="3358808B" w14:textId="77777777" w:rsidR="00B8295D" w:rsidRPr="00745324" w:rsidRDefault="00745324" w:rsidP="00326CB9">
      <w:pPr>
        <w:pStyle w:val="Heading3"/>
      </w:pPr>
      <w:r w:rsidRPr="00745324">
        <w:t>Consultation is a vital part of the planning process. The Council’s approach to engaging with the community on planning matters is outlined in the Statement of Community Involvement.</w:t>
      </w:r>
      <w:r w:rsidR="00B8295D">
        <w:t xml:space="preserve"> </w:t>
      </w:r>
      <w:r w:rsidRPr="00745324">
        <w:t xml:space="preserve">Appendix A provides </w:t>
      </w:r>
      <w:r w:rsidR="00B8295D" w:rsidRPr="00745324">
        <w:t>detailed account of the feedback received from previous consultation stages of the</w:t>
      </w:r>
      <w:r w:rsidR="00B8295D">
        <w:t xml:space="preserve"> SA</w:t>
      </w:r>
      <w:r w:rsidR="00B8295D" w:rsidRPr="00745324">
        <w:t xml:space="preserve"> and explains how it has been taken into consideration.</w:t>
      </w:r>
    </w:p>
    <w:p w14:paraId="654830A8" w14:textId="77777777" w:rsidR="00745324" w:rsidRPr="00B8295D" w:rsidRDefault="00745324" w:rsidP="00326CB9">
      <w:pPr>
        <w:pStyle w:val="Heading3"/>
      </w:pPr>
      <w:r w:rsidRPr="00745324">
        <w:t>This SA Report is now open for consultation alongside the Regulation 18 Local Plan. Statutory consultees</w:t>
      </w:r>
      <w:r w:rsidR="00436D69">
        <w:t>:</w:t>
      </w:r>
      <w:r w:rsidR="00B8295D">
        <w:t xml:space="preserve"> </w:t>
      </w:r>
      <w:r w:rsidRPr="00745324">
        <w:t>Historic England, the Environment Agency, and Natural England</w:t>
      </w:r>
      <w:r w:rsidR="00B8295D">
        <w:t xml:space="preserve">, </w:t>
      </w:r>
      <w:r w:rsidRPr="00745324">
        <w:t xml:space="preserve">as </w:t>
      </w:r>
      <w:r w:rsidRPr="00745324">
        <w:lastRenderedPageBreak/>
        <w:t>well as the wider public are invited to share their views during the consultation period, which runs from Wednesday 28</w:t>
      </w:r>
      <w:r w:rsidRPr="00C83C1C">
        <w:rPr>
          <w:vertAlign w:val="superscript"/>
        </w:rPr>
        <w:t>th</w:t>
      </w:r>
      <w:r w:rsidRPr="00745324">
        <w:t xml:space="preserve"> November 2025 to Wednesday 2</w:t>
      </w:r>
      <w:r w:rsidR="00C83C1C">
        <w:t>6</w:t>
      </w:r>
      <w:r w:rsidRPr="00C83C1C">
        <w:rPr>
          <w:vertAlign w:val="superscript"/>
        </w:rPr>
        <w:t>th</w:t>
      </w:r>
      <w:r w:rsidRPr="00745324">
        <w:t xml:space="preserve"> January 2026.</w:t>
      </w:r>
    </w:p>
    <w:p w14:paraId="1D7F86E8" w14:textId="77777777" w:rsidR="006654BD" w:rsidRPr="006654BD" w:rsidRDefault="006654BD" w:rsidP="006654BD">
      <w:pPr>
        <w:pStyle w:val="Highlightedtext"/>
        <w:rPr>
          <w:b/>
          <w:bCs/>
        </w:rPr>
      </w:pPr>
      <w:r w:rsidRPr="006654BD">
        <w:rPr>
          <w:b/>
          <w:bCs/>
        </w:rPr>
        <w:t>Consultation Questions</w:t>
      </w:r>
    </w:p>
    <w:p w14:paraId="40673F02" w14:textId="77777777" w:rsidR="006654BD" w:rsidRDefault="00C578F3" w:rsidP="006654BD">
      <w:pPr>
        <w:pStyle w:val="Highlightedtext"/>
      </w:pPr>
      <w:r>
        <w:t xml:space="preserve">1. </w:t>
      </w:r>
      <w:r w:rsidR="006654BD" w:rsidRPr="006654BD">
        <w:t xml:space="preserve">Do you agree that </w:t>
      </w:r>
      <w:r w:rsidR="003B0D74" w:rsidRPr="006654BD">
        <w:t>all</w:t>
      </w:r>
      <w:r w:rsidR="006654BD" w:rsidRPr="006654BD">
        <w:t xml:space="preserve"> the reasonable alternatives have been identified? </w:t>
      </w:r>
    </w:p>
    <w:p w14:paraId="53E90991" w14:textId="77777777" w:rsidR="006654BD" w:rsidRDefault="006654BD" w:rsidP="006654BD">
      <w:pPr>
        <w:pStyle w:val="Highlightedtext"/>
      </w:pPr>
      <w:r w:rsidRPr="006654BD">
        <w:t>2. Do you agree that the potential significant effects identified in the assessment?</w:t>
      </w:r>
    </w:p>
    <w:p w14:paraId="2E20D159" w14:textId="77777777" w:rsidR="006654BD" w:rsidRDefault="006654BD" w:rsidP="00777ED7">
      <w:pPr>
        <w:pStyle w:val="Highlightedtext"/>
      </w:pPr>
      <w:r w:rsidRPr="006654BD">
        <w:t xml:space="preserve"> 3. Do you agree with the proposed mitigation?</w:t>
      </w:r>
    </w:p>
    <w:p w14:paraId="3C0C1CB9" w14:textId="77777777" w:rsidR="006654BD" w:rsidRPr="006654BD" w:rsidRDefault="006654BD" w:rsidP="006654BD">
      <w:pPr>
        <w:pStyle w:val="Highlightedtext"/>
        <w:rPr>
          <w:b/>
          <w:bCs/>
        </w:rPr>
      </w:pPr>
      <w:r w:rsidRPr="006654BD">
        <w:rPr>
          <w:b/>
          <w:bCs/>
        </w:rPr>
        <w:t>How to comment</w:t>
      </w:r>
    </w:p>
    <w:p w14:paraId="37B6B36F" w14:textId="77777777" w:rsidR="006654BD" w:rsidRPr="00630FF7" w:rsidRDefault="006654BD" w:rsidP="00777ED7">
      <w:pPr>
        <w:pStyle w:val="Highlightedtext"/>
        <w:rPr>
          <w:color w:val="auto"/>
        </w:rPr>
      </w:pPr>
      <w:r w:rsidRPr="006654BD">
        <w:t xml:space="preserve">Please complete </w:t>
      </w:r>
      <w:r w:rsidR="003B0D74">
        <w:t>the</w:t>
      </w:r>
      <w:r w:rsidRPr="006654BD">
        <w:t xml:space="preserve"> online</w:t>
      </w:r>
      <w:r w:rsidR="00777ED7" w:rsidRPr="00777ED7">
        <w:t xml:space="preserve"> </w:t>
      </w:r>
      <w:r w:rsidR="003B0D74">
        <w:t xml:space="preserve">consultation </w:t>
      </w:r>
      <w:r w:rsidR="00777ED7" w:rsidRPr="006654BD">
        <w:t xml:space="preserve">no later than </w:t>
      </w:r>
      <w:r w:rsidR="00777ED7">
        <w:t>2</w:t>
      </w:r>
      <w:r w:rsidR="000E02BE">
        <w:t>6</w:t>
      </w:r>
      <w:r w:rsidR="00777ED7" w:rsidRPr="000E02BE">
        <w:rPr>
          <w:vertAlign w:val="superscript"/>
        </w:rPr>
        <w:t>th</w:t>
      </w:r>
      <w:r w:rsidR="00777ED7">
        <w:t xml:space="preserve"> January</w:t>
      </w:r>
      <w:r w:rsidR="00777ED7" w:rsidRPr="006654BD">
        <w:t xml:space="preserve"> 202</w:t>
      </w:r>
      <w:r w:rsidR="00777ED7">
        <w:t xml:space="preserve">5 </w:t>
      </w:r>
      <w:r w:rsidRPr="006654BD">
        <w:t xml:space="preserve">at </w:t>
      </w:r>
      <w:hyperlink r:id="rId14" w:history="1">
        <w:r w:rsidR="00630FF7" w:rsidRPr="00630FF7">
          <w:rPr>
            <w:rStyle w:val="Hyperlink"/>
          </w:rPr>
          <w:t>Torbay Council - Consultations</w:t>
        </w:r>
      </w:hyperlink>
    </w:p>
    <w:p w14:paraId="770E7513" w14:textId="77777777" w:rsidR="00B25BAA" w:rsidRDefault="006D4BDD" w:rsidP="00112FFE">
      <w:pPr>
        <w:pStyle w:val="Heading2"/>
      </w:pPr>
      <w:bookmarkStart w:id="15" w:name="_Toc215140010"/>
      <w:r>
        <w:t>The Structure of the Report</w:t>
      </w:r>
      <w:bookmarkEnd w:id="15"/>
      <w:r>
        <w:t xml:space="preserve"> </w:t>
      </w:r>
    </w:p>
    <w:p w14:paraId="00AE4C3F" w14:textId="77777777" w:rsidR="00B25BAA" w:rsidRPr="00B25BAA" w:rsidRDefault="00B25BAA" w:rsidP="00326CB9">
      <w:pPr>
        <w:pStyle w:val="Heading3"/>
      </w:pPr>
      <w:r w:rsidRPr="00B25BAA">
        <w:t xml:space="preserve">Following this introductory section, the document is sub-divided into a further </w:t>
      </w:r>
      <w:r w:rsidR="00072B1D">
        <w:t>seven</w:t>
      </w:r>
      <w:r w:rsidRPr="00B25BAA">
        <w:t xml:space="preserve"> sections:</w:t>
      </w:r>
    </w:p>
    <w:p w14:paraId="39AFC78E" w14:textId="77777777" w:rsidR="00B25BAA" w:rsidRPr="00B25BAA" w:rsidRDefault="00B25BAA" w:rsidP="00326CB9">
      <w:pPr>
        <w:ind w:left="1843" w:hanging="1134"/>
        <w:rPr>
          <w:iCs/>
        </w:rPr>
      </w:pPr>
      <w:r w:rsidRPr="00B25BAA">
        <w:t>Section 2: outlines key stages of the sustainability appraisal process</w:t>
      </w:r>
      <w:r w:rsidR="00436D69">
        <w:t>.</w:t>
      </w:r>
      <w:r w:rsidRPr="00B25BAA">
        <w:t xml:space="preserve"> </w:t>
      </w:r>
    </w:p>
    <w:p w14:paraId="2787750B" w14:textId="77777777" w:rsidR="00B25BAA" w:rsidRDefault="00B25BAA" w:rsidP="00326CB9">
      <w:pPr>
        <w:ind w:left="1843" w:hanging="1134"/>
      </w:pPr>
      <w:r w:rsidRPr="00B25BAA">
        <w:t xml:space="preserve">Section 3: summarises previous stages of the </w:t>
      </w:r>
      <w:r w:rsidR="00B8295D">
        <w:t>s</w:t>
      </w:r>
      <w:r w:rsidRPr="00B25BAA">
        <w:t xml:space="preserve">ustainability </w:t>
      </w:r>
      <w:r w:rsidR="00B8295D">
        <w:t>a</w:t>
      </w:r>
      <w:r w:rsidRPr="00B25BAA">
        <w:t xml:space="preserve">ppraisal. </w:t>
      </w:r>
    </w:p>
    <w:p w14:paraId="12A1FFDD" w14:textId="77777777" w:rsidR="003D335F" w:rsidRPr="00B25BAA" w:rsidRDefault="003D335F" w:rsidP="00326CB9">
      <w:pPr>
        <w:ind w:left="1843" w:hanging="1134"/>
        <w:rPr>
          <w:iCs/>
        </w:rPr>
      </w:pPr>
      <w:r>
        <w:t xml:space="preserve">Section 4: </w:t>
      </w:r>
      <w:r w:rsidRPr="00B25BAA">
        <w:t>sets out the sustainability appraisal of</w:t>
      </w:r>
      <w:r>
        <w:t xml:space="preserve"> s</w:t>
      </w:r>
      <w:r w:rsidRPr="00A71EDD">
        <w:t xml:space="preserve">patial </w:t>
      </w:r>
      <w:r>
        <w:t>s</w:t>
      </w:r>
      <w:r w:rsidRPr="00A71EDD">
        <w:t xml:space="preserve">trategy and </w:t>
      </w:r>
      <w:r>
        <w:t>a</w:t>
      </w:r>
      <w:r w:rsidRPr="00A71EDD">
        <w:t xml:space="preserve">rea </w:t>
      </w:r>
      <w:r>
        <w:t>p</w:t>
      </w:r>
      <w:r w:rsidRPr="00A71EDD">
        <w:t>olicies </w:t>
      </w:r>
    </w:p>
    <w:p w14:paraId="6BE18518" w14:textId="77777777" w:rsidR="00B25BAA" w:rsidRPr="00B25BAA" w:rsidRDefault="00B25BAA" w:rsidP="00326CB9">
      <w:pPr>
        <w:ind w:left="1843" w:hanging="1134"/>
        <w:rPr>
          <w:iCs/>
        </w:rPr>
      </w:pPr>
      <w:r w:rsidRPr="00B25BAA">
        <w:t xml:space="preserve">Section </w:t>
      </w:r>
      <w:r w:rsidR="003D335F">
        <w:t>5</w:t>
      </w:r>
      <w:r w:rsidRPr="00B25BAA">
        <w:t xml:space="preserve">: sets out the sustainability appraisal of </w:t>
      </w:r>
      <w:r w:rsidR="003D335F">
        <w:t>s</w:t>
      </w:r>
      <w:r>
        <w:t>trategic and development management</w:t>
      </w:r>
      <w:r w:rsidR="00F0464B">
        <w:t xml:space="preserve"> p</w:t>
      </w:r>
      <w:r w:rsidRPr="00B25BAA">
        <w:t>olicies</w:t>
      </w:r>
      <w:r>
        <w:t>.</w:t>
      </w:r>
      <w:r w:rsidRPr="00B25BAA">
        <w:t xml:space="preserve"> </w:t>
      </w:r>
    </w:p>
    <w:p w14:paraId="45BBD252" w14:textId="77777777" w:rsidR="00B25BAA" w:rsidRDefault="00B25BAA" w:rsidP="00326CB9">
      <w:pPr>
        <w:ind w:left="1843" w:hanging="1134"/>
        <w:rPr>
          <w:iCs/>
        </w:rPr>
      </w:pPr>
      <w:r w:rsidRPr="00B25BAA">
        <w:t xml:space="preserve">Section </w:t>
      </w:r>
      <w:r w:rsidR="003D335F">
        <w:t>6</w:t>
      </w:r>
      <w:r w:rsidRPr="00B25BAA">
        <w:t>:</w:t>
      </w:r>
      <w:r w:rsidR="00F0464B" w:rsidRPr="00F0464B">
        <w:t xml:space="preserve"> </w:t>
      </w:r>
      <w:r w:rsidR="00EE0261" w:rsidRPr="00EE0261">
        <w:t>sets out the monitoring framework</w:t>
      </w:r>
      <w:r w:rsidR="00436D69">
        <w:t>.</w:t>
      </w:r>
    </w:p>
    <w:p w14:paraId="51805D25" w14:textId="77777777" w:rsidR="00EE0261" w:rsidRPr="00EE0261" w:rsidRDefault="00EE0261" w:rsidP="00326CB9">
      <w:pPr>
        <w:ind w:left="1843" w:hanging="1134"/>
        <w:rPr>
          <w:iCs/>
        </w:rPr>
      </w:pPr>
      <w:r w:rsidRPr="00B25BAA">
        <w:t xml:space="preserve">Section </w:t>
      </w:r>
      <w:r w:rsidR="003D335F">
        <w:t>7</w:t>
      </w:r>
      <w:r>
        <w:t xml:space="preserve">: </w:t>
      </w:r>
      <w:r w:rsidRPr="00B25BAA">
        <w:t xml:space="preserve">outlines the </w:t>
      </w:r>
      <w:r>
        <w:t>next steps</w:t>
      </w:r>
      <w:r w:rsidRPr="00B25BAA">
        <w:t xml:space="preserve"> of the sustainability </w:t>
      </w:r>
      <w:r>
        <w:t>a</w:t>
      </w:r>
      <w:r w:rsidRPr="00B25BAA">
        <w:t>ppraisal.</w:t>
      </w:r>
    </w:p>
    <w:p w14:paraId="4482279D" w14:textId="77777777" w:rsidR="00F0464B" w:rsidRDefault="00B25BAA" w:rsidP="00326CB9">
      <w:pPr>
        <w:ind w:left="1843" w:hanging="1134"/>
        <w:rPr>
          <w:iCs/>
        </w:rPr>
      </w:pPr>
      <w:r w:rsidRPr="00B25BAA">
        <w:t xml:space="preserve">Section </w:t>
      </w:r>
      <w:r w:rsidR="00072B1D">
        <w:t>8</w:t>
      </w:r>
      <w:r w:rsidRPr="00B25BAA">
        <w:t xml:space="preserve">: </w:t>
      </w:r>
      <w:r w:rsidR="00F0464B">
        <w:t>provide</w:t>
      </w:r>
      <w:r w:rsidR="004636AB">
        <w:t>s</w:t>
      </w:r>
      <w:r w:rsidR="00F0464B">
        <w:t xml:space="preserve"> </w:t>
      </w:r>
      <w:r w:rsidR="00EE0261">
        <w:t>list of</w:t>
      </w:r>
      <w:r w:rsidR="00F0464B">
        <w:t xml:space="preserve"> Appendices</w:t>
      </w:r>
      <w:r w:rsidR="00436D69">
        <w:t>.</w:t>
      </w:r>
    </w:p>
    <w:p w14:paraId="50367D56" w14:textId="77777777" w:rsidR="00B25BAA" w:rsidRPr="00F0464B" w:rsidRDefault="00F0464B" w:rsidP="00F0464B">
      <w:pPr>
        <w:spacing w:after="120" w:line="264" w:lineRule="auto"/>
      </w:pPr>
      <w:r>
        <w:rPr>
          <w:iCs/>
        </w:rPr>
        <w:br w:type="page"/>
      </w:r>
    </w:p>
    <w:p w14:paraId="55733B23" w14:textId="77777777" w:rsidR="0090605D" w:rsidRPr="00031A61" w:rsidRDefault="0090605D" w:rsidP="00112FFE">
      <w:pPr>
        <w:pStyle w:val="Heading1"/>
      </w:pPr>
      <w:bookmarkStart w:id="16" w:name="_Toc215140011"/>
      <w:r w:rsidRPr="00031A61">
        <w:lastRenderedPageBreak/>
        <w:t>Methodology</w:t>
      </w:r>
      <w:bookmarkEnd w:id="16"/>
      <w:r w:rsidRPr="00031A61">
        <w:t xml:space="preserve"> </w:t>
      </w:r>
    </w:p>
    <w:p w14:paraId="40B080F6" w14:textId="77777777" w:rsidR="003410BD" w:rsidRPr="003410BD" w:rsidRDefault="002244FA" w:rsidP="00326CB9">
      <w:pPr>
        <w:pStyle w:val="Heading3"/>
      </w:pPr>
      <w:r w:rsidRPr="00031A61">
        <w:t>Sustainability Appraisal is a structured process carried out during the development of a plan or strategy. Its purpose is to evaluate how well emerging policies and proposals support sustainable development. It provides an opportunity to explore how the plan can enhance environmental, social, and economic outcomes, while also identifying and mitigating any potential negative impacts. This ensures that the chosen proposals are the most suitable when compared to reasonable alternatives.</w:t>
      </w:r>
    </w:p>
    <w:p w14:paraId="4E502FA3" w14:textId="77777777" w:rsidR="002244FA" w:rsidRPr="003410BD" w:rsidRDefault="002244FA" w:rsidP="00326CB9">
      <w:pPr>
        <w:pStyle w:val="Heading3"/>
      </w:pPr>
      <w:r w:rsidRPr="003410BD">
        <w:t>The SA process consists of five key stages:</w:t>
      </w:r>
    </w:p>
    <w:p w14:paraId="75406AFC" w14:textId="77777777" w:rsidR="002244FA" w:rsidRPr="002244FA" w:rsidRDefault="002244FA" w:rsidP="002D529E">
      <w:pPr>
        <w:pStyle w:val="squarebullets"/>
      </w:pPr>
      <w:r w:rsidRPr="002244FA">
        <w:t>Stage A: Establishes the context, baseline, and scope.</w:t>
      </w:r>
    </w:p>
    <w:p w14:paraId="43553F88" w14:textId="77777777" w:rsidR="002244FA" w:rsidRPr="002244FA" w:rsidRDefault="002244FA" w:rsidP="002D529E">
      <w:pPr>
        <w:pStyle w:val="squarebullets"/>
      </w:pPr>
      <w:r w:rsidRPr="002244FA">
        <w:t xml:space="preserve">Stage B: Develops and refines </w:t>
      </w:r>
      <w:r w:rsidR="00DD1D8F" w:rsidRPr="002244FA">
        <w:t>options and</w:t>
      </w:r>
      <w:r w:rsidRPr="002244FA">
        <w:t xml:space="preserve"> assesses their effects.</w:t>
      </w:r>
    </w:p>
    <w:p w14:paraId="38731328" w14:textId="77777777" w:rsidR="002244FA" w:rsidRPr="002244FA" w:rsidRDefault="002244FA" w:rsidP="002D529E">
      <w:pPr>
        <w:pStyle w:val="squarebullets"/>
      </w:pPr>
      <w:r w:rsidRPr="002244FA">
        <w:t>Stage C: Involves preparing the SA Report.</w:t>
      </w:r>
    </w:p>
    <w:p w14:paraId="31B2BBB3" w14:textId="77777777" w:rsidR="002244FA" w:rsidRPr="002244FA" w:rsidRDefault="002244FA" w:rsidP="002D529E">
      <w:pPr>
        <w:pStyle w:val="squarebullets"/>
      </w:pPr>
      <w:r w:rsidRPr="002244FA">
        <w:t>Stage D: Covers consultation on the SA Report.</w:t>
      </w:r>
    </w:p>
    <w:p w14:paraId="30D79786" w14:textId="77777777" w:rsidR="002244FA" w:rsidRPr="002244FA" w:rsidRDefault="002244FA" w:rsidP="002D529E">
      <w:pPr>
        <w:pStyle w:val="squarebullets"/>
      </w:pPr>
      <w:r w:rsidRPr="002244FA">
        <w:t>Stage E: Monitors the significant effects of implementing Local Plan policies.</w:t>
      </w:r>
    </w:p>
    <w:p w14:paraId="59DCACD2" w14:textId="77777777" w:rsidR="002244FA" w:rsidRPr="002244FA" w:rsidRDefault="002244FA" w:rsidP="00326CB9">
      <w:pPr>
        <w:pStyle w:val="Heading3"/>
      </w:pPr>
      <w:r w:rsidRPr="002244FA">
        <w:t xml:space="preserve">The SA runs alongside the Local Plan preparation, integrating at every stage. A simplified version of the methodology is shown in </w:t>
      </w:r>
      <w:r w:rsidRPr="00072B1D">
        <w:rPr>
          <w:iCs w:val="0"/>
        </w:rPr>
        <w:t xml:space="preserve">Figure </w:t>
      </w:r>
      <w:r w:rsidR="00072B1D" w:rsidRPr="00072B1D">
        <w:rPr>
          <w:iCs w:val="0"/>
        </w:rPr>
        <w:t>2</w:t>
      </w:r>
      <w:r w:rsidRPr="002244FA">
        <w:t xml:space="preserve">. This document represents Stage C, with the </w:t>
      </w:r>
      <w:r w:rsidR="00072B1D">
        <w:t>current</w:t>
      </w:r>
      <w:r w:rsidRPr="002244FA">
        <w:t xml:space="preserve"> consultation forming Stage D.</w:t>
      </w:r>
    </w:p>
    <w:p w14:paraId="01DED686" w14:textId="77777777" w:rsidR="002244FA" w:rsidRDefault="002244FA" w:rsidP="00326CB9">
      <w:pPr>
        <w:pStyle w:val="Heading3"/>
      </w:pPr>
      <w:r w:rsidRPr="002244FA">
        <w:t>Each part of the Local Plan has been assessed against the SA Framework, which was developed during the scoping stage. Policies and proposals were evaluated using a set of symbols to indicate the level of impact. Most assessments are qualitative, showing expected trends and, where possible, describing the impact’s duration, magnitude, and geographical scale. The symbols are colour-coded to reflect the nature of the effect:</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497"/>
        <w:gridCol w:w="2977"/>
        <w:gridCol w:w="567"/>
      </w:tblGrid>
      <w:tr w:rsidR="00093F29" w:rsidRPr="005F0B63" w14:paraId="1EA02762" w14:textId="77777777" w:rsidTr="00326CB9">
        <w:tc>
          <w:tcPr>
            <w:tcW w:w="1985" w:type="dxa"/>
            <w:shd w:val="clear" w:color="auto" w:fill="008000"/>
          </w:tcPr>
          <w:p w14:paraId="5CD88B2D" w14:textId="77777777" w:rsidR="00093F29" w:rsidRPr="005F0B63" w:rsidRDefault="00093F29" w:rsidP="00547C78">
            <w:pPr>
              <w:spacing w:after="0" w:line="240" w:lineRule="auto"/>
              <w:rPr>
                <w:rFonts w:eastAsia="Times New Roman" w:cs="Arial"/>
              </w:rPr>
            </w:pPr>
            <w:r w:rsidRPr="005F0B63">
              <w:rPr>
                <w:rFonts w:eastAsia="Times New Roman" w:cs="Arial"/>
              </w:rPr>
              <w:t>Clear benefits</w:t>
            </w:r>
          </w:p>
        </w:tc>
        <w:tc>
          <w:tcPr>
            <w:tcW w:w="497" w:type="dxa"/>
            <w:shd w:val="clear" w:color="auto" w:fill="008000"/>
          </w:tcPr>
          <w:p w14:paraId="7A60158A" w14:textId="77777777" w:rsidR="00093F29" w:rsidRPr="005F0B63" w:rsidRDefault="00093F29" w:rsidP="00547C78">
            <w:pPr>
              <w:spacing w:after="0" w:line="240" w:lineRule="auto"/>
              <w:rPr>
                <w:rFonts w:eastAsia="Times New Roman" w:cs="Arial"/>
              </w:rPr>
            </w:pPr>
            <w:r>
              <w:rPr>
                <w:rFonts w:eastAsia="Times New Roman" w:cs="Arial"/>
              </w:rPr>
              <w:t>++</w:t>
            </w:r>
          </w:p>
        </w:tc>
        <w:tc>
          <w:tcPr>
            <w:tcW w:w="2977" w:type="dxa"/>
            <w:shd w:val="clear" w:color="auto" w:fill="FF0000"/>
          </w:tcPr>
          <w:p w14:paraId="532737F5" w14:textId="77777777" w:rsidR="00093F29" w:rsidRPr="005F0B63" w:rsidRDefault="00093F29" w:rsidP="00547C78">
            <w:pPr>
              <w:spacing w:after="0" w:line="240" w:lineRule="auto"/>
              <w:rPr>
                <w:rFonts w:eastAsia="Times New Roman" w:cs="Arial"/>
              </w:rPr>
            </w:pPr>
            <w:r w:rsidRPr="005F0B63">
              <w:rPr>
                <w:rFonts w:eastAsia="Times New Roman" w:cs="Arial"/>
              </w:rPr>
              <w:t>Clear negative impact</w:t>
            </w:r>
          </w:p>
        </w:tc>
        <w:tc>
          <w:tcPr>
            <w:tcW w:w="567" w:type="dxa"/>
            <w:shd w:val="clear" w:color="auto" w:fill="FF0000"/>
          </w:tcPr>
          <w:p w14:paraId="229A9057" w14:textId="77777777" w:rsidR="00093F29" w:rsidRPr="005F0B63" w:rsidRDefault="00093F29" w:rsidP="00547C78">
            <w:pPr>
              <w:spacing w:after="0" w:line="240" w:lineRule="auto"/>
              <w:rPr>
                <w:rFonts w:eastAsia="Times New Roman" w:cs="Arial"/>
              </w:rPr>
            </w:pPr>
            <w:r>
              <w:rPr>
                <w:rFonts w:eastAsia="Times New Roman" w:cs="Arial"/>
              </w:rPr>
              <w:t>--</w:t>
            </w:r>
          </w:p>
        </w:tc>
      </w:tr>
      <w:tr w:rsidR="00093F29" w:rsidRPr="005F0B63" w14:paraId="405705D2" w14:textId="77777777" w:rsidTr="00326CB9">
        <w:tc>
          <w:tcPr>
            <w:tcW w:w="1985" w:type="dxa"/>
            <w:shd w:val="clear" w:color="auto" w:fill="CCFFCC"/>
          </w:tcPr>
          <w:p w14:paraId="0113A2E9" w14:textId="77777777" w:rsidR="00093F29" w:rsidRPr="005F0B63" w:rsidRDefault="00093F29" w:rsidP="00547C78">
            <w:pPr>
              <w:spacing w:after="0" w:line="240" w:lineRule="auto"/>
              <w:rPr>
                <w:rFonts w:eastAsia="Times New Roman" w:cs="Arial"/>
              </w:rPr>
            </w:pPr>
            <w:r w:rsidRPr="005F0B63">
              <w:rPr>
                <w:rFonts w:eastAsia="Times New Roman" w:cs="Arial"/>
              </w:rPr>
              <w:t>Minor benefits</w:t>
            </w:r>
          </w:p>
        </w:tc>
        <w:tc>
          <w:tcPr>
            <w:tcW w:w="497" w:type="dxa"/>
            <w:shd w:val="clear" w:color="auto" w:fill="CCFFCC"/>
          </w:tcPr>
          <w:p w14:paraId="695D82FC" w14:textId="77777777" w:rsidR="00093F29" w:rsidRPr="005F0B63" w:rsidRDefault="00093F29" w:rsidP="00547C78">
            <w:pPr>
              <w:spacing w:after="0" w:line="240" w:lineRule="auto"/>
              <w:rPr>
                <w:rFonts w:eastAsia="Times New Roman" w:cs="Arial"/>
              </w:rPr>
            </w:pPr>
            <w:r>
              <w:rPr>
                <w:rFonts w:eastAsia="Times New Roman" w:cs="Arial"/>
              </w:rPr>
              <w:t>+</w:t>
            </w:r>
          </w:p>
        </w:tc>
        <w:tc>
          <w:tcPr>
            <w:tcW w:w="2977" w:type="dxa"/>
            <w:shd w:val="clear" w:color="auto" w:fill="FFCC99"/>
          </w:tcPr>
          <w:p w14:paraId="4376DC2F" w14:textId="77777777" w:rsidR="00093F29" w:rsidRPr="005F0B63" w:rsidRDefault="00093F29" w:rsidP="00547C78">
            <w:pPr>
              <w:spacing w:after="0" w:line="240" w:lineRule="auto"/>
              <w:rPr>
                <w:rFonts w:eastAsia="Times New Roman" w:cs="Arial"/>
              </w:rPr>
            </w:pPr>
            <w:r w:rsidRPr="005F0B63">
              <w:rPr>
                <w:rFonts w:eastAsia="Times New Roman" w:cs="Arial"/>
              </w:rPr>
              <w:t>Minor Negative impact</w:t>
            </w:r>
          </w:p>
        </w:tc>
        <w:tc>
          <w:tcPr>
            <w:tcW w:w="567" w:type="dxa"/>
            <w:shd w:val="clear" w:color="auto" w:fill="FFCC99"/>
          </w:tcPr>
          <w:p w14:paraId="41E9C5D3" w14:textId="77777777" w:rsidR="00093F29" w:rsidRPr="005F0B63" w:rsidRDefault="00093F29" w:rsidP="00547C78">
            <w:pPr>
              <w:spacing w:after="0" w:line="240" w:lineRule="auto"/>
              <w:rPr>
                <w:rFonts w:eastAsia="Times New Roman" w:cs="Arial"/>
              </w:rPr>
            </w:pPr>
            <w:r>
              <w:rPr>
                <w:rFonts w:eastAsia="Times New Roman" w:cs="Arial"/>
              </w:rPr>
              <w:t>-</w:t>
            </w:r>
          </w:p>
        </w:tc>
      </w:tr>
      <w:tr w:rsidR="00093F29" w:rsidRPr="005F0B63" w14:paraId="6EF9783C" w14:textId="77777777" w:rsidTr="00326CB9">
        <w:tc>
          <w:tcPr>
            <w:tcW w:w="1985" w:type="dxa"/>
            <w:shd w:val="clear" w:color="auto" w:fill="D9D9D9"/>
          </w:tcPr>
          <w:p w14:paraId="65871EC8" w14:textId="77777777" w:rsidR="00093F29" w:rsidRPr="005F0B63" w:rsidRDefault="00093F29" w:rsidP="00547C78">
            <w:pPr>
              <w:spacing w:after="0" w:line="240" w:lineRule="auto"/>
              <w:rPr>
                <w:rFonts w:eastAsia="Times New Roman" w:cs="Arial"/>
              </w:rPr>
            </w:pPr>
            <w:r w:rsidRPr="005F0B63">
              <w:rPr>
                <w:rFonts w:eastAsia="Times New Roman" w:cs="Arial"/>
              </w:rPr>
              <w:t xml:space="preserve">Neutral </w:t>
            </w:r>
          </w:p>
        </w:tc>
        <w:tc>
          <w:tcPr>
            <w:tcW w:w="497" w:type="dxa"/>
            <w:shd w:val="clear" w:color="auto" w:fill="D9D9D9"/>
          </w:tcPr>
          <w:p w14:paraId="0BB4C22A" w14:textId="77777777" w:rsidR="00093F29" w:rsidRPr="005F0B63" w:rsidRDefault="00093F29" w:rsidP="00547C78">
            <w:pPr>
              <w:spacing w:after="0" w:line="240" w:lineRule="auto"/>
              <w:rPr>
                <w:rFonts w:eastAsia="Times New Roman" w:cs="Arial"/>
              </w:rPr>
            </w:pPr>
            <w:r>
              <w:rPr>
                <w:rFonts w:eastAsia="Times New Roman" w:cstheme="minorHAnsi"/>
              </w:rPr>
              <w:t>~</w:t>
            </w:r>
          </w:p>
        </w:tc>
        <w:tc>
          <w:tcPr>
            <w:tcW w:w="2977" w:type="dxa"/>
            <w:shd w:val="clear" w:color="auto" w:fill="FFFF99"/>
          </w:tcPr>
          <w:p w14:paraId="30898120" w14:textId="77777777" w:rsidR="00093F29" w:rsidRPr="005F0B63" w:rsidRDefault="00093F29" w:rsidP="00547C78">
            <w:pPr>
              <w:spacing w:after="0" w:line="240" w:lineRule="auto"/>
              <w:rPr>
                <w:rFonts w:eastAsia="Times New Roman" w:cs="Arial"/>
              </w:rPr>
            </w:pPr>
            <w:r w:rsidRPr="005F0B63">
              <w:rPr>
                <w:rFonts w:eastAsia="Times New Roman" w:cs="Arial"/>
              </w:rPr>
              <w:t xml:space="preserve">Uncertain </w:t>
            </w:r>
          </w:p>
        </w:tc>
        <w:tc>
          <w:tcPr>
            <w:tcW w:w="567" w:type="dxa"/>
            <w:shd w:val="clear" w:color="auto" w:fill="FFFF99"/>
          </w:tcPr>
          <w:p w14:paraId="262B877C" w14:textId="77777777" w:rsidR="00093F29" w:rsidRPr="005F0B63" w:rsidRDefault="00093F29" w:rsidP="00547C78">
            <w:pPr>
              <w:spacing w:after="0" w:line="240" w:lineRule="auto"/>
              <w:rPr>
                <w:rFonts w:eastAsia="Times New Roman" w:cs="Arial"/>
              </w:rPr>
            </w:pPr>
            <w:r>
              <w:rPr>
                <w:rFonts w:eastAsia="Times New Roman" w:cs="Arial"/>
              </w:rPr>
              <w:t>?</w:t>
            </w:r>
          </w:p>
        </w:tc>
      </w:tr>
    </w:tbl>
    <w:p w14:paraId="73868DFB" w14:textId="77777777" w:rsidR="00093F29" w:rsidRDefault="00093F29" w:rsidP="002244FA"/>
    <w:p w14:paraId="0C01BD83" w14:textId="77777777" w:rsidR="002244FA" w:rsidRPr="002244FA" w:rsidRDefault="002244FA" w:rsidP="00326CB9">
      <w:pPr>
        <w:pStyle w:val="Heading3"/>
      </w:pPr>
      <w:r w:rsidRPr="002244FA">
        <w:t xml:space="preserve">The SA uses 13 sustainability objectives to assess the likely effects of each policy or proposal. These objectives were agreed upon during the scoping stage and reflect both the National Planning Policy Framework (NPPF) and local conditions in Torbay. All three </w:t>
      </w:r>
      <w:r>
        <w:lastRenderedPageBreak/>
        <w:t>aspect</w:t>
      </w:r>
      <w:r w:rsidRPr="002244FA">
        <w:t>s of sustainability</w:t>
      </w:r>
      <w:r>
        <w:t xml:space="preserve"> </w:t>
      </w:r>
      <w:r w:rsidRPr="002244FA">
        <w:t>social, economic, and environmental</w:t>
      </w:r>
      <w:r>
        <w:t xml:space="preserve"> </w:t>
      </w:r>
      <w:r w:rsidRPr="002244FA">
        <w:t>are treated equally. Applying different weightings would risk prioritising one aspect over others, which would conflict with the NPPF’s balanced approach to sustainable development.</w:t>
      </w:r>
    </w:p>
    <w:p w14:paraId="39D010A6" w14:textId="77777777" w:rsidR="002244FA" w:rsidRPr="002244FA" w:rsidRDefault="002244FA" w:rsidP="00326CB9">
      <w:pPr>
        <w:pStyle w:val="Heading3"/>
      </w:pPr>
      <w:r w:rsidRPr="002244FA">
        <w:t>Consistency in evaluating the significance of impacts is essential to ensure a fair and balanced assessment across all policies and proposals.</w:t>
      </w:r>
    </w:p>
    <w:p w14:paraId="7E1B83C5" w14:textId="77777777" w:rsidR="002244FA" w:rsidRPr="002244FA" w:rsidRDefault="002244FA" w:rsidP="00326CB9">
      <w:pPr>
        <w:pStyle w:val="Heading3"/>
      </w:pPr>
      <w:r w:rsidRPr="002244FA">
        <w:t xml:space="preserve">Finally, the SEA Directive ensures that environmental considerations are properly addressed during the preparation and adoption of strategic plans. </w:t>
      </w:r>
      <w:r w:rsidRPr="00072B1D">
        <w:rPr>
          <w:iCs w:val="0"/>
        </w:rPr>
        <w:t>Table 1</w:t>
      </w:r>
      <w:r w:rsidRPr="002244FA">
        <w:t xml:space="preserve"> outlines the SEA Directive requirements and shows how each has been met within the SA process.</w:t>
      </w:r>
    </w:p>
    <w:p w14:paraId="009B2A1C" w14:textId="77777777" w:rsidR="001D1A6C" w:rsidRDefault="001D1A6C" w:rsidP="00366F51"/>
    <w:p w14:paraId="5BAB2C4B" w14:textId="77777777" w:rsidR="00366F51" w:rsidRDefault="00366F51" w:rsidP="00366F51">
      <w:pPr>
        <w:spacing w:after="120" w:line="264" w:lineRule="auto"/>
      </w:pPr>
    </w:p>
    <w:p w14:paraId="50CF14F5" w14:textId="77777777" w:rsidR="00366F51" w:rsidRDefault="00366F51" w:rsidP="00366F51">
      <w:pPr>
        <w:spacing w:after="120" w:line="264" w:lineRule="auto"/>
      </w:pPr>
    </w:p>
    <w:p w14:paraId="3363ECE5" w14:textId="77777777" w:rsidR="00366F51" w:rsidRDefault="00366F51" w:rsidP="00366F51">
      <w:pPr>
        <w:spacing w:after="120" w:line="264" w:lineRule="auto"/>
      </w:pPr>
    </w:p>
    <w:p w14:paraId="1B83EAA1" w14:textId="77777777" w:rsidR="00366F51" w:rsidRDefault="00366F51" w:rsidP="00366F51">
      <w:pPr>
        <w:spacing w:after="120" w:line="264" w:lineRule="auto"/>
      </w:pPr>
    </w:p>
    <w:p w14:paraId="2ECCE95F" w14:textId="77777777" w:rsidR="00366F51" w:rsidRDefault="00366F51" w:rsidP="00366F51">
      <w:pPr>
        <w:spacing w:after="120" w:line="264" w:lineRule="auto"/>
      </w:pPr>
    </w:p>
    <w:p w14:paraId="0621B4E9" w14:textId="77777777" w:rsidR="00366F51" w:rsidRDefault="00366F51" w:rsidP="00366F51">
      <w:pPr>
        <w:spacing w:after="120" w:line="264" w:lineRule="auto"/>
      </w:pPr>
      <w:r>
        <w:rPr>
          <w:noProof/>
          <w:lang w:eastAsia="en-GB"/>
        </w:rPr>
        <w:lastRenderedPageBreak/>
        <w:drawing>
          <wp:inline distT="0" distB="0" distL="0" distR="0" wp14:anchorId="59B1D503" wp14:editId="1645B56D">
            <wp:extent cx="6479002" cy="8096250"/>
            <wp:effectExtent l="0" t="0" r="0" b="0"/>
            <wp:docPr id="7" name="Picture 1" descr="http://planningguidance.planningportal.gov.uk/wp-content/uploads/2013/07/sea1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nningguidance.planningportal.gov.uk/wp-content/uploads/2013/07/sea1_013.jpg"/>
                    <pic:cNvPicPr>
                      <a:picLocks noChangeAspect="1" noChangeArrowheads="1"/>
                    </pic:cNvPicPr>
                  </pic:nvPicPr>
                  <pic:blipFill>
                    <a:blip r:embed="rId15" cstate="print"/>
                    <a:srcRect/>
                    <a:stretch>
                      <a:fillRect/>
                    </a:stretch>
                  </pic:blipFill>
                  <pic:spPr bwMode="auto">
                    <a:xfrm>
                      <a:off x="0" y="0"/>
                      <a:ext cx="6485360" cy="8104195"/>
                    </a:xfrm>
                    <a:prstGeom prst="rect">
                      <a:avLst/>
                    </a:prstGeom>
                    <a:noFill/>
                    <a:ln w="9525">
                      <a:noFill/>
                      <a:miter lim="800000"/>
                      <a:headEnd/>
                      <a:tailEnd/>
                    </a:ln>
                  </pic:spPr>
                </pic:pic>
              </a:graphicData>
            </a:graphic>
          </wp:inline>
        </w:drawing>
      </w:r>
    </w:p>
    <w:p w14:paraId="5626087D" w14:textId="77777777" w:rsidR="00366F51" w:rsidRPr="00A73EA7" w:rsidRDefault="00093F29" w:rsidP="00093F29">
      <w:pPr>
        <w:pStyle w:val="Caption"/>
        <w:rPr>
          <w:b w:val="0"/>
          <w:color w:val="18274A" w:themeColor="text1" w:themeShade="BF"/>
          <w:sz w:val="22"/>
        </w:rPr>
      </w:pPr>
      <w:r>
        <w:t xml:space="preserve">Figure </w:t>
      </w:r>
      <w:fldSimple w:instr=" SEQ Figure \* ARABIC ">
        <w:r w:rsidR="00386AA5">
          <w:rPr>
            <w:noProof/>
          </w:rPr>
          <w:t>2</w:t>
        </w:r>
      </w:fldSimple>
      <w:r>
        <w:t xml:space="preserve"> </w:t>
      </w:r>
      <w:r w:rsidR="00366F51" w:rsidRPr="00093F29">
        <w:rPr>
          <w:lang w:bidi="en-US"/>
        </w:rPr>
        <w:t>Sustainability Appraisal Key Stages</w:t>
      </w:r>
      <w:r w:rsidR="00366F51" w:rsidRPr="00A73EA7">
        <w:rPr>
          <w:rStyle w:val="FootnoteReference"/>
          <w:b w:val="0"/>
          <w:color w:val="18274A" w:themeColor="text1" w:themeShade="BF"/>
          <w:sz w:val="22"/>
        </w:rPr>
        <w:footnoteReference w:id="5"/>
      </w:r>
      <w:r w:rsidR="00366F51" w:rsidRPr="00A73EA7">
        <w:rPr>
          <w:b w:val="0"/>
          <w:color w:val="18274A" w:themeColor="text1" w:themeShade="BF"/>
          <w:sz w:val="22"/>
        </w:rPr>
        <w:t xml:space="preserve"> </w:t>
      </w:r>
    </w:p>
    <w:p w14:paraId="0C2085F2" w14:textId="77777777" w:rsidR="00DD1D8F" w:rsidRDefault="00DD1D8F" w:rsidP="00366F51">
      <w:pPr>
        <w:spacing w:after="120" w:line="264" w:lineRule="auto"/>
      </w:pPr>
    </w:p>
    <w:p w14:paraId="56BF42EB" w14:textId="77777777" w:rsidR="00A81D53" w:rsidRPr="00A81D53" w:rsidRDefault="00093F29" w:rsidP="00093F29">
      <w:pPr>
        <w:pStyle w:val="Caption"/>
        <w:rPr>
          <w:b w:val="0"/>
          <w:bCs w:val="0"/>
          <w:lang w:bidi="en-US"/>
        </w:rPr>
      </w:pPr>
      <w:r>
        <w:t xml:space="preserve">Table </w:t>
      </w:r>
      <w:fldSimple w:instr=" SEQ Table \* ARABIC ">
        <w:r w:rsidR="00386AA5">
          <w:rPr>
            <w:noProof/>
          </w:rPr>
          <w:t>1</w:t>
        </w:r>
      </w:fldSimple>
      <w:r w:rsidR="00FA25EA">
        <w:t xml:space="preserve"> </w:t>
      </w:r>
      <w:r w:rsidRPr="00093F29">
        <w:rPr>
          <w:lang w:bidi="en-US"/>
        </w:rPr>
        <w:t>T</w:t>
      </w:r>
      <w:r w:rsidR="00A81D53" w:rsidRPr="00093F29">
        <w:rPr>
          <w:lang w:bidi="en-US"/>
        </w:rPr>
        <w:t>he Strategic Environmental Assessment Directive Requirements Checklist</w:t>
      </w:r>
      <w:r w:rsidR="00A81D53" w:rsidRPr="00A81D53">
        <w:rPr>
          <w:lang w:bidi="en-US"/>
        </w:rPr>
        <w:t xml:space="preserve"> </w:t>
      </w:r>
    </w:p>
    <w:tbl>
      <w:tblPr>
        <w:tblStyle w:val="corptable"/>
        <w:tblW w:w="0" w:type="auto"/>
        <w:tblLook w:val="04A0" w:firstRow="1" w:lastRow="0" w:firstColumn="1" w:lastColumn="0" w:noHBand="0" w:noVBand="1"/>
      </w:tblPr>
      <w:tblGrid>
        <w:gridCol w:w="6487"/>
        <w:gridCol w:w="3969"/>
      </w:tblGrid>
      <w:tr w:rsidR="00A81D53" w:rsidRPr="00A81D53" w14:paraId="6220E6C0" w14:textId="77777777" w:rsidTr="00A81D53">
        <w:trPr>
          <w:cnfStyle w:val="100000000000" w:firstRow="1" w:lastRow="0" w:firstColumn="0" w:lastColumn="0" w:oddVBand="0" w:evenVBand="0" w:oddHBand="0" w:evenHBand="0" w:firstRowFirstColumn="0" w:firstRowLastColumn="0" w:lastRowFirstColumn="0" w:lastRowLastColumn="0"/>
        </w:trPr>
        <w:tc>
          <w:tcPr>
            <w:tcW w:w="6487" w:type="dxa"/>
            <w:hideMark/>
          </w:tcPr>
          <w:p w14:paraId="02771F72" w14:textId="77777777" w:rsidR="00A81D53" w:rsidRPr="00A81D53" w:rsidRDefault="00A81D53" w:rsidP="00A81D53">
            <w:pPr>
              <w:spacing w:after="120" w:line="264" w:lineRule="auto"/>
              <w:rPr>
                <w:b/>
                <w:color w:val="FFFFFF" w:themeColor="background1"/>
                <w:lang w:bidi="en-US"/>
              </w:rPr>
            </w:pPr>
            <w:r w:rsidRPr="00A81D53">
              <w:rPr>
                <w:b/>
                <w:color w:val="FFFFFF" w:themeColor="background1"/>
                <w:lang w:bidi="en-US"/>
              </w:rPr>
              <w:t>SEA Requirement</w:t>
            </w:r>
          </w:p>
        </w:tc>
        <w:tc>
          <w:tcPr>
            <w:tcW w:w="3969" w:type="dxa"/>
            <w:hideMark/>
          </w:tcPr>
          <w:p w14:paraId="2EFE055F" w14:textId="77777777" w:rsidR="00A81D53" w:rsidRPr="00A81D53" w:rsidRDefault="00A81D53" w:rsidP="00A81D53">
            <w:pPr>
              <w:spacing w:after="120" w:line="264" w:lineRule="auto"/>
              <w:rPr>
                <w:b/>
                <w:color w:val="FFFFFF" w:themeColor="background1"/>
                <w:lang w:bidi="en-US"/>
              </w:rPr>
            </w:pPr>
            <w:r w:rsidRPr="00A81D53">
              <w:rPr>
                <w:b/>
                <w:color w:val="FFFFFF" w:themeColor="background1"/>
                <w:lang w:bidi="en-US"/>
              </w:rPr>
              <w:t>Where the requirement has been met</w:t>
            </w:r>
          </w:p>
        </w:tc>
      </w:tr>
      <w:tr w:rsidR="00A81D53" w:rsidRPr="00A81D53" w14:paraId="00CC8B2C" w14:textId="77777777" w:rsidTr="00A81D53">
        <w:trPr>
          <w:cnfStyle w:val="000000100000" w:firstRow="0" w:lastRow="0" w:firstColumn="0" w:lastColumn="0" w:oddVBand="0" w:evenVBand="0" w:oddHBand="1" w:evenHBand="0" w:firstRowFirstColumn="0" w:firstRowLastColumn="0" w:lastRowFirstColumn="0" w:lastRowLastColumn="0"/>
        </w:trPr>
        <w:tc>
          <w:tcPr>
            <w:tcW w:w="6487" w:type="dxa"/>
            <w:hideMark/>
          </w:tcPr>
          <w:p w14:paraId="23415168" w14:textId="77777777" w:rsidR="00A81D53" w:rsidRPr="00A81D53" w:rsidRDefault="00A81D53" w:rsidP="00A81D53">
            <w:pPr>
              <w:spacing w:after="120" w:line="264" w:lineRule="auto"/>
              <w:rPr>
                <w:lang w:bidi="en-US"/>
              </w:rPr>
            </w:pPr>
            <w:r w:rsidRPr="00A81D53">
              <w:rPr>
                <w:lang w:bidi="en-US"/>
              </w:rPr>
              <w:t>Preparation of an environmental report in which the likely significant effects on the environment of implementing the plan or programme, and reasonable alternatives taking into account the objectives and geographical scope of the plan or programme, are identified, described and evaluated (Art. 5(1)). The information to be given (subject to Art. 5(2) and 5(3)) is in Annex 1 of the Strategic Environmental Assessment Directive</w:t>
            </w:r>
          </w:p>
        </w:tc>
        <w:tc>
          <w:tcPr>
            <w:tcW w:w="3969" w:type="dxa"/>
            <w:hideMark/>
          </w:tcPr>
          <w:p w14:paraId="1BDCCDB6" w14:textId="77777777" w:rsidR="00A81D53" w:rsidRPr="00A81D53" w:rsidRDefault="00A81D53" w:rsidP="00A81D53">
            <w:pPr>
              <w:spacing w:after="120" w:line="264" w:lineRule="auto"/>
              <w:rPr>
                <w:lang w:bidi="en-US"/>
              </w:rPr>
            </w:pPr>
            <w:r w:rsidRPr="00A81D53">
              <w:rPr>
                <w:lang w:bidi="en-US"/>
              </w:rPr>
              <w:t xml:space="preserve">This Report </w:t>
            </w:r>
          </w:p>
        </w:tc>
      </w:tr>
      <w:tr w:rsidR="00A81D53" w:rsidRPr="00A81D53" w14:paraId="60C1068A" w14:textId="77777777" w:rsidTr="00A81D53">
        <w:tc>
          <w:tcPr>
            <w:tcW w:w="6487" w:type="dxa"/>
            <w:hideMark/>
          </w:tcPr>
          <w:p w14:paraId="4203D879" w14:textId="77777777" w:rsidR="00A81D53" w:rsidRPr="00A81D53" w:rsidRDefault="00A81D53" w:rsidP="00A81D53">
            <w:pPr>
              <w:spacing w:after="120" w:line="264" w:lineRule="auto"/>
              <w:rPr>
                <w:lang w:bidi="en-US"/>
              </w:rPr>
            </w:pPr>
            <w:r w:rsidRPr="00A81D53">
              <w:rPr>
                <w:lang w:bidi="en-US"/>
              </w:rPr>
              <w:t>a) An outline of the contents, main objectives of the plan or programme, and relationship with other relevant plans and programmes;</w:t>
            </w:r>
          </w:p>
        </w:tc>
        <w:tc>
          <w:tcPr>
            <w:tcW w:w="3969" w:type="dxa"/>
            <w:hideMark/>
          </w:tcPr>
          <w:p w14:paraId="28946A5C" w14:textId="77777777" w:rsidR="00A81D53" w:rsidRPr="00A81D53" w:rsidRDefault="00A81D53" w:rsidP="00A81D53">
            <w:pPr>
              <w:spacing w:after="120" w:line="264" w:lineRule="auto"/>
              <w:rPr>
                <w:lang w:bidi="en-US"/>
              </w:rPr>
            </w:pPr>
            <w:r w:rsidRPr="00A81D53">
              <w:rPr>
                <w:lang w:bidi="en-US"/>
              </w:rPr>
              <w:t xml:space="preserve">The Scoping Report   </w:t>
            </w:r>
          </w:p>
        </w:tc>
      </w:tr>
      <w:tr w:rsidR="00A81D53" w:rsidRPr="00A81D53" w14:paraId="310FDAC7" w14:textId="77777777" w:rsidTr="00A81D53">
        <w:trPr>
          <w:cnfStyle w:val="000000100000" w:firstRow="0" w:lastRow="0" w:firstColumn="0" w:lastColumn="0" w:oddVBand="0" w:evenVBand="0" w:oddHBand="1" w:evenHBand="0" w:firstRowFirstColumn="0" w:firstRowLastColumn="0" w:lastRowFirstColumn="0" w:lastRowLastColumn="0"/>
        </w:trPr>
        <w:tc>
          <w:tcPr>
            <w:tcW w:w="6487" w:type="dxa"/>
            <w:hideMark/>
          </w:tcPr>
          <w:p w14:paraId="6824C208" w14:textId="77777777" w:rsidR="00A81D53" w:rsidRPr="00A81D53" w:rsidRDefault="00A81D53" w:rsidP="00A81D53">
            <w:pPr>
              <w:spacing w:after="120" w:line="264" w:lineRule="auto"/>
              <w:rPr>
                <w:lang w:bidi="en-US"/>
              </w:rPr>
            </w:pPr>
            <w:r w:rsidRPr="00A81D53">
              <w:rPr>
                <w:lang w:bidi="en-US"/>
              </w:rPr>
              <w:t>b) The relevant aspects of the current state of the environment and the likely evolution thereof without implementation of the plan or programme;</w:t>
            </w:r>
          </w:p>
        </w:tc>
        <w:tc>
          <w:tcPr>
            <w:tcW w:w="3969" w:type="dxa"/>
            <w:hideMark/>
          </w:tcPr>
          <w:p w14:paraId="6534AE4E" w14:textId="77777777" w:rsidR="00A81D53" w:rsidRPr="00A81D53" w:rsidRDefault="00A81D53" w:rsidP="00A81D53">
            <w:pPr>
              <w:spacing w:after="120" w:line="264" w:lineRule="auto"/>
              <w:rPr>
                <w:lang w:bidi="en-US"/>
              </w:rPr>
            </w:pPr>
            <w:r w:rsidRPr="00A81D53">
              <w:rPr>
                <w:lang w:bidi="en-US"/>
              </w:rPr>
              <w:t>The Baseline Report</w:t>
            </w:r>
            <w:r w:rsidR="00DF4E52">
              <w:rPr>
                <w:lang w:bidi="en-US"/>
              </w:rPr>
              <w:t xml:space="preserve"> in the Scoping Report</w:t>
            </w:r>
          </w:p>
        </w:tc>
      </w:tr>
      <w:tr w:rsidR="00A81D53" w:rsidRPr="00A81D53" w14:paraId="2D895C76" w14:textId="77777777" w:rsidTr="00A81D53">
        <w:tc>
          <w:tcPr>
            <w:tcW w:w="6487" w:type="dxa"/>
            <w:hideMark/>
          </w:tcPr>
          <w:p w14:paraId="4848C21C" w14:textId="77777777" w:rsidR="00A81D53" w:rsidRPr="00A81D53" w:rsidRDefault="00A81D53" w:rsidP="00A81D53">
            <w:pPr>
              <w:spacing w:after="120" w:line="264" w:lineRule="auto"/>
              <w:rPr>
                <w:lang w:bidi="en-US"/>
              </w:rPr>
            </w:pPr>
            <w:r w:rsidRPr="00A81D53">
              <w:rPr>
                <w:lang w:bidi="en-US"/>
              </w:rPr>
              <w:t>c) The environment characteristics of areas likely to be significantly affected</w:t>
            </w:r>
          </w:p>
        </w:tc>
        <w:tc>
          <w:tcPr>
            <w:tcW w:w="3969" w:type="dxa"/>
            <w:hideMark/>
          </w:tcPr>
          <w:p w14:paraId="2A4B8065" w14:textId="77777777" w:rsidR="00A81D53" w:rsidRPr="00A81D53" w:rsidRDefault="00A81D53" w:rsidP="00A81D53">
            <w:pPr>
              <w:spacing w:after="120" w:line="264" w:lineRule="auto"/>
              <w:rPr>
                <w:lang w:bidi="en-US"/>
              </w:rPr>
            </w:pPr>
            <w:r w:rsidRPr="00A81D53">
              <w:rPr>
                <w:lang w:bidi="en-US"/>
              </w:rPr>
              <w:t>The Scoping Report</w:t>
            </w:r>
          </w:p>
        </w:tc>
      </w:tr>
      <w:tr w:rsidR="00A81D53" w:rsidRPr="00A81D53" w14:paraId="23A8D379" w14:textId="77777777" w:rsidTr="00A81D53">
        <w:trPr>
          <w:cnfStyle w:val="000000100000" w:firstRow="0" w:lastRow="0" w:firstColumn="0" w:lastColumn="0" w:oddVBand="0" w:evenVBand="0" w:oddHBand="1" w:evenHBand="0" w:firstRowFirstColumn="0" w:firstRowLastColumn="0" w:lastRowFirstColumn="0" w:lastRowLastColumn="0"/>
        </w:trPr>
        <w:tc>
          <w:tcPr>
            <w:tcW w:w="6487" w:type="dxa"/>
            <w:hideMark/>
          </w:tcPr>
          <w:p w14:paraId="09ACF66F" w14:textId="77777777" w:rsidR="00A81D53" w:rsidRPr="00A81D53" w:rsidRDefault="00A81D53" w:rsidP="00A81D53">
            <w:pPr>
              <w:spacing w:after="120" w:line="264" w:lineRule="auto"/>
              <w:rPr>
                <w:lang w:bidi="en-US"/>
              </w:rPr>
            </w:pPr>
            <w:r w:rsidRPr="00A81D53">
              <w:rPr>
                <w:lang w:bidi="en-US"/>
              </w:rPr>
              <w:t>d) Any existing environmental problems which are relevant to the plan or programme including, in particular, those relating to any areas of a particular environmental importance, such as areas designated pursuant to Directives 79/409/EEC and 92/43/EEC;</w:t>
            </w:r>
          </w:p>
        </w:tc>
        <w:tc>
          <w:tcPr>
            <w:tcW w:w="3969" w:type="dxa"/>
            <w:hideMark/>
          </w:tcPr>
          <w:p w14:paraId="4B76B273" w14:textId="77777777" w:rsidR="00A81D53" w:rsidRPr="00A81D53" w:rsidRDefault="00A81D53" w:rsidP="00A81D53">
            <w:pPr>
              <w:spacing w:after="120" w:line="264" w:lineRule="auto"/>
              <w:rPr>
                <w:lang w:bidi="en-US"/>
              </w:rPr>
            </w:pPr>
            <w:r w:rsidRPr="00A81D53">
              <w:rPr>
                <w:lang w:bidi="en-US"/>
              </w:rPr>
              <w:t>The Scoping Report</w:t>
            </w:r>
          </w:p>
        </w:tc>
      </w:tr>
      <w:tr w:rsidR="00A81D53" w:rsidRPr="00A81D53" w14:paraId="1F656F6C" w14:textId="77777777" w:rsidTr="00A81D53">
        <w:tc>
          <w:tcPr>
            <w:tcW w:w="6487" w:type="dxa"/>
            <w:hideMark/>
          </w:tcPr>
          <w:p w14:paraId="1EC59FCD" w14:textId="77777777" w:rsidR="00A81D53" w:rsidRPr="00A81D53" w:rsidRDefault="00A81D53" w:rsidP="00A81D53">
            <w:pPr>
              <w:spacing w:after="120" w:line="264" w:lineRule="auto"/>
              <w:rPr>
                <w:lang w:bidi="en-US"/>
              </w:rPr>
            </w:pPr>
            <w:r w:rsidRPr="00A81D53">
              <w:rPr>
                <w:lang w:bidi="en-US"/>
              </w:rPr>
              <w:t>e) The environmental protection objectives, established at international, Community or national level, which are relevant to the plan or programme and the way those objectives and any environmental considerations have been taken into account during its preparation;</w:t>
            </w:r>
          </w:p>
        </w:tc>
        <w:tc>
          <w:tcPr>
            <w:tcW w:w="3969" w:type="dxa"/>
            <w:hideMark/>
          </w:tcPr>
          <w:p w14:paraId="1E9042F5" w14:textId="77777777" w:rsidR="00A81D53" w:rsidRPr="00A81D53" w:rsidRDefault="00A81D53" w:rsidP="00A81D53">
            <w:pPr>
              <w:spacing w:after="120" w:line="264" w:lineRule="auto"/>
              <w:rPr>
                <w:lang w:bidi="en-US"/>
              </w:rPr>
            </w:pPr>
            <w:r w:rsidRPr="00A81D53">
              <w:rPr>
                <w:lang w:bidi="en-US"/>
              </w:rPr>
              <w:t>The Scoping Report</w:t>
            </w:r>
          </w:p>
        </w:tc>
      </w:tr>
      <w:tr w:rsidR="00A81D53" w:rsidRPr="00A81D53" w14:paraId="208F079C" w14:textId="77777777" w:rsidTr="00A81D53">
        <w:trPr>
          <w:cnfStyle w:val="000000100000" w:firstRow="0" w:lastRow="0" w:firstColumn="0" w:lastColumn="0" w:oddVBand="0" w:evenVBand="0" w:oddHBand="1" w:evenHBand="0" w:firstRowFirstColumn="0" w:firstRowLastColumn="0" w:lastRowFirstColumn="0" w:lastRowLastColumn="0"/>
        </w:trPr>
        <w:tc>
          <w:tcPr>
            <w:tcW w:w="6487" w:type="dxa"/>
            <w:hideMark/>
          </w:tcPr>
          <w:p w14:paraId="1170417A" w14:textId="77777777" w:rsidR="00A81D53" w:rsidRPr="00A81D53" w:rsidRDefault="00A81D53" w:rsidP="00A81D53">
            <w:pPr>
              <w:spacing w:after="120" w:line="264" w:lineRule="auto"/>
              <w:rPr>
                <w:lang w:bidi="en-US"/>
              </w:rPr>
            </w:pPr>
            <w:r w:rsidRPr="00A81D53">
              <w:rPr>
                <w:lang w:bidi="en-US"/>
              </w:rPr>
              <w:t xml:space="preserve">f) The likely significant effects on the environment, including on issues such as biodiversity, population, human health, fauna, flora, soil, water, air, climatic factors, material assets, cultural heritage including architectural and archaeological heritage, landscapes and the interrelationship between the above factors. (Footnote: These effects should include secondary, cumulative, </w:t>
            </w:r>
            <w:r w:rsidRPr="00A81D53">
              <w:rPr>
                <w:lang w:bidi="en-US"/>
              </w:rPr>
              <w:lastRenderedPageBreak/>
              <w:t>synergistic, short, medium and long-term permanent and temporary, positive and negative effects);</w:t>
            </w:r>
          </w:p>
        </w:tc>
        <w:tc>
          <w:tcPr>
            <w:tcW w:w="3969" w:type="dxa"/>
            <w:hideMark/>
          </w:tcPr>
          <w:p w14:paraId="1A8CA47D" w14:textId="77777777" w:rsidR="00A81D53" w:rsidRPr="00A81D53" w:rsidRDefault="00A81D53" w:rsidP="00A81D53">
            <w:pPr>
              <w:spacing w:after="120" w:line="264" w:lineRule="auto"/>
              <w:rPr>
                <w:lang w:bidi="en-US"/>
              </w:rPr>
            </w:pPr>
            <w:r w:rsidRPr="00A81D53">
              <w:rPr>
                <w:lang w:bidi="en-US"/>
              </w:rPr>
              <w:lastRenderedPageBreak/>
              <w:t xml:space="preserve">Sections 4 of this Report and Appendices </w:t>
            </w:r>
            <w:r w:rsidR="00DF4E52">
              <w:rPr>
                <w:lang w:bidi="en-US"/>
              </w:rPr>
              <w:t>B and C</w:t>
            </w:r>
          </w:p>
        </w:tc>
      </w:tr>
      <w:tr w:rsidR="00A81D53" w:rsidRPr="00A81D53" w14:paraId="081A5ED0" w14:textId="77777777" w:rsidTr="00A81D53">
        <w:tc>
          <w:tcPr>
            <w:tcW w:w="6487" w:type="dxa"/>
            <w:hideMark/>
          </w:tcPr>
          <w:p w14:paraId="2A23A7FE" w14:textId="77777777" w:rsidR="00A81D53" w:rsidRPr="00A81D53" w:rsidRDefault="00A81D53" w:rsidP="00A81D53">
            <w:pPr>
              <w:spacing w:after="120" w:line="264" w:lineRule="auto"/>
              <w:rPr>
                <w:lang w:bidi="en-US"/>
              </w:rPr>
            </w:pPr>
            <w:r w:rsidRPr="00A81D53">
              <w:rPr>
                <w:lang w:bidi="en-US"/>
              </w:rPr>
              <w:t>g)</w:t>
            </w:r>
            <w:r w:rsidR="00DF4E52">
              <w:rPr>
                <w:lang w:bidi="en-US"/>
              </w:rPr>
              <w:t xml:space="preserve"> </w:t>
            </w:r>
            <w:r w:rsidRPr="00A81D53">
              <w:rPr>
                <w:lang w:bidi="en-US"/>
              </w:rPr>
              <w:t>The measures envisaged to prevent, reduce and as fully as possible offset any significant adverse effects on the environment of implementing the plan or programme;</w:t>
            </w:r>
          </w:p>
        </w:tc>
        <w:tc>
          <w:tcPr>
            <w:tcW w:w="3969" w:type="dxa"/>
            <w:hideMark/>
          </w:tcPr>
          <w:p w14:paraId="34F07738" w14:textId="77777777" w:rsidR="00A81D53" w:rsidRPr="00A81D53" w:rsidRDefault="00DF4E52" w:rsidP="00A81D53">
            <w:pPr>
              <w:spacing w:after="120" w:line="264" w:lineRule="auto"/>
              <w:rPr>
                <w:lang w:bidi="en-US"/>
              </w:rPr>
            </w:pPr>
            <w:r w:rsidRPr="00A81D53">
              <w:rPr>
                <w:lang w:bidi="en-US"/>
              </w:rPr>
              <w:t xml:space="preserve">Sections 4 of this Report and Appendices </w:t>
            </w:r>
            <w:r>
              <w:rPr>
                <w:lang w:bidi="en-US"/>
              </w:rPr>
              <w:t>B and C</w:t>
            </w:r>
          </w:p>
        </w:tc>
      </w:tr>
      <w:tr w:rsidR="00A81D53" w:rsidRPr="00A81D53" w14:paraId="6CEDE520" w14:textId="77777777" w:rsidTr="00A81D53">
        <w:trPr>
          <w:cnfStyle w:val="000000100000" w:firstRow="0" w:lastRow="0" w:firstColumn="0" w:lastColumn="0" w:oddVBand="0" w:evenVBand="0" w:oddHBand="1" w:evenHBand="0" w:firstRowFirstColumn="0" w:firstRowLastColumn="0" w:lastRowFirstColumn="0" w:lastRowLastColumn="0"/>
        </w:trPr>
        <w:tc>
          <w:tcPr>
            <w:tcW w:w="6487" w:type="dxa"/>
            <w:hideMark/>
          </w:tcPr>
          <w:p w14:paraId="76B3FF44" w14:textId="77777777" w:rsidR="00A81D53" w:rsidRPr="00A81D53" w:rsidRDefault="00A81D53" w:rsidP="00A81D53">
            <w:pPr>
              <w:spacing w:after="120" w:line="264" w:lineRule="auto"/>
              <w:rPr>
                <w:lang w:bidi="en-US"/>
              </w:rPr>
            </w:pPr>
            <w:r w:rsidRPr="00A81D53">
              <w:rPr>
                <w:lang w:bidi="en-US"/>
              </w:rPr>
              <w:t>h) An outline of the reasons for selecting the alternatives dealt with, and a description of how the assessment was undertaken including any difficulties (such as technical deficiencies or lack of know-how) encountered in compiling the required information;</w:t>
            </w:r>
          </w:p>
        </w:tc>
        <w:tc>
          <w:tcPr>
            <w:tcW w:w="3969" w:type="dxa"/>
            <w:hideMark/>
          </w:tcPr>
          <w:p w14:paraId="7254CC43" w14:textId="77777777" w:rsidR="00A81D53" w:rsidRDefault="00A81D53" w:rsidP="00A81D53">
            <w:pPr>
              <w:spacing w:after="120" w:line="264" w:lineRule="auto"/>
              <w:rPr>
                <w:lang w:bidi="en-US"/>
              </w:rPr>
            </w:pPr>
            <w:r w:rsidRPr="00A81D53">
              <w:rPr>
                <w:lang w:bidi="en-US"/>
              </w:rPr>
              <w:t xml:space="preserve">Section </w:t>
            </w:r>
            <w:r w:rsidR="00DF4E52">
              <w:rPr>
                <w:lang w:bidi="en-US"/>
              </w:rPr>
              <w:t>3</w:t>
            </w:r>
            <w:r w:rsidRPr="00A81D53">
              <w:rPr>
                <w:lang w:bidi="en-US"/>
              </w:rPr>
              <w:t xml:space="preserve"> of this Report. </w:t>
            </w:r>
          </w:p>
          <w:p w14:paraId="3A2D0A38" w14:textId="77777777" w:rsidR="00DF4E52" w:rsidRPr="00A81D53" w:rsidRDefault="00DF4E52" w:rsidP="00A81D53">
            <w:pPr>
              <w:spacing w:after="120" w:line="264" w:lineRule="auto"/>
              <w:rPr>
                <w:lang w:bidi="en-US"/>
              </w:rPr>
            </w:pPr>
            <w:r w:rsidRPr="00071028">
              <w:t>Sustainability Appraisal: Assessing Reasonable Alternatives</w:t>
            </w:r>
            <w:r>
              <w:t xml:space="preserve"> March 2021, January 2022 and October 2022</w:t>
            </w:r>
          </w:p>
        </w:tc>
      </w:tr>
      <w:tr w:rsidR="00A81D53" w:rsidRPr="00A81D53" w14:paraId="226101FA" w14:textId="77777777" w:rsidTr="00A81D53">
        <w:tc>
          <w:tcPr>
            <w:tcW w:w="6487" w:type="dxa"/>
            <w:hideMark/>
          </w:tcPr>
          <w:p w14:paraId="7D7BF435" w14:textId="77777777" w:rsidR="00A81D53" w:rsidRPr="00A81D53" w:rsidRDefault="00A81D53" w:rsidP="00A81D53">
            <w:pPr>
              <w:spacing w:after="120" w:line="264" w:lineRule="auto"/>
              <w:rPr>
                <w:lang w:bidi="en-US"/>
              </w:rPr>
            </w:pPr>
            <w:r w:rsidRPr="00A81D53">
              <w:rPr>
                <w:lang w:bidi="en-US"/>
              </w:rPr>
              <w:t>i) a description of measures envisaged concerning monitoring in accordance with Article 10;</w:t>
            </w:r>
          </w:p>
        </w:tc>
        <w:tc>
          <w:tcPr>
            <w:tcW w:w="3969" w:type="dxa"/>
            <w:hideMark/>
          </w:tcPr>
          <w:p w14:paraId="17549190" w14:textId="77777777" w:rsidR="00A81D53" w:rsidRPr="00A81D53" w:rsidRDefault="00A81D53" w:rsidP="00A81D53">
            <w:pPr>
              <w:spacing w:after="120" w:line="264" w:lineRule="auto"/>
              <w:rPr>
                <w:lang w:bidi="en-US"/>
              </w:rPr>
            </w:pPr>
            <w:r w:rsidRPr="00A81D53">
              <w:rPr>
                <w:lang w:bidi="en-US"/>
              </w:rPr>
              <w:t>The Scoping Report</w:t>
            </w:r>
            <w:r w:rsidR="00F32493">
              <w:rPr>
                <w:lang w:bidi="en-US"/>
              </w:rPr>
              <w:t xml:space="preserve"> and</w:t>
            </w:r>
            <w:r w:rsidRPr="00A81D53">
              <w:rPr>
                <w:lang w:bidi="en-US"/>
              </w:rPr>
              <w:t xml:space="preserve"> Section </w:t>
            </w:r>
            <w:r w:rsidR="00F32493">
              <w:rPr>
                <w:lang w:bidi="en-US"/>
              </w:rPr>
              <w:t>5</w:t>
            </w:r>
            <w:r w:rsidRPr="00A81D53">
              <w:rPr>
                <w:lang w:bidi="en-US"/>
              </w:rPr>
              <w:t xml:space="preserve"> of this Report </w:t>
            </w:r>
          </w:p>
        </w:tc>
      </w:tr>
      <w:tr w:rsidR="00A81D53" w:rsidRPr="00A81D53" w14:paraId="4044F74F" w14:textId="77777777" w:rsidTr="00A81D53">
        <w:trPr>
          <w:cnfStyle w:val="000000100000" w:firstRow="0" w:lastRow="0" w:firstColumn="0" w:lastColumn="0" w:oddVBand="0" w:evenVBand="0" w:oddHBand="1" w:evenHBand="0" w:firstRowFirstColumn="0" w:firstRowLastColumn="0" w:lastRowFirstColumn="0" w:lastRowLastColumn="0"/>
        </w:trPr>
        <w:tc>
          <w:tcPr>
            <w:tcW w:w="6487" w:type="dxa"/>
            <w:hideMark/>
          </w:tcPr>
          <w:p w14:paraId="7E95A44A" w14:textId="77777777" w:rsidR="00A81D53" w:rsidRPr="00A81D53" w:rsidRDefault="00A81D53" w:rsidP="00A81D53">
            <w:pPr>
              <w:spacing w:after="120" w:line="264" w:lineRule="auto"/>
              <w:rPr>
                <w:lang w:bidi="en-US"/>
              </w:rPr>
            </w:pPr>
            <w:r w:rsidRPr="00A81D53">
              <w:rPr>
                <w:lang w:bidi="en-US"/>
              </w:rPr>
              <w:t>j) a non-technical summary of the information provided under the above headings.</w:t>
            </w:r>
          </w:p>
        </w:tc>
        <w:tc>
          <w:tcPr>
            <w:tcW w:w="3969" w:type="dxa"/>
            <w:hideMark/>
          </w:tcPr>
          <w:p w14:paraId="4DCCAE3B" w14:textId="77777777" w:rsidR="00A81D53" w:rsidRPr="00A81D53" w:rsidRDefault="00A81D53" w:rsidP="00A81D53">
            <w:pPr>
              <w:spacing w:after="120" w:line="264" w:lineRule="auto"/>
              <w:rPr>
                <w:lang w:bidi="en-US"/>
              </w:rPr>
            </w:pPr>
            <w:r w:rsidRPr="00A81D53">
              <w:rPr>
                <w:lang w:bidi="en-US"/>
              </w:rPr>
              <w:t xml:space="preserve">A non-technical summary </w:t>
            </w:r>
            <w:r w:rsidR="00F32493">
              <w:rPr>
                <w:lang w:bidi="en-US"/>
              </w:rPr>
              <w:t xml:space="preserve">is part of this report </w:t>
            </w:r>
          </w:p>
        </w:tc>
      </w:tr>
      <w:tr w:rsidR="00A81D53" w:rsidRPr="00A81D53" w14:paraId="14B17B5D" w14:textId="77777777" w:rsidTr="00A81D53">
        <w:tc>
          <w:tcPr>
            <w:tcW w:w="6487" w:type="dxa"/>
            <w:hideMark/>
          </w:tcPr>
          <w:p w14:paraId="30D05E6D" w14:textId="77777777" w:rsidR="00A81D53" w:rsidRPr="00A81D53" w:rsidRDefault="00A81D53" w:rsidP="00A81D53">
            <w:pPr>
              <w:spacing w:after="120" w:line="264" w:lineRule="auto"/>
              <w:rPr>
                <w:lang w:bidi="en-US"/>
              </w:rPr>
            </w:pPr>
            <w:r w:rsidRPr="00A81D53">
              <w:rPr>
                <w:lang w:bidi="en-US"/>
              </w:rPr>
              <w:t>The report shall include the information that may reasonably be required taking into account current knowledge and methods of assessment, the contents and level of detail in the plan or programme, its stage in the decision-making process and the extent to which certain matters are more appropriately assessed at different levels in the process to avoid duplication of the assessment (Art. 5(2)). Art. 5(3) of the Strategic Environmental Assessment Directive sets out that relevant information available on environmental effects of the plans and programmes obtained at other levels of decision-making or through other Community legislation may be useful for providing the information referred to in Annex 1 of that Directive.</w:t>
            </w:r>
          </w:p>
        </w:tc>
        <w:tc>
          <w:tcPr>
            <w:tcW w:w="3969" w:type="dxa"/>
            <w:hideMark/>
          </w:tcPr>
          <w:p w14:paraId="44C35570" w14:textId="77777777" w:rsidR="00A81D53" w:rsidRPr="00A81D53" w:rsidRDefault="00A81D53" w:rsidP="00A81D53">
            <w:pPr>
              <w:spacing w:after="120" w:line="264" w:lineRule="auto"/>
              <w:rPr>
                <w:lang w:bidi="en-US"/>
              </w:rPr>
            </w:pPr>
            <w:r w:rsidRPr="00A81D53">
              <w:rPr>
                <w:lang w:bidi="en-US"/>
              </w:rPr>
              <w:t>This Report.</w:t>
            </w:r>
          </w:p>
        </w:tc>
      </w:tr>
      <w:tr w:rsidR="00A81D53" w:rsidRPr="00A81D53" w14:paraId="7B104DC4" w14:textId="77777777" w:rsidTr="00A81D53">
        <w:trPr>
          <w:cnfStyle w:val="000000100000" w:firstRow="0" w:lastRow="0" w:firstColumn="0" w:lastColumn="0" w:oddVBand="0" w:evenVBand="0" w:oddHBand="1" w:evenHBand="0" w:firstRowFirstColumn="0" w:firstRowLastColumn="0" w:lastRowFirstColumn="0" w:lastRowLastColumn="0"/>
        </w:trPr>
        <w:tc>
          <w:tcPr>
            <w:tcW w:w="6487" w:type="dxa"/>
            <w:hideMark/>
          </w:tcPr>
          <w:p w14:paraId="77D651CF" w14:textId="77777777" w:rsidR="00A81D53" w:rsidRPr="00A81D53" w:rsidRDefault="00A81D53" w:rsidP="00A81D53">
            <w:pPr>
              <w:spacing w:after="120" w:line="264" w:lineRule="auto"/>
              <w:rPr>
                <w:b/>
                <w:lang w:bidi="en-US"/>
              </w:rPr>
            </w:pPr>
            <w:r w:rsidRPr="00A81D53">
              <w:rPr>
                <w:b/>
                <w:lang w:bidi="en-US"/>
              </w:rPr>
              <w:t>Consultation:</w:t>
            </w:r>
          </w:p>
          <w:p w14:paraId="740D66C9" w14:textId="77777777" w:rsidR="00A81D53" w:rsidRPr="00A81D53" w:rsidRDefault="00A81D53" w:rsidP="00A81D53">
            <w:pPr>
              <w:spacing w:after="120" w:line="264" w:lineRule="auto"/>
              <w:rPr>
                <w:lang w:bidi="en-US"/>
              </w:rPr>
            </w:pPr>
            <w:r w:rsidRPr="00A81D53">
              <w:rPr>
                <w:lang w:bidi="en-US"/>
              </w:rPr>
              <w:t>•authorities with environmental responsibility, when deciding on the scope and level of detail of information to be included in environmental report (Art. 5(4)).</w:t>
            </w:r>
          </w:p>
        </w:tc>
        <w:tc>
          <w:tcPr>
            <w:tcW w:w="3969" w:type="dxa"/>
            <w:hideMark/>
          </w:tcPr>
          <w:p w14:paraId="412D1F23" w14:textId="77777777" w:rsidR="00A81D53" w:rsidRPr="00A81D53" w:rsidRDefault="00A81D53" w:rsidP="00A81D53">
            <w:pPr>
              <w:spacing w:after="120" w:line="264" w:lineRule="auto"/>
              <w:rPr>
                <w:lang w:bidi="en-US"/>
              </w:rPr>
            </w:pPr>
            <w:r w:rsidRPr="00A81D53">
              <w:rPr>
                <w:lang w:bidi="en-US"/>
              </w:rPr>
              <w:t>The draft Scoping Report was sent to the statutory consultees (Environment Agency, Natural England, and English Heritage) and other selected bodies</w:t>
            </w:r>
            <w:r w:rsidR="00F32493">
              <w:rPr>
                <w:lang w:bidi="en-US"/>
              </w:rPr>
              <w:t>.</w:t>
            </w:r>
          </w:p>
        </w:tc>
      </w:tr>
      <w:tr w:rsidR="00A81D53" w:rsidRPr="00A81D53" w14:paraId="443C0FCE" w14:textId="77777777" w:rsidTr="00A81D53">
        <w:tc>
          <w:tcPr>
            <w:tcW w:w="6487" w:type="dxa"/>
            <w:hideMark/>
          </w:tcPr>
          <w:p w14:paraId="3B84400E" w14:textId="77777777" w:rsidR="00A81D53" w:rsidRPr="00A81D53" w:rsidRDefault="00A81D53" w:rsidP="00A81D53">
            <w:pPr>
              <w:spacing w:after="120" w:line="264" w:lineRule="auto"/>
              <w:rPr>
                <w:lang w:bidi="en-US"/>
              </w:rPr>
            </w:pPr>
            <w:r w:rsidRPr="00A81D53">
              <w:rPr>
                <w:lang w:bidi="en-US"/>
              </w:rPr>
              <w:t>•authorities with environmental responsibility and the public shall be given an early and effective opportunity within appropriate time frames to express their opinion on the draft plan or programme and accompanying environmental report before the adoption of the plan or programme (Art. 6 (1), 6 (2)).</w:t>
            </w:r>
          </w:p>
        </w:tc>
        <w:tc>
          <w:tcPr>
            <w:tcW w:w="3969" w:type="dxa"/>
            <w:hideMark/>
          </w:tcPr>
          <w:p w14:paraId="5B9A29A2" w14:textId="77777777" w:rsidR="00A81D53" w:rsidRPr="00A81D53" w:rsidRDefault="00A81D53" w:rsidP="00A81D53">
            <w:pPr>
              <w:spacing w:after="120" w:line="264" w:lineRule="auto"/>
              <w:rPr>
                <w:lang w:bidi="en-US"/>
              </w:rPr>
            </w:pPr>
            <w:r w:rsidRPr="00A81D53">
              <w:rPr>
                <w:lang w:bidi="en-US"/>
              </w:rPr>
              <w:t>All iterations of the SA, including this version, have been subject to consultation.</w:t>
            </w:r>
          </w:p>
        </w:tc>
      </w:tr>
      <w:tr w:rsidR="00A81D53" w:rsidRPr="00A81D53" w14:paraId="49ECEB6E" w14:textId="77777777" w:rsidTr="00A81D53">
        <w:trPr>
          <w:cnfStyle w:val="000000100000" w:firstRow="0" w:lastRow="0" w:firstColumn="0" w:lastColumn="0" w:oddVBand="0" w:evenVBand="0" w:oddHBand="1" w:evenHBand="0" w:firstRowFirstColumn="0" w:firstRowLastColumn="0" w:lastRowFirstColumn="0" w:lastRowLastColumn="0"/>
        </w:trPr>
        <w:tc>
          <w:tcPr>
            <w:tcW w:w="6487" w:type="dxa"/>
            <w:hideMark/>
          </w:tcPr>
          <w:p w14:paraId="4F373783" w14:textId="77777777" w:rsidR="00A81D53" w:rsidRPr="00A81D53" w:rsidRDefault="00A81D53" w:rsidP="00A81D53">
            <w:pPr>
              <w:spacing w:after="120" w:line="264" w:lineRule="auto"/>
              <w:rPr>
                <w:lang w:bidi="en-US"/>
              </w:rPr>
            </w:pPr>
            <w:r w:rsidRPr="00A81D53">
              <w:rPr>
                <w:lang w:bidi="en-US"/>
              </w:rPr>
              <w:lastRenderedPageBreak/>
              <w:t>•other EU Member States, where the implementation of the plan or programme is likely to have significant effects on the environment of that country (Art. (7)).</w:t>
            </w:r>
          </w:p>
        </w:tc>
        <w:tc>
          <w:tcPr>
            <w:tcW w:w="3969" w:type="dxa"/>
            <w:hideMark/>
          </w:tcPr>
          <w:p w14:paraId="14598917" w14:textId="77777777" w:rsidR="00A81D53" w:rsidRPr="00A81D53" w:rsidRDefault="00A81D53" w:rsidP="00A81D53">
            <w:pPr>
              <w:spacing w:after="120" w:line="264" w:lineRule="auto"/>
              <w:rPr>
                <w:lang w:bidi="en-US"/>
              </w:rPr>
            </w:pPr>
            <w:r w:rsidRPr="00A81D53">
              <w:rPr>
                <w:lang w:bidi="en-US"/>
              </w:rPr>
              <w:t>N/A</w:t>
            </w:r>
          </w:p>
        </w:tc>
      </w:tr>
      <w:tr w:rsidR="00A81D53" w:rsidRPr="00A81D53" w14:paraId="0335BB63" w14:textId="77777777" w:rsidTr="00A81D53">
        <w:tc>
          <w:tcPr>
            <w:tcW w:w="6487" w:type="dxa"/>
            <w:hideMark/>
          </w:tcPr>
          <w:p w14:paraId="2110BE05" w14:textId="77777777" w:rsidR="00A81D53" w:rsidRPr="00A81D53" w:rsidRDefault="00A81D53" w:rsidP="00A81D53">
            <w:pPr>
              <w:spacing w:after="120" w:line="264" w:lineRule="auto"/>
              <w:rPr>
                <w:lang w:bidi="en-US"/>
              </w:rPr>
            </w:pPr>
            <w:r w:rsidRPr="00A81D53">
              <w:rPr>
                <w:lang w:bidi="en-US"/>
              </w:rPr>
              <w:t>Taking the environmental report and the results of the consultations into account in decision-making (Art. (8)).</w:t>
            </w:r>
          </w:p>
        </w:tc>
        <w:tc>
          <w:tcPr>
            <w:tcW w:w="3969" w:type="dxa"/>
            <w:hideMark/>
          </w:tcPr>
          <w:p w14:paraId="1A567E3D" w14:textId="77777777" w:rsidR="00A81D53" w:rsidRPr="00A81D53" w:rsidRDefault="00A81D53" w:rsidP="00A81D53">
            <w:pPr>
              <w:spacing w:after="120" w:line="264" w:lineRule="auto"/>
              <w:rPr>
                <w:lang w:bidi="en-US"/>
              </w:rPr>
            </w:pPr>
            <w:r w:rsidRPr="00A81D53">
              <w:rPr>
                <w:lang w:bidi="en-US"/>
              </w:rPr>
              <w:t>All iterations of the SA, including this version.</w:t>
            </w:r>
          </w:p>
        </w:tc>
      </w:tr>
      <w:tr w:rsidR="00A81D53" w:rsidRPr="00A81D53" w14:paraId="2987E89B" w14:textId="77777777" w:rsidTr="00A81D53">
        <w:trPr>
          <w:cnfStyle w:val="000000100000" w:firstRow="0" w:lastRow="0" w:firstColumn="0" w:lastColumn="0" w:oddVBand="0" w:evenVBand="0" w:oddHBand="1" w:evenHBand="0" w:firstRowFirstColumn="0" w:firstRowLastColumn="0" w:lastRowFirstColumn="0" w:lastRowLastColumn="0"/>
        </w:trPr>
        <w:tc>
          <w:tcPr>
            <w:tcW w:w="6487" w:type="dxa"/>
            <w:hideMark/>
          </w:tcPr>
          <w:p w14:paraId="3F62748B" w14:textId="77777777" w:rsidR="00A81D53" w:rsidRPr="00A81D53" w:rsidRDefault="00A81D53" w:rsidP="00A81D53">
            <w:pPr>
              <w:spacing w:after="120" w:line="264" w:lineRule="auto"/>
              <w:rPr>
                <w:lang w:bidi="en-US"/>
              </w:rPr>
            </w:pPr>
            <w:r w:rsidRPr="00A81D53">
              <w:rPr>
                <w:lang w:bidi="en-US"/>
              </w:rPr>
              <w:t>Provision of information on the decision: When the plan or programme is adopted, the public and any countries consulted shall be informed and the following made available to those so informed:</w:t>
            </w:r>
          </w:p>
          <w:p w14:paraId="3F1DDF73" w14:textId="77777777" w:rsidR="00A81D53" w:rsidRPr="00A81D53" w:rsidRDefault="00A81D53" w:rsidP="00A81D53">
            <w:pPr>
              <w:spacing w:after="120" w:line="264" w:lineRule="auto"/>
              <w:rPr>
                <w:lang w:bidi="en-US"/>
              </w:rPr>
            </w:pPr>
            <w:r w:rsidRPr="00A81D53">
              <w:rPr>
                <w:lang w:bidi="en-US"/>
              </w:rPr>
              <w:t xml:space="preserve">•the plan or programme </w:t>
            </w:r>
            <w:r w:rsidR="003D4701" w:rsidRPr="00A81D53">
              <w:rPr>
                <w:lang w:bidi="en-US"/>
              </w:rPr>
              <w:t>adopted.</w:t>
            </w:r>
          </w:p>
          <w:p w14:paraId="78121F48" w14:textId="77777777" w:rsidR="00A81D53" w:rsidRPr="00A81D53" w:rsidRDefault="00A81D53" w:rsidP="00A81D53">
            <w:pPr>
              <w:spacing w:after="120" w:line="264" w:lineRule="auto"/>
              <w:rPr>
                <w:lang w:bidi="en-US"/>
              </w:rPr>
            </w:pPr>
            <w:r w:rsidRPr="00A81D53">
              <w:rPr>
                <w:lang w:bidi="en-US"/>
              </w:rPr>
              <w:t>•a statement summarising how environmental considerations have been integrated into the plan or programme and how the environmental report pursuant to Article 5, the opinions expressed pursuant to Article 6 and the results of consultations entered into pursuant to Article 7 have been taken into account in accordance with Article 8, and the reasons for choosing the plan or programme as adopted, in the light of the other reasonable alternatives dealt with; and</w:t>
            </w:r>
          </w:p>
          <w:p w14:paraId="6A470B8F" w14:textId="77777777" w:rsidR="00A81D53" w:rsidRPr="00A81D53" w:rsidRDefault="00A81D53" w:rsidP="00A81D53">
            <w:pPr>
              <w:spacing w:after="120" w:line="264" w:lineRule="auto"/>
              <w:rPr>
                <w:lang w:bidi="en-US"/>
              </w:rPr>
            </w:pPr>
            <w:r w:rsidRPr="00A81D53">
              <w:rPr>
                <w:lang w:bidi="en-US"/>
              </w:rPr>
              <w:t>•the measures decided concerning monitoring (Art. 9 and 10).</w:t>
            </w:r>
          </w:p>
        </w:tc>
        <w:tc>
          <w:tcPr>
            <w:tcW w:w="3969" w:type="dxa"/>
            <w:hideMark/>
          </w:tcPr>
          <w:p w14:paraId="42935746" w14:textId="77777777" w:rsidR="00A81D53" w:rsidRPr="00A81D53" w:rsidRDefault="00A81D53" w:rsidP="00A81D53">
            <w:pPr>
              <w:spacing w:after="120" w:line="264" w:lineRule="auto"/>
              <w:rPr>
                <w:lang w:bidi="en-US"/>
              </w:rPr>
            </w:pPr>
            <w:r w:rsidRPr="00A81D53">
              <w:rPr>
                <w:lang w:bidi="en-US"/>
              </w:rPr>
              <w:t>A sustainability statement will be published containing this information when the Local Plan is adopted.</w:t>
            </w:r>
          </w:p>
        </w:tc>
      </w:tr>
      <w:tr w:rsidR="00A81D53" w:rsidRPr="00A81D53" w14:paraId="1C8574CB" w14:textId="77777777" w:rsidTr="00A81D53">
        <w:tc>
          <w:tcPr>
            <w:tcW w:w="6487" w:type="dxa"/>
            <w:hideMark/>
          </w:tcPr>
          <w:p w14:paraId="5DF3436B" w14:textId="77777777" w:rsidR="00A81D53" w:rsidRPr="00A81D53" w:rsidRDefault="00A81D53" w:rsidP="00A81D53">
            <w:pPr>
              <w:spacing w:after="120" w:line="264" w:lineRule="auto"/>
              <w:rPr>
                <w:lang w:bidi="en-US"/>
              </w:rPr>
            </w:pPr>
            <w:r w:rsidRPr="00A81D53">
              <w:rPr>
                <w:lang w:bidi="en-US"/>
              </w:rPr>
              <w:t xml:space="preserve">Monitoring of significant environmental effects of the </w:t>
            </w:r>
            <w:r w:rsidR="005D63AB" w:rsidRPr="00A81D53">
              <w:rPr>
                <w:lang w:bidi="en-US"/>
              </w:rPr>
              <w:t>plans</w:t>
            </w:r>
            <w:r w:rsidRPr="00A81D53">
              <w:rPr>
                <w:lang w:bidi="en-US"/>
              </w:rPr>
              <w:t xml:space="preserve"> or programmes implementation (Art. 10).</w:t>
            </w:r>
          </w:p>
        </w:tc>
        <w:tc>
          <w:tcPr>
            <w:tcW w:w="3969" w:type="dxa"/>
            <w:hideMark/>
          </w:tcPr>
          <w:p w14:paraId="586E5A27" w14:textId="77777777" w:rsidR="00A81D53" w:rsidRPr="00A81D53" w:rsidRDefault="00A81D53" w:rsidP="00A81D53">
            <w:pPr>
              <w:spacing w:after="120" w:line="264" w:lineRule="auto"/>
              <w:rPr>
                <w:lang w:bidi="en-US"/>
              </w:rPr>
            </w:pPr>
            <w:r w:rsidRPr="00A81D53">
              <w:rPr>
                <w:lang w:bidi="en-US"/>
              </w:rPr>
              <w:t>Ongoing, through the Authority's Monitoring Report.</w:t>
            </w:r>
          </w:p>
        </w:tc>
      </w:tr>
      <w:tr w:rsidR="00A81D53" w:rsidRPr="00A81D53" w14:paraId="0355ED10" w14:textId="77777777" w:rsidTr="00A81D53">
        <w:trPr>
          <w:cnfStyle w:val="000000100000" w:firstRow="0" w:lastRow="0" w:firstColumn="0" w:lastColumn="0" w:oddVBand="0" w:evenVBand="0" w:oddHBand="1" w:evenHBand="0" w:firstRowFirstColumn="0" w:firstRowLastColumn="0" w:lastRowFirstColumn="0" w:lastRowLastColumn="0"/>
        </w:trPr>
        <w:tc>
          <w:tcPr>
            <w:tcW w:w="6487" w:type="dxa"/>
            <w:hideMark/>
          </w:tcPr>
          <w:p w14:paraId="46DE556E" w14:textId="77777777" w:rsidR="00A81D53" w:rsidRPr="00A81D53" w:rsidRDefault="00A81D53" w:rsidP="00A81D53">
            <w:pPr>
              <w:spacing w:after="120" w:line="264" w:lineRule="auto"/>
              <w:rPr>
                <w:lang w:bidi="en-US"/>
              </w:rPr>
            </w:pPr>
            <w:r w:rsidRPr="00A81D53">
              <w:rPr>
                <w:lang w:bidi="en-US"/>
              </w:rPr>
              <w:t>Quality assurance: environmental reports should be of a sufficient standard to meet the requirements of the Strategic Environmental Assessment Directive (Art. 12).</w:t>
            </w:r>
          </w:p>
        </w:tc>
        <w:tc>
          <w:tcPr>
            <w:tcW w:w="3969" w:type="dxa"/>
            <w:hideMark/>
          </w:tcPr>
          <w:p w14:paraId="5A8033F4" w14:textId="77777777" w:rsidR="00A81D53" w:rsidRPr="00A81D53" w:rsidRDefault="00A81D53" w:rsidP="00A81D53">
            <w:pPr>
              <w:spacing w:after="120" w:line="264" w:lineRule="auto"/>
              <w:rPr>
                <w:lang w:bidi="en-US"/>
              </w:rPr>
            </w:pPr>
            <w:r w:rsidRPr="00A81D53">
              <w:rPr>
                <w:lang w:bidi="en-US"/>
              </w:rPr>
              <w:t>Completion of this self-assessment.</w:t>
            </w:r>
          </w:p>
        </w:tc>
      </w:tr>
    </w:tbl>
    <w:p w14:paraId="127434FD" w14:textId="77777777" w:rsidR="0090605D" w:rsidRDefault="00014785" w:rsidP="00366F51">
      <w:pPr>
        <w:spacing w:after="120" w:line="264" w:lineRule="auto"/>
      </w:pPr>
      <w:r>
        <w:br w:type="page"/>
      </w:r>
    </w:p>
    <w:p w14:paraId="0F218DE7" w14:textId="77777777" w:rsidR="0090605D" w:rsidRPr="00031A61" w:rsidRDefault="0090605D" w:rsidP="00326CB9">
      <w:pPr>
        <w:pStyle w:val="Heading1"/>
      </w:pPr>
      <w:bookmarkStart w:id="17" w:name="_Toc215140012"/>
      <w:r w:rsidRPr="00031A61">
        <w:lastRenderedPageBreak/>
        <w:t>Summary of Previous Stages</w:t>
      </w:r>
      <w:bookmarkEnd w:id="17"/>
      <w:r w:rsidRPr="00031A61">
        <w:t xml:space="preserve"> </w:t>
      </w:r>
    </w:p>
    <w:p w14:paraId="154D8F0B" w14:textId="77777777" w:rsidR="008654C0" w:rsidRPr="00031A61" w:rsidRDefault="00CC5C77" w:rsidP="00112FFE">
      <w:pPr>
        <w:pStyle w:val="Heading2"/>
      </w:pPr>
      <w:bookmarkStart w:id="18" w:name="_Toc215140013"/>
      <w:r w:rsidRPr="00031A61">
        <w:t>Scoping Report</w:t>
      </w:r>
      <w:bookmarkEnd w:id="18"/>
      <w:r w:rsidRPr="00031A61">
        <w:t xml:space="preserve"> </w:t>
      </w:r>
    </w:p>
    <w:p w14:paraId="5B754E58" w14:textId="77777777" w:rsidR="00014785" w:rsidRPr="00590524" w:rsidRDefault="00071028" w:rsidP="00326CB9">
      <w:pPr>
        <w:pStyle w:val="Heading3"/>
      </w:pPr>
      <w:r w:rsidRPr="00071028">
        <w:t>The Sustainability Appraisal Scoping Report marks the initial stage of the SA process. It outlines the purpose and scope of the appraisal, introduces the sustainability framework, and identifies key sustainability issues relevant to Torbay. The full Scoping Report is available to view on the Council’s website</w:t>
      </w:r>
      <w:r w:rsidR="00590524" w:rsidRPr="00590524">
        <w:rPr>
          <w:vertAlign w:val="superscript"/>
        </w:rPr>
        <w:footnoteReference w:id="6"/>
      </w:r>
      <w:r w:rsidR="00590524" w:rsidRPr="00590524">
        <w:t xml:space="preserve">. </w:t>
      </w:r>
    </w:p>
    <w:p w14:paraId="3E4B6C65" w14:textId="77777777" w:rsidR="00CC5C77" w:rsidRDefault="00CC5C77" w:rsidP="00112FFE">
      <w:pPr>
        <w:pStyle w:val="Heading2"/>
      </w:pPr>
      <w:bookmarkStart w:id="19" w:name="_Toc215140014"/>
      <w:r>
        <w:t>Assessing Alternatives</w:t>
      </w:r>
      <w:bookmarkEnd w:id="19"/>
    </w:p>
    <w:p w14:paraId="6E8A4424" w14:textId="77777777" w:rsidR="009B7341" w:rsidRPr="00176938" w:rsidRDefault="009B7341" w:rsidP="00326CB9">
      <w:pPr>
        <w:pStyle w:val="Heading3"/>
      </w:pPr>
      <w:r>
        <w:t>T</w:t>
      </w:r>
      <w:r w:rsidRPr="00176938">
        <w:t xml:space="preserve">hree rounds of Regulation 18 consultation have taken place, </w:t>
      </w:r>
      <w:r>
        <w:t>t</w:t>
      </w:r>
      <w:r w:rsidRPr="00176938">
        <w:t>hese include:</w:t>
      </w:r>
    </w:p>
    <w:p w14:paraId="49651708" w14:textId="77777777" w:rsidR="009B7341" w:rsidRPr="00176938" w:rsidRDefault="009B7341" w:rsidP="002D529E">
      <w:pPr>
        <w:pStyle w:val="squarebullets"/>
      </w:pPr>
      <w:r w:rsidRPr="00176938">
        <w:t>A call for evidence</w:t>
      </w:r>
      <w:r w:rsidR="00FD3C40">
        <w:t>,</w:t>
      </w:r>
      <w:r w:rsidRPr="00176938">
        <w:t xml:space="preserve"> March 2021</w:t>
      </w:r>
    </w:p>
    <w:p w14:paraId="463174C8" w14:textId="77777777" w:rsidR="009B7341" w:rsidRPr="00176938" w:rsidRDefault="009B7341" w:rsidP="002D529E">
      <w:pPr>
        <w:pStyle w:val="squarebullets"/>
      </w:pPr>
      <w:r w:rsidRPr="00176938">
        <w:t>Growth Options consultation</w:t>
      </w:r>
      <w:r w:rsidR="00FD3C40">
        <w:t>,</w:t>
      </w:r>
      <w:r w:rsidRPr="00176938">
        <w:t xml:space="preserve"> January 2022</w:t>
      </w:r>
    </w:p>
    <w:p w14:paraId="725A058E" w14:textId="77777777" w:rsidR="009B7341" w:rsidRPr="00EB4EEC" w:rsidRDefault="009B7341" w:rsidP="002D529E">
      <w:pPr>
        <w:pStyle w:val="squarebullets"/>
      </w:pPr>
      <w:r w:rsidRPr="00176938">
        <w:t>Site Options consultation</w:t>
      </w:r>
      <w:r w:rsidR="00FD3C40">
        <w:t>,</w:t>
      </w:r>
      <w:r w:rsidRPr="00176938">
        <w:t xml:space="preserve"> October 2022</w:t>
      </w:r>
    </w:p>
    <w:p w14:paraId="0293FDD1" w14:textId="77777777" w:rsidR="00590524" w:rsidRPr="00590524" w:rsidRDefault="00590524" w:rsidP="00112FFE">
      <w:pPr>
        <w:pStyle w:val="Heading4"/>
      </w:pPr>
      <w:r w:rsidRPr="00590524">
        <w:t>Sustainability Appraisal: Assessing Reasonable Alternatives (March 2021)</w:t>
      </w:r>
    </w:p>
    <w:p w14:paraId="027CFDB1" w14:textId="77777777" w:rsidR="0083442C" w:rsidRPr="0083442C" w:rsidRDefault="009505A4" w:rsidP="00326CB9">
      <w:pPr>
        <w:pStyle w:val="Heading3"/>
      </w:pPr>
      <w:r w:rsidRPr="009505A4">
        <w:t>The Sustainability Appraisal was developed to support the Torbay Local Plan Update: Issues and Options and Call for Evidence document</w:t>
      </w:r>
      <w:r>
        <w:rPr>
          <w:rStyle w:val="FootnoteReference"/>
        </w:rPr>
        <w:footnoteReference w:id="7"/>
      </w:r>
      <w:r w:rsidRPr="009505A4">
        <w:t>.</w:t>
      </w:r>
    </w:p>
    <w:p w14:paraId="101D1CB7" w14:textId="77777777" w:rsidR="009505A4" w:rsidRPr="009505A4" w:rsidRDefault="009505A4" w:rsidP="00326CB9">
      <w:pPr>
        <w:pStyle w:val="Heading3"/>
      </w:pPr>
      <w:r w:rsidRPr="009505A4">
        <w:t xml:space="preserve">Three strategic growth options were identified and assessed against the SA </w:t>
      </w:r>
      <w:r w:rsidR="00A508D9" w:rsidRPr="009505A4">
        <w:t>objectives and</w:t>
      </w:r>
      <w:r w:rsidRPr="009505A4">
        <w:t xml:space="preserve"> compared with one another. These options are broad in scope and do not specify the exact locations for new housing, limiting the ability to assess cumulative impacts at this stage.</w:t>
      </w:r>
    </w:p>
    <w:p w14:paraId="47E33F70" w14:textId="77777777" w:rsidR="009505A4" w:rsidRPr="009505A4" w:rsidRDefault="009505A4" w:rsidP="002D529E">
      <w:pPr>
        <w:pStyle w:val="squarebullets"/>
      </w:pPr>
      <w:r w:rsidRPr="009505A4">
        <w:t>Option 1: Standard methodology – 586 dwellings per year</w:t>
      </w:r>
    </w:p>
    <w:p w14:paraId="74058F48" w14:textId="77777777" w:rsidR="009505A4" w:rsidRPr="009505A4" w:rsidRDefault="009505A4" w:rsidP="002D529E">
      <w:pPr>
        <w:pStyle w:val="squarebullets"/>
      </w:pPr>
      <w:r w:rsidRPr="009505A4">
        <w:t>Option 2: Business as usual – 363 dwellings per year, based on past trends</w:t>
      </w:r>
    </w:p>
    <w:p w14:paraId="1456C4DB" w14:textId="77777777" w:rsidR="009505A4" w:rsidRPr="009505A4" w:rsidRDefault="009505A4" w:rsidP="002D529E">
      <w:pPr>
        <w:pStyle w:val="squarebullets"/>
      </w:pPr>
      <w:r w:rsidRPr="009505A4">
        <w:t>Option 3: 2018 Household Projections – 700 dwellings per year</w:t>
      </w:r>
    </w:p>
    <w:p w14:paraId="5FCAB73C" w14:textId="77777777" w:rsidR="009505A4" w:rsidRPr="009505A4" w:rsidRDefault="009505A4" w:rsidP="00326CB9">
      <w:pPr>
        <w:pStyle w:val="Heading3"/>
      </w:pPr>
      <w:r w:rsidRPr="009505A4">
        <w:lastRenderedPageBreak/>
        <w:t>Each option presents its own sustainability strengths and weaknesses. Option 1 performs best overall against the sustainability framework, as it supports significant economic growth and improved community infrastructure. It is also likely to help reduce travel demand, poverty, income inequality, and health disparities.</w:t>
      </w:r>
    </w:p>
    <w:p w14:paraId="7EE4630B" w14:textId="77777777" w:rsidR="009505A4" w:rsidRPr="00590524" w:rsidRDefault="009505A4" w:rsidP="00326CB9">
      <w:pPr>
        <w:pStyle w:val="Heading3"/>
      </w:pPr>
      <w:r w:rsidRPr="009505A4">
        <w:t>Higher growth levels, as seen in Option 3, would enable the delivery of more affordable housing, better meeting future demand and having the strongest positive impact on housing objectives. In contrast, lower growth options would fall short of meeting assessed local housing needs and may not align with Torbay’s long-term growth ambitions.</w:t>
      </w:r>
    </w:p>
    <w:p w14:paraId="1AB88C91" w14:textId="77777777" w:rsidR="00590524" w:rsidRPr="00071028" w:rsidRDefault="00590524" w:rsidP="00112FFE">
      <w:pPr>
        <w:pStyle w:val="Heading4"/>
      </w:pPr>
      <w:r w:rsidRPr="00071028">
        <w:t>Sustainability Appraisal: Assessing Reasonable Alternatives (January 2022)</w:t>
      </w:r>
    </w:p>
    <w:p w14:paraId="34F55BFC" w14:textId="77777777" w:rsidR="00124038" w:rsidRPr="00124038" w:rsidRDefault="00124038" w:rsidP="00326CB9">
      <w:pPr>
        <w:pStyle w:val="Heading3"/>
      </w:pPr>
      <w:r w:rsidRPr="00124038">
        <w:t>Five growth options have been developed as part of the Issues and Options stage of the Local Plan Update (Regulation 18 of the Local Planning Regulations 2012)</w:t>
      </w:r>
      <w:r w:rsidR="005B4B08">
        <w:rPr>
          <w:rStyle w:val="FootnoteReference"/>
        </w:rPr>
        <w:footnoteReference w:id="8"/>
      </w:r>
      <w:r w:rsidRPr="00124038">
        <w:t>, drawing on the Housing and Employment Land Availability Assessment (HELAA). These options explore different approaches to guiding new housing and infrastructure development across Torbay:</w:t>
      </w:r>
    </w:p>
    <w:p w14:paraId="43D6AD0F" w14:textId="77777777" w:rsidR="00124038" w:rsidRPr="00124038" w:rsidRDefault="00124038" w:rsidP="002D529E">
      <w:pPr>
        <w:pStyle w:val="squarebullets"/>
      </w:pPr>
      <w:r w:rsidRPr="00124038">
        <w:t>Option 1: Existing allocations with densified urban clusters (190–250 dwellings/year)</w:t>
      </w:r>
    </w:p>
    <w:p w14:paraId="1DBA027A" w14:textId="77777777" w:rsidR="00124038" w:rsidRPr="00124038" w:rsidRDefault="00124038" w:rsidP="002D529E">
      <w:pPr>
        <w:pStyle w:val="squarebullets"/>
      </w:pPr>
      <w:r w:rsidRPr="00124038">
        <w:t>Option 2: Limited additional greenfield development – “Business as usual” (250–300 dwellings/year)</w:t>
      </w:r>
    </w:p>
    <w:p w14:paraId="03FDB6A0" w14:textId="77777777" w:rsidR="00124038" w:rsidRPr="00124038" w:rsidRDefault="00124038" w:rsidP="002D529E">
      <w:pPr>
        <w:pStyle w:val="squarebullets"/>
      </w:pPr>
      <w:r w:rsidRPr="00124038">
        <w:t>Option 3: Option 2 plus one or two urban extensions (320–380 dwellings/year)</w:t>
      </w:r>
    </w:p>
    <w:p w14:paraId="3753C35C" w14:textId="77777777" w:rsidR="00124038" w:rsidRPr="00124038" w:rsidRDefault="00124038" w:rsidP="002D529E">
      <w:pPr>
        <w:pStyle w:val="squarebullets"/>
      </w:pPr>
      <w:r w:rsidRPr="00124038">
        <w:t>Option 4: All HELAA sites not explicitly rejected (470–500 dwellings/year)</w:t>
      </w:r>
    </w:p>
    <w:p w14:paraId="237A72D8" w14:textId="77777777" w:rsidR="00124038" w:rsidRPr="00124038" w:rsidRDefault="00124038" w:rsidP="002D529E">
      <w:pPr>
        <w:pStyle w:val="squarebullets"/>
      </w:pPr>
      <w:r w:rsidRPr="00124038">
        <w:t>Option 5: Meeting full housing need based on the government’s standard method (600 dwellings/year)</w:t>
      </w:r>
    </w:p>
    <w:p w14:paraId="2B949AD1" w14:textId="77777777" w:rsidR="00124038" w:rsidRPr="00124038" w:rsidRDefault="00124038" w:rsidP="00326CB9">
      <w:pPr>
        <w:pStyle w:val="Heading3"/>
      </w:pPr>
      <w:r w:rsidRPr="00124038">
        <w:t>Options 1 and 2 would fall short of meeting identified housing needs, likely worsening affordability challenges. Option 3 offers a more balanced approach, combining development with sustainability, though environmental impacts would need careful mitigation.</w:t>
      </w:r>
    </w:p>
    <w:p w14:paraId="7F040F4D" w14:textId="77777777" w:rsidR="00124038" w:rsidRPr="00124038" w:rsidRDefault="00124038" w:rsidP="00326CB9">
      <w:pPr>
        <w:pStyle w:val="Heading3"/>
      </w:pPr>
      <w:r w:rsidRPr="00124038">
        <w:t>Options 4 and 5 involve distributing growth across a wider range of settlements, which could lead to more extensive adverse impacts some of which may be difficult to mitigate.</w:t>
      </w:r>
    </w:p>
    <w:p w14:paraId="59CBF2D5" w14:textId="77777777" w:rsidR="00590524" w:rsidRPr="00590524" w:rsidRDefault="00124038" w:rsidP="00326CB9">
      <w:pPr>
        <w:pStyle w:val="Heading3"/>
      </w:pPr>
      <w:r w:rsidRPr="00124038">
        <w:lastRenderedPageBreak/>
        <w:t>Delivering large numbers of new homes is often most effective through planned, larger-scale developments such as new settlements or significant extensions to existing towns and villages provided they are well located, thoughtfully designed, and supported by appropriate infrastructure. This approach offers the opportunity to create vibrant, sustainable communities from the outset.</w:t>
      </w:r>
    </w:p>
    <w:p w14:paraId="002FCAF2" w14:textId="77777777" w:rsidR="00590524" w:rsidRPr="00071028" w:rsidRDefault="00590524" w:rsidP="00112FFE">
      <w:pPr>
        <w:pStyle w:val="Heading4"/>
      </w:pPr>
      <w:r w:rsidRPr="00071028">
        <w:t>Sustainability Appraisal: Assessing Reasonable Alternatives (October 2022)</w:t>
      </w:r>
    </w:p>
    <w:p w14:paraId="4489592A" w14:textId="77777777" w:rsidR="005B4B08" w:rsidRPr="005B4B08" w:rsidRDefault="005B4B08" w:rsidP="00326CB9">
      <w:pPr>
        <w:pStyle w:val="Heading3"/>
      </w:pPr>
      <w:r w:rsidRPr="005B4B08">
        <w:t>The Regulation 18 “Issues and Options” consultation sets out more detailed proposals on where housing growth should be located and updates housing policies. The Sustainability Appraisal</w:t>
      </w:r>
      <w:r>
        <w:rPr>
          <w:rStyle w:val="FootnoteReference"/>
        </w:rPr>
        <w:footnoteReference w:id="9"/>
      </w:r>
      <w:r w:rsidRPr="005B4B08">
        <w:t xml:space="preserve"> assesses alternative Future Growth Areas (FGAs) alongside revised housing policies and Neighbourhood Plan Area policies.</w:t>
      </w:r>
    </w:p>
    <w:p w14:paraId="642E8363" w14:textId="77777777" w:rsidR="005B4B08" w:rsidRPr="005B4B08" w:rsidRDefault="005B4B08" w:rsidP="00326CB9">
      <w:pPr>
        <w:pStyle w:val="Heading3"/>
      </w:pPr>
      <w:r w:rsidRPr="005B4B08">
        <w:t>The consultation recommends three FGAs for consideration:</w:t>
      </w:r>
    </w:p>
    <w:p w14:paraId="6773611A" w14:textId="77777777" w:rsidR="005B4B08" w:rsidRPr="005B4B08" w:rsidRDefault="005B4B08" w:rsidP="002D529E">
      <w:pPr>
        <w:pStyle w:val="squarebullets"/>
      </w:pPr>
      <w:r w:rsidRPr="005B4B08">
        <w:t>Edginswell, Torquay</w:t>
      </w:r>
    </w:p>
    <w:p w14:paraId="5061111D" w14:textId="77777777" w:rsidR="005B4B08" w:rsidRPr="005B4B08" w:rsidRDefault="005B4B08" w:rsidP="002D529E">
      <w:pPr>
        <w:pStyle w:val="squarebullets"/>
      </w:pPr>
      <w:r w:rsidRPr="005B4B08">
        <w:t>Collaton St Mary, Paignton</w:t>
      </w:r>
    </w:p>
    <w:p w14:paraId="36DA6A3D" w14:textId="77777777" w:rsidR="005B4B08" w:rsidRPr="005B4B08" w:rsidRDefault="005B4B08" w:rsidP="002D529E">
      <w:pPr>
        <w:pStyle w:val="squarebullets"/>
      </w:pPr>
      <w:r w:rsidRPr="005B4B08">
        <w:t>West of Yalberton / Long Road and Berry Acres</w:t>
      </w:r>
    </w:p>
    <w:p w14:paraId="742A84CB" w14:textId="77777777" w:rsidR="005B4B08" w:rsidRPr="005B4B08" w:rsidRDefault="005B4B08" w:rsidP="00326CB9">
      <w:pPr>
        <w:pStyle w:val="Heading3"/>
      </w:pPr>
      <w:r w:rsidRPr="005B4B08">
        <w:t>Additionally, four FGAs previously rejected by the HELAA have been included in the assessment:</w:t>
      </w:r>
    </w:p>
    <w:p w14:paraId="1E354966" w14:textId="77777777" w:rsidR="005B4B08" w:rsidRPr="005B4B08" w:rsidRDefault="005B4B08" w:rsidP="002D529E">
      <w:pPr>
        <w:pStyle w:val="squarebullets"/>
      </w:pPr>
      <w:r w:rsidRPr="005B4B08">
        <w:t>Stantor Barton</w:t>
      </w:r>
    </w:p>
    <w:p w14:paraId="7D4D8606" w14:textId="77777777" w:rsidR="005B4B08" w:rsidRPr="005B4B08" w:rsidRDefault="005B4B08" w:rsidP="002D529E">
      <w:pPr>
        <w:pStyle w:val="squarebullets"/>
      </w:pPr>
      <w:r w:rsidRPr="005B4B08">
        <w:t>Great Hill / Maidencombe Cluster</w:t>
      </w:r>
    </w:p>
    <w:p w14:paraId="221B8852" w14:textId="77777777" w:rsidR="005B4B08" w:rsidRPr="005B4B08" w:rsidRDefault="005B4B08" w:rsidP="002D529E">
      <w:pPr>
        <w:pStyle w:val="squarebullets"/>
      </w:pPr>
      <w:r w:rsidRPr="005B4B08">
        <w:t>Land south of Churscombe Cross / Windmill Hill</w:t>
      </w:r>
    </w:p>
    <w:p w14:paraId="15497A3F" w14:textId="77777777" w:rsidR="005B4B08" w:rsidRDefault="005B4B08" w:rsidP="002D529E">
      <w:pPr>
        <w:pStyle w:val="squarebullets"/>
      </w:pPr>
      <w:r w:rsidRPr="005B4B08">
        <w:t>Broadsands, Churston and Galmpton Sites</w:t>
      </w:r>
    </w:p>
    <w:p w14:paraId="3EE38F2A" w14:textId="77777777" w:rsidR="00497FAA" w:rsidRDefault="00497FAA" w:rsidP="00497FAA">
      <w:pPr>
        <w:pStyle w:val="Heading4"/>
      </w:pPr>
      <w:r w:rsidRPr="00497FAA">
        <w:t xml:space="preserve">Policy SS1: Growth Strategy and Responding to Climate Emergency </w:t>
      </w:r>
    </w:p>
    <w:p w14:paraId="3AF814A7" w14:textId="77777777" w:rsidR="003D335F" w:rsidRDefault="00497FAA" w:rsidP="00497FAA">
      <w:pPr>
        <w:pStyle w:val="Heading3"/>
      </w:pPr>
      <w:r>
        <w:t xml:space="preserve">Policy SS1 </w:t>
      </w:r>
      <w:r w:rsidRPr="00497FAA">
        <w:t xml:space="preserve">strongly supports climate action, economic growth, affordable housing, and equalities, while promoting regeneration of previously developed land to benefit heritage, landscape, and health objectives. However, risks include adverse impacts on biodiversity </w:t>
      </w:r>
      <w:r w:rsidRPr="00497FAA">
        <w:lastRenderedPageBreak/>
        <w:t>and waste management from greenfield development, and uncertain effects on resource use and crime. Strengthening habitat protection policies and incorporating waste minimisation measures will be essential to ensure balanced sustainability outcomes.</w:t>
      </w:r>
    </w:p>
    <w:p w14:paraId="5A3D0EB4" w14:textId="77777777" w:rsidR="00C221D8" w:rsidRDefault="00C221D8" w:rsidP="00C221D8">
      <w:pPr>
        <w:pStyle w:val="Heading4"/>
      </w:pPr>
      <w:r w:rsidRPr="005B4B08">
        <w:t xml:space="preserve">Neighbourhood Plan Area </w:t>
      </w:r>
      <w:r w:rsidR="008D4182">
        <w:t>P</w:t>
      </w:r>
      <w:r w:rsidRPr="005B4B08">
        <w:t>olicies</w:t>
      </w:r>
    </w:p>
    <w:p w14:paraId="7369E688" w14:textId="77777777" w:rsidR="00C221D8" w:rsidRPr="00C221D8" w:rsidRDefault="00C221D8" w:rsidP="00C221D8">
      <w:pPr>
        <w:pStyle w:val="Heading3"/>
      </w:pPr>
      <w:r w:rsidRPr="00C221D8">
        <w:t xml:space="preserve">SDT1 Torquay Growth Strategy: Urban focus approach offers strong benefits for economic growth, housing, equalities, transport, and health. Positive impacts on land efficiency and landscape. Potential adverse effects on climate change, heritage, waste, and </w:t>
      </w:r>
      <w:r w:rsidR="000069A0">
        <w:t>i</w:t>
      </w:r>
      <w:r w:rsidRPr="00C221D8">
        <w:t xml:space="preserve">mpacts on natural resources and crime remain uncertain. </w:t>
      </w:r>
    </w:p>
    <w:p w14:paraId="40BDD2C3" w14:textId="77777777" w:rsidR="00C221D8" w:rsidRPr="00C221D8" w:rsidRDefault="00C221D8" w:rsidP="00C221D8">
      <w:pPr>
        <w:pStyle w:val="Heading3"/>
      </w:pPr>
      <w:r w:rsidRPr="00C221D8">
        <w:t>SDT2 Torquay Town Centre &amp; Harbour: Regeneration will boost economic and social objectives, with positive impacts on growth, housing, equalities, land use, transport, and health. Risks include climate change, heritage, waste, biodiversity, and natural resource use</w:t>
      </w:r>
      <w:r w:rsidR="000069A0">
        <w:t xml:space="preserve"> </w:t>
      </w:r>
      <w:r w:rsidRPr="00C221D8">
        <w:t xml:space="preserve">requiring stronger environmental and flood risk policies. Crime impacts uncertain. </w:t>
      </w:r>
    </w:p>
    <w:p w14:paraId="4D4B5749" w14:textId="77777777" w:rsidR="00C221D8" w:rsidRDefault="00C221D8" w:rsidP="00C221D8">
      <w:pPr>
        <w:pStyle w:val="Heading3"/>
      </w:pPr>
      <w:r w:rsidRPr="00C221D8">
        <w:t>SDT3 Torquay Gateway: Supports economic, housing, health, and transport objectives; maintaining the green gap benefits landscape. Adverse impacts likely for climate change, waste, biodiversity, and resource use</w:t>
      </w:r>
      <w:r w:rsidR="000069A0">
        <w:t xml:space="preserve"> </w:t>
      </w:r>
      <w:r w:rsidRPr="00C221D8">
        <w:t xml:space="preserve">policy strengthening needed. Neutral impact on heritage; crime impacts </w:t>
      </w:r>
      <w:r w:rsidR="003F4201">
        <w:t xml:space="preserve">are </w:t>
      </w:r>
      <w:r w:rsidRPr="00C221D8">
        <w:t>uncertain.</w:t>
      </w:r>
    </w:p>
    <w:p w14:paraId="5E605A31" w14:textId="77777777" w:rsidR="00C221D8" w:rsidRPr="00C221D8" w:rsidRDefault="00C221D8" w:rsidP="00C221D8">
      <w:pPr>
        <w:pStyle w:val="Heading3"/>
      </w:pPr>
      <w:r w:rsidRPr="00C221D8">
        <w:t>SDP1 Paignton Growth Strategy: Strong benefits for economic growth, housing, equalities; positive for landscape, transport, and health. Risks for climate change, heritage, waste, land efficiency</w:t>
      </w:r>
      <w:r w:rsidR="000069A0">
        <w:t>.</w:t>
      </w:r>
      <w:r w:rsidRPr="00C221D8">
        <w:t xml:space="preserve"> </w:t>
      </w:r>
    </w:p>
    <w:p w14:paraId="3170FF5D" w14:textId="77777777" w:rsidR="00C221D8" w:rsidRPr="00C221D8" w:rsidRDefault="00C221D8" w:rsidP="00C221D8">
      <w:pPr>
        <w:pStyle w:val="Heading3"/>
      </w:pPr>
      <w:r w:rsidRPr="00C221D8">
        <w:t xml:space="preserve">SDP2 Paignton Town Centre </w:t>
      </w:r>
      <w:r w:rsidR="008D4182">
        <w:t>and</w:t>
      </w:r>
      <w:r w:rsidRPr="00C221D8">
        <w:t xml:space="preserve"> Seafront: Regeneration supports growth, housing, land efficiency, landscape, equalities; positive for transport and health. Adverse impacts on climate change, heritage, waste</w:t>
      </w:r>
      <w:r w:rsidR="000069A0">
        <w:t xml:space="preserve"> and</w:t>
      </w:r>
      <w:r w:rsidRPr="00C221D8">
        <w:t xml:space="preserve"> biodiversity. </w:t>
      </w:r>
    </w:p>
    <w:p w14:paraId="57016C66" w14:textId="77777777" w:rsidR="00C221D8" w:rsidRPr="00C221D8" w:rsidRDefault="00C221D8" w:rsidP="00C221D8">
      <w:pPr>
        <w:pStyle w:val="Heading3"/>
      </w:pPr>
      <w:r w:rsidRPr="00C221D8">
        <w:t>SDP3 Collaton St Mary FGA: Major benefits for housing and equalities; positive for transport and health. Risks for climate change, heritage, landscape, resources, waste, land efficiency, biodiversity</w:t>
      </w:r>
      <w:r w:rsidR="001D5B91">
        <w:t>. Requires</w:t>
      </w:r>
      <w:r>
        <w:t xml:space="preserve"> </w:t>
      </w:r>
      <w:r w:rsidRPr="00C221D8">
        <w:t>strengthen</w:t>
      </w:r>
      <w:r w:rsidR="001D5B91">
        <w:t>ing</w:t>
      </w:r>
      <w:r w:rsidRPr="00C221D8">
        <w:t xml:space="preserve"> environmental and flood risk policies. </w:t>
      </w:r>
    </w:p>
    <w:p w14:paraId="6CA8682F" w14:textId="77777777" w:rsidR="00C221D8" w:rsidRPr="00C221D8" w:rsidRDefault="00C221D8" w:rsidP="00C221D8">
      <w:pPr>
        <w:pStyle w:val="Heading3"/>
      </w:pPr>
      <w:r w:rsidRPr="00C221D8">
        <w:t xml:space="preserve">SDP4 Long Road, Yalberton FGA: Similar benefits to SDP3 with added community and health facilities; same adverse impacts and mitigation needs. </w:t>
      </w:r>
    </w:p>
    <w:p w14:paraId="13B1B8D4" w14:textId="77777777" w:rsidR="00C221D8" w:rsidRDefault="00C221D8" w:rsidP="00C221D8">
      <w:pPr>
        <w:pStyle w:val="Heading3"/>
      </w:pPr>
      <w:r w:rsidRPr="00C221D8">
        <w:lastRenderedPageBreak/>
        <w:t>SDP5 Clennon Valley Leisure Hub: Significant positives for economic growth and health; positive for transport, land efficiency, landscape, equalities. Risks for climate change, waste, biodiversity; neutral for heritage and housing.</w:t>
      </w:r>
    </w:p>
    <w:p w14:paraId="240C6A45" w14:textId="77777777" w:rsidR="00C221D8" w:rsidRPr="00C221D8" w:rsidRDefault="00C221D8" w:rsidP="00C221D8">
      <w:pPr>
        <w:pStyle w:val="Heading3"/>
      </w:pPr>
      <w:r w:rsidRPr="00C221D8">
        <w:t xml:space="preserve">BCG1 Broadsands, Churston </w:t>
      </w:r>
      <w:r w:rsidR="008D4182">
        <w:t>and</w:t>
      </w:r>
      <w:r w:rsidRPr="00C221D8">
        <w:t xml:space="preserve"> Galmpton Villages: Positive for affordable housing, transport, equalities, and health. Risks for climate change, waste, land efficiency, resources, landscape, and biodiversity</w:t>
      </w:r>
      <w:r w:rsidR="000069A0">
        <w:t>.</w:t>
      </w:r>
      <w:r>
        <w:t xml:space="preserve"> </w:t>
      </w:r>
      <w:r w:rsidRPr="00C221D8">
        <w:t xml:space="preserve">Neutral for heritage; crime impacts </w:t>
      </w:r>
      <w:r w:rsidR="003F4201">
        <w:t xml:space="preserve">are </w:t>
      </w:r>
      <w:r w:rsidRPr="00C221D8">
        <w:t xml:space="preserve">uncertain. </w:t>
      </w:r>
    </w:p>
    <w:p w14:paraId="0B5596F6" w14:textId="77777777" w:rsidR="00C221D8" w:rsidRPr="00C221D8" w:rsidRDefault="00C221D8" w:rsidP="00C221D8">
      <w:pPr>
        <w:pStyle w:val="Heading3"/>
      </w:pPr>
      <w:r w:rsidRPr="00C221D8">
        <w:t>SDB1 Brixham Growth Strategy: Strong benefits for housing, equalities, economic growth, landscape, transport, and health. Adverse impacts on climate change, waste, heritage, biodiversity, resources, and land efficiency</w:t>
      </w:r>
      <w:r>
        <w:t xml:space="preserve"> </w:t>
      </w:r>
      <w:r w:rsidRPr="00C221D8">
        <w:t xml:space="preserve">policy strengthening needed. Crime impacts </w:t>
      </w:r>
      <w:r w:rsidR="003F4201">
        <w:t xml:space="preserve">are </w:t>
      </w:r>
      <w:r w:rsidRPr="00C221D8">
        <w:t xml:space="preserve">uncertain. </w:t>
      </w:r>
    </w:p>
    <w:p w14:paraId="6D8D1030" w14:textId="77777777" w:rsidR="001E7484" w:rsidRDefault="00C221D8" w:rsidP="00B972EB">
      <w:pPr>
        <w:pStyle w:val="Heading3"/>
      </w:pPr>
      <w:r w:rsidRPr="00C221D8">
        <w:t xml:space="preserve">SDB2 Brixham Town Centre </w:t>
      </w:r>
      <w:r w:rsidR="008D4182">
        <w:t>and</w:t>
      </w:r>
      <w:r w:rsidRPr="00C221D8">
        <w:t xml:space="preserve"> Waterfront: Supports economic growth, land efficiency, equalities, housing, transport, and health. Risks for climate change, waste, heritage, and biodiversity</w:t>
      </w:r>
      <w:r>
        <w:t xml:space="preserve"> </w:t>
      </w:r>
      <w:r w:rsidRPr="00C221D8">
        <w:t xml:space="preserve">requires stronger environmental and flood risk policies. Neutral for landscape; resource use and crime </w:t>
      </w:r>
      <w:r w:rsidR="000069A0" w:rsidRPr="00C221D8">
        <w:t>impact</w:t>
      </w:r>
      <w:r w:rsidR="003F4201">
        <w:t>s are</w:t>
      </w:r>
      <w:r w:rsidRPr="00C221D8">
        <w:t xml:space="preserve"> uncertain.</w:t>
      </w:r>
    </w:p>
    <w:p w14:paraId="57B303D0" w14:textId="77777777" w:rsidR="001E7484" w:rsidRDefault="001E7484" w:rsidP="00C221D8">
      <w:pPr>
        <w:spacing w:after="120" w:line="264" w:lineRule="auto"/>
      </w:pPr>
    </w:p>
    <w:p w14:paraId="09A61E81" w14:textId="77777777" w:rsidR="001E7484" w:rsidRDefault="001E7484" w:rsidP="00C221D8">
      <w:pPr>
        <w:spacing w:after="120" w:line="264" w:lineRule="auto"/>
      </w:pPr>
    </w:p>
    <w:p w14:paraId="44ECE978" w14:textId="77777777" w:rsidR="001E7484" w:rsidRDefault="001E7484" w:rsidP="00C221D8">
      <w:pPr>
        <w:spacing w:after="120" w:line="264" w:lineRule="auto"/>
      </w:pPr>
    </w:p>
    <w:p w14:paraId="4FC579AF" w14:textId="77777777" w:rsidR="001E7484" w:rsidRDefault="001E7484" w:rsidP="00C221D8">
      <w:pPr>
        <w:spacing w:after="120" w:line="264" w:lineRule="auto"/>
      </w:pPr>
    </w:p>
    <w:p w14:paraId="65DA074A" w14:textId="77777777" w:rsidR="001E7484" w:rsidRDefault="001E7484" w:rsidP="00C221D8">
      <w:pPr>
        <w:spacing w:after="120" w:line="264" w:lineRule="auto"/>
      </w:pPr>
    </w:p>
    <w:p w14:paraId="78567E1E" w14:textId="77777777" w:rsidR="001E7484" w:rsidRDefault="001E7484" w:rsidP="00C221D8">
      <w:pPr>
        <w:spacing w:after="120" w:line="264" w:lineRule="auto"/>
      </w:pPr>
    </w:p>
    <w:p w14:paraId="293135BE" w14:textId="77777777" w:rsidR="001E7484" w:rsidRDefault="001E7484" w:rsidP="00C221D8">
      <w:pPr>
        <w:spacing w:after="120" w:line="264" w:lineRule="auto"/>
      </w:pPr>
    </w:p>
    <w:p w14:paraId="5FE782C7" w14:textId="77777777" w:rsidR="001E7484" w:rsidRDefault="001E7484" w:rsidP="00C221D8">
      <w:pPr>
        <w:spacing w:after="120" w:line="264" w:lineRule="auto"/>
      </w:pPr>
    </w:p>
    <w:p w14:paraId="4F90F471" w14:textId="77777777" w:rsidR="001E7484" w:rsidRDefault="001E7484" w:rsidP="00C221D8">
      <w:pPr>
        <w:spacing w:after="120" w:line="264" w:lineRule="auto"/>
      </w:pPr>
    </w:p>
    <w:p w14:paraId="06FE7F53" w14:textId="77777777" w:rsidR="001E7484" w:rsidRDefault="001E7484" w:rsidP="00C221D8">
      <w:pPr>
        <w:spacing w:after="120" w:line="264" w:lineRule="auto"/>
      </w:pPr>
    </w:p>
    <w:p w14:paraId="6C6758AF" w14:textId="77777777" w:rsidR="001E7484" w:rsidRDefault="001E7484" w:rsidP="00C221D8">
      <w:pPr>
        <w:spacing w:after="120" w:line="264" w:lineRule="auto"/>
      </w:pPr>
    </w:p>
    <w:p w14:paraId="53C220FE" w14:textId="77777777" w:rsidR="00B972EB" w:rsidRDefault="00B972EB" w:rsidP="00C221D8">
      <w:pPr>
        <w:spacing w:after="120" w:line="264" w:lineRule="auto"/>
      </w:pPr>
    </w:p>
    <w:p w14:paraId="59788E02" w14:textId="77777777" w:rsidR="00B972EB" w:rsidRDefault="00B972EB" w:rsidP="00C221D8">
      <w:pPr>
        <w:spacing w:after="120" w:line="264" w:lineRule="auto"/>
      </w:pPr>
    </w:p>
    <w:p w14:paraId="00ECC57C" w14:textId="77777777" w:rsidR="00B972EB" w:rsidRDefault="00B972EB" w:rsidP="00C221D8">
      <w:pPr>
        <w:spacing w:after="120" w:line="264" w:lineRule="auto"/>
      </w:pPr>
    </w:p>
    <w:p w14:paraId="1660E8F6" w14:textId="77777777" w:rsidR="00B972EB" w:rsidRDefault="00B972EB" w:rsidP="00C221D8">
      <w:pPr>
        <w:spacing w:after="120" w:line="264" w:lineRule="auto"/>
      </w:pPr>
    </w:p>
    <w:p w14:paraId="1ED5E0B7" w14:textId="77777777" w:rsidR="00B972EB" w:rsidRDefault="00B972EB" w:rsidP="00C221D8">
      <w:pPr>
        <w:spacing w:after="120" w:line="264" w:lineRule="auto"/>
      </w:pPr>
    </w:p>
    <w:p w14:paraId="0E1A8611" w14:textId="77777777" w:rsidR="00B972EB" w:rsidRDefault="00B972EB" w:rsidP="00C221D8">
      <w:pPr>
        <w:spacing w:after="120" w:line="264" w:lineRule="auto"/>
      </w:pPr>
    </w:p>
    <w:p w14:paraId="2A95F123" w14:textId="77777777" w:rsidR="00497FAA" w:rsidRDefault="00497FAA">
      <w:pPr>
        <w:spacing w:after="120" w:line="264" w:lineRule="auto"/>
      </w:pPr>
      <w:r>
        <w:br w:type="page"/>
      </w:r>
    </w:p>
    <w:p w14:paraId="55509B53" w14:textId="77777777" w:rsidR="001E7484" w:rsidRDefault="008D4182" w:rsidP="00A71EDD">
      <w:pPr>
        <w:pStyle w:val="Heading1"/>
      </w:pPr>
      <w:bookmarkStart w:id="20" w:name="_Toc215140015"/>
      <w:bookmarkStart w:id="21" w:name="_Hlk214957190"/>
      <w:r w:rsidRPr="00112FFE">
        <w:lastRenderedPageBreak/>
        <w:t xml:space="preserve">Sustainability Appraisal of Local Plan </w:t>
      </w:r>
      <w:r w:rsidR="00A71EDD" w:rsidRPr="00A71EDD">
        <w:t>Spatial Strategy and Area Policies</w:t>
      </w:r>
      <w:bookmarkEnd w:id="20"/>
      <w:r w:rsidR="00A71EDD" w:rsidRPr="00A71EDD">
        <w:t> </w:t>
      </w:r>
    </w:p>
    <w:bookmarkEnd w:id="21"/>
    <w:p w14:paraId="1063ABEA" w14:textId="77777777" w:rsidR="00B972EB" w:rsidRDefault="00095A0B" w:rsidP="00095A0B">
      <w:pPr>
        <w:pStyle w:val="Heading3"/>
      </w:pPr>
      <w:r w:rsidRPr="00095A0B">
        <w:t>The Local Plan establishes Torbay’s overarching growth strategy and is supported by broad area-based strategies for Torquay, Paignton, Brixham, and the Broadsands-Churston-Galmpton (BCG) villages. Each of these areas is accompanied by more detailed policies that set out specific development principles, land-use priorities, and infrastructure requirements to guide sustainable growth and protect environmental and community assets.</w:t>
      </w:r>
      <w:r>
        <w:t xml:space="preserve"> </w:t>
      </w:r>
    </w:p>
    <w:p w14:paraId="5AC6E940" w14:textId="77777777" w:rsidR="008D4182" w:rsidRPr="008D4182" w:rsidRDefault="008D4182" w:rsidP="008D4182">
      <w:pPr>
        <w:pStyle w:val="Heading3"/>
      </w:pPr>
      <w:r w:rsidRPr="00054E22">
        <w:t>This section provides a concise summary of the sustainability appraisal for the policies, highlighting the key findings and their implications for the Local Plan. It offers an overview of how the proposed strategies align with environmental, social, and economic objectives. For detailed assessmen</w:t>
      </w:r>
      <w:r w:rsidR="001D5B91">
        <w:t>t</w:t>
      </w:r>
      <w:r w:rsidRPr="00054E22">
        <w:t>, please refer to Appendix</w:t>
      </w:r>
      <w:r>
        <w:t xml:space="preserve"> B.</w:t>
      </w:r>
    </w:p>
    <w:p w14:paraId="1BEF33C3" w14:textId="77777777" w:rsidR="00A71EDD" w:rsidRDefault="00A71EDD" w:rsidP="00A71EDD">
      <w:pPr>
        <w:pStyle w:val="Heading2"/>
      </w:pPr>
      <w:bookmarkStart w:id="22" w:name="_Toc215140016"/>
      <w:bookmarkStart w:id="23" w:name="_Hlk214957210"/>
      <w:r w:rsidRPr="00A71EDD">
        <w:t>Strategic Policy SS1: Torbay Growth Strategy - Prioritising our communities through improved health, housing, place making and opportunities for all  </w:t>
      </w:r>
      <w:bookmarkEnd w:id="22"/>
    </w:p>
    <w:bookmarkEnd w:id="23"/>
    <w:p w14:paraId="42A18ED0" w14:textId="77777777" w:rsidR="00B972EB" w:rsidRDefault="00A71EDD" w:rsidP="00B972EB">
      <w:r w:rsidRPr="00A71EDD">
        <w:t> </w:t>
      </w:r>
      <w:r w:rsidR="00B972EB" w:rsidRPr="007561C7">
        <w:t>Strategic Policy SS1: Torbay Growth Strategy demonstrates strong alignment with sustainability objectives, particularly in promoting low-carbon development, safeguarding biodiversity, prioritising brownfield regeneration, and supporting inclusive economic growth. The policy addresses housing needs, health and wellbeing, and community safety while encouraging investment in town centres and employment opportunities. However, areas requiring further attention include waste minimisation, air and noise quality during construction, and reducing car dependency in growth areas. Mitigation measures such as biodiversity net gain, robust design standards, and enhanced sustainable transport infrastructure will be essential to ensure the policy delivers balanced environmental, social, and economic benefits across Torbay.</w:t>
      </w:r>
    </w:p>
    <w:p w14:paraId="4AF0ACA2" w14:textId="77777777" w:rsidR="00644A4C" w:rsidRPr="00644A4C" w:rsidRDefault="00644A4C" w:rsidP="00644A4C">
      <w:pPr>
        <w:pStyle w:val="Heading2"/>
        <w:ind w:left="851" w:hanging="851"/>
      </w:pPr>
      <w:bookmarkStart w:id="24" w:name="_Toc214017912"/>
      <w:bookmarkStart w:id="25" w:name="_Toc215140017"/>
      <w:bookmarkStart w:id="26" w:name="_Hlk214963897"/>
      <w:r w:rsidRPr="005A6767">
        <w:lastRenderedPageBreak/>
        <w:t>Strategic Policy SDT1: Torquay – A strategy for sustainable growth</w:t>
      </w:r>
      <w:bookmarkEnd w:id="24"/>
      <w:bookmarkEnd w:id="25"/>
      <w:r w:rsidRPr="005A6767">
        <w:t xml:space="preserve"> </w:t>
      </w:r>
    </w:p>
    <w:p w14:paraId="0E1BB259" w14:textId="77777777" w:rsidR="00644A4C" w:rsidRPr="007561C7" w:rsidRDefault="00644A4C" w:rsidP="00B972EB">
      <w:bookmarkStart w:id="27" w:name="_Hlk214964783"/>
      <w:bookmarkEnd w:id="26"/>
      <w:r w:rsidRPr="00644A4C">
        <w:t>Strategic Policy SDT1</w:t>
      </w:r>
      <w:r>
        <w:t xml:space="preserve"> </w:t>
      </w:r>
      <w:r w:rsidRPr="00644A4C">
        <w:t>aligns well with sustainability objectives by prioritising regeneration of town centre and harbourside sites, safeguarding priority species, and maintaining a strategic green gap. The policy supports mixed-use development, brownfield regeneration, and high-quality design, while protecting the historic character of Torquay Harbour Conservation Area. It promotes economic growth through employment space and housing delivery, and safeguards Torbay Hospital’s regional role. Key areas for improvement include explicit measures for waste minimisation, managing construction impacts on air and noise quality, and reducing car dependency in gateway developments. Mitigation should focus on biodiversity net gain, circular economy principles, sustainable transport infrastructure, and heritage impact assessments to ensure balanced environmental, social, and economic outcomes.</w:t>
      </w:r>
    </w:p>
    <w:p w14:paraId="5795BE99" w14:textId="77777777" w:rsidR="005120D0" w:rsidRDefault="005120D0" w:rsidP="005120D0">
      <w:pPr>
        <w:pStyle w:val="Heading2"/>
        <w:ind w:left="851" w:hanging="851"/>
      </w:pPr>
      <w:bookmarkStart w:id="28" w:name="_Toc214017913"/>
      <w:bookmarkStart w:id="29" w:name="_Toc215140018"/>
      <w:bookmarkStart w:id="30" w:name="_Hlk214965382"/>
      <w:bookmarkEnd w:id="27"/>
      <w:r w:rsidRPr="005A6767">
        <w:t>Strategic Policy SDT</w:t>
      </w:r>
      <w:r>
        <w:t>2</w:t>
      </w:r>
      <w:r w:rsidRPr="005A6767">
        <w:t xml:space="preserve">: Torquay Gateway – A sustainable </w:t>
      </w:r>
      <w:r w:rsidR="004E7B5C" w:rsidRPr="005A6767">
        <w:t xml:space="preserve">growth hub </w:t>
      </w:r>
      <w:r w:rsidR="004E7B5C">
        <w:t>f</w:t>
      </w:r>
      <w:r w:rsidR="004E7B5C" w:rsidRPr="005A6767">
        <w:t xml:space="preserve">or homes, jobs </w:t>
      </w:r>
      <w:r w:rsidR="004E7B5C">
        <w:t>a</w:t>
      </w:r>
      <w:r w:rsidR="004E7B5C" w:rsidRPr="005A6767">
        <w:t>nd nature</w:t>
      </w:r>
      <w:bookmarkEnd w:id="28"/>
      <w:bookmarkEnd w:id="29"/>
    </w:p>
    <w:p w14:paraId="26BDCB40" w14:textId="77777777" w:rsidR="005120D0" w:rsidRPr="005120D0" w:rsidRDefault="005120D0" w:rsidP="005120D0">
      <w:r w:rsidRPr="005120D0">
        <w:t>Strategic Policy SDT2</w:t>
      </w:r>
      <w:r>
        <w:t xml:space="preserve"> </w:t>
      </w:r>
      <w:r w:rsidRPr="005120D0">
        <w:t>demonstrates strong alignment with sustainability objectives by promoting a landscape-led design, integrated green infrastructure, and a commitment to 10% biodiversity net gain. The policy supports mixed-use development, affordable housing, and employment space, alongside major sustainable transport improvements such as a new train station and park-and-ride facility. It safeguards priority habitats for Greater Horseshoe Bats and Cirl Buntings, maintains the strategic green gap, and conserves the setting of Edginswell Hall and Village. Key areas requiring attention include explicit waste minimisation measures, managing construction impacts on air and noise quality, and ensuring effective delivery of biodiversity and transport commitments. Mitigation should focus on enforcing habitat safeguards, circular economy principles, robust design standards, and health impact assessments to achieve balanced environmental, social, and economic outcomes.</w:t>
      </w:r>
    </w:p>
    <w:p w14:paraId="5A2B1DA8" w14:textId="77777777" w:rsidR="004E7B5C" w:rsidRPr="004E7B5C" w:rsidRDefault="004E7B5C" w:rsidP="004E7B5C">
      <w:pPr>
        <w:pStyle w:val="Heading2"/>
        <w:ind w:left="851" w:hanging="851"/>
      </w:pPr>
      <w:bookmarkStart w:id="31" w:name="_Toc214017914"/>
      <w:bookmarkStart w:id="32" w:name="_Toc215140019"/>
      <w:bookmarkEnd w:id="30"/>
      <w:r w:rsidRPr="005A6767">
        <w:t>Strategic Policy SDT</w:t>
      </w:r>
      <w:r>
        <w:t>3</w:t>
      </w:r>
      <w:r w:rsidRPr="005A6767">
        <w:t>: Newton Road to Torre Gateway – A regeneration corridor for homes, jobs, health and connectivity</w:t>
      </w:r>
      <w:bookmarkEnd w:id="31"/>
      <w:bookmarkEnd w:id="32"/>
    </w:p>
    <w:p w14:paraId="431D93D7" w14:textId="77777777" w:rsidR="001E7484" w:rsidRDefault="004E7B5C" w:rsidP="004E7B5C">
      <w:bookmarkStart w:id="33" w:name="_Hlk214966345"/>
      <w:r w:rsidRPr="004E7B5C">
        <w:t>Strategic Policy SDT3</w:t>
      </w:r>
      <w:r>
        <w:t xml:space="preserve"> </w:t>
      </w:r>
      <w:r w:rsidRPr="004E7B5C">
        <w:t xml:space="preserve">aligns well with sustainability objectives by focusing on brownfield regeneration, safeguarding Torbay Hospital as a key healthcare facility, and improving sustainable </w:t>
      </w:r>
      <w:r w:rsidRPr="004E7B5C">
        <w:lastRenderedPageBreak/>
        <w:t>transport connectivity through enhanced active travel routes and new rail stations. The policy supports modernisation of employment space, provision of affordable housing, and water-sensitive urban design to manage flood risk. While the policy promotes health and wellbeing and economic growth, areas requiring attention include explicit waste minimisation measures, biodiversity net gain commitments, and mitigation of construction-related air and noise impacts. Recommended actions include enforcing circular economy principles, integrating biodiversity enhancements, applying robust design standards, and conducting health and heritage impact assessments to ensure balanced environmental, social, and economic outcomes.</w:t>
      </w:r>
    </w:p>
    <w:p w14:paraId="60BD88D4" w14:textId="77777777" w:rsidR="0015716F" w:rsidRDefault="0015716F" w:rsidP="0015716F">
      <w:pPr>
        <w:pStyle w:val="Heading2"/>
        <w:ind w:left="851" w:hanging="851"/>
      </w:pPr>
      <w:bookmarkStart w:id="34" w:name="_Toc214017916"/>
      <w:bookmarkStart w:id="35" w:name="_Toc215140020"/>
      <w:bookmarkStart w:id="36" w:name="_Hlk214967343"/>
      <w:bookmarkEnd w:id="33"/>
      <w:r w:rsidRPr="005A6767">
        <w:t>Strategic Policy SDP1: Paignton – A strategy for sustainable growth</w:t>
      </w:r>
      <w:bookmarkEnd w:id="34"/>
      <w:bookmarkEnd w:id="35"/>
    </w:p>
    <w:p w14:paraId="6237122B" w14:textId="77777777" w:rsidR="0015716F" w:rsidRDefault="0015716F" w:rsidP="0015716F">
      <w:r w:rsidRPr="0015716F">
        <w:t>Strategic Policy SDP1 aligns strongly with sustainability objectives by promoting mixed-use regeneration of town centre, harbour, and waterfront sites, supported by green infrastructure and flood resilience measures such as a new sea wall. The policy safeguards priority species and habitats, encourages brownfield redevelopment, and integrates climate-safe housing design. It also supports economic growth through tourism, leisure, and employment hubs, while delivering 3,400 new homes and improving transport connectivity along the Western Corridor. Key areas for improvement include explicit waste minimisation measures, managing construction-related air and noise impacts, and ensuring biodiversity net gain delivery. Recommended actions include enforcing circular economy principles, robust design standards, and health impact assessments to achieve balanced environmental, social, and economic outcomes.</w:t>
      </w:r>
    </w:p>
    <w:p w14:paraId="75C0DDB3" w14:textId="77777777" w:rsidR="00EF220D" w:rsidRDefault="00EF220D" w:rsidP="0015716F">
      <w:pPr>
        <w:pStyle w:val="Heading2"/>
        <w:ind w:left="851" w:hanging="851"/>
      </w:pPr>
      <w:bookmarkStart w:id="37" w:name="_Toc214017917"/>
      <w:bookmarkStart w:id="38" w:name="_Toc215140021"/>
      <w:bookmarkStart w:id="39" w:name="_Hlk214968507"/>
      <w:r w:rsidRPr="005A6767">
        <w:t xml:space="preserve">Strategic Policy SDP2: Revitalising Paignton Town Centre and </w:t>
      </w:r>
      <w:r>
        <w:t>Water</w:t>
      </w:r>
      <w:r w:rsidRPr="005A6767">
        <w:t>front - A destination for living, tourism and leisure</w:t>
      </w:r>
      <w:bookmarkEnd w:id="37"/>
      <w:bookmarkEnd w:id="38"/>
    </w:p>
    <w:bookmarkEnd w:id="36"/>
    <w:p w14:paraId="03061351" w14:textId="77777777" w:rsidR="001E7484" w:rsidRDefault="00EF220D" w:rsidP="004E7B5C">
      <w:r w:rsidRPr="00EF220D">
        <w:t>Strategic Policy SDP2</w:t>
      </w:r>
      <w:r>
        <w:t xml:space="preserve"> </w:t>
      </w:r>
      <w:r w:rsidRPr="00EF220D">
        <w:t xml:space="preserve">strongly aligns with sustainability objectives by promoting regeneration that enhances economic vitality, public realm quality, and sustainable transport connectivity through the Paignton Gateway hub. The policy addresses climate resilience with flood protection measures, including a new sea wall, and requires development to be safe from flooding throughout its lifetime. It supports tourism and residential-led regeneration while respecting historic character and improving urban design. Key areas for improvement include explicit waste minimisation measures, biodiversity net gain commitments during waterfront works, and mitigation of construction-related air and noise impacts. Recommended actions include enforcing circular </w:t>
      </w:r>
      <w:r w:rsidRPr="00EF220D">
        <w:lastRenderedPageBreak/>
        <w:t>economy principles, robust design standards, and health impact assessments to ensure balanced environmental, social, and economic outcomes.</w:t>
      </w:r>
    </w:p>
    <w:p w14:paraId="1B1FC47F" w14:textId="77777777" w:rsidR="00EF220D" w:rsidRPr="0015716F" w:rsidRDefault="00EF220D" w:rsidP="00EF220D">
      <w:pPr>
        <w:pStyle w:val="Heading2"/>
        <w:ind w:left="851" w:hanging="851"/>
      </w:pPr>
      <w:bookmarkStart w:id="40" w:name="_Toc214017918"/>
      <w:bookmarkStart w:id="41" w:name="_Toc215140022"/>
      <w:bookmarkStart w:id="42" w:name="_Hlk214973887"/>
      <w:bookmarkEnd w:id="39"/>
      <w:r>
        <w:t xml:space="preserve">Strategic </w:t>
      </w:r>
      <w:r w:rsidRPr="005A6767">
        <w:t>Policy SDP3: Preston – A thriving district centre and Regeneration Hub for living and community</w:t>
      </w:r>
      <w:bookmarkEnd w:id="40"/>
      <w:bookmarkEnd w:id="41"/>
    </w:p>
    <w:p w14:paraId="2CC20D37" w14:textId="77777777" w:rsidR="00A71EDD" w:rsidRDefault="00E943EF" w:rsidP="004E7B5C">
      <w:r w:rsidRPr="00E943EF">
        <w:t>Strategic Policy SDP3 aligns well with sustainability objectives by promoting brownfield regeneration, safeguarding the district centre’s role, and supporting improved active travel and public transport connectivity. The policy encourages taller buildings to optimise land use, enhances public open spaces at Hollicombe Park and Oldway, and integrates sustainable drainage and water-sensitive urban design to strengthen climate resilience. It also supports finding a viable economic future for Oldway Mansion, subject to heritage considerations. Key areas for improvement include explicit waste minimisation measures, biodiversity net gain commitments, and mitigation of construction-related air and noise impacts. Recommended actions include enforcing circular economy principles, robust design standards, and health and heritage impact assessments to ensure balanced environmental, social, and economic outcomes.</w:t>
      </w:r>
    </w:p>
    <w:p w14:paraId="2B81AFA1" w14:textId="77777777" w:rsidR="00600BD0" w:rsidRDefault="00600BD0" w:rsidP="00600BD0">
      <w:pPr>
        <w:pStyle w:val="Heading2"/>
        <w:ind w:left="851" w:hanging="851"/>
      </w:pPr>
      <w:bookmarkStart w:id="43" w:name="_Toc214017919"/>
      <w:bookmarkStart w:id="44" w:name="_Toc215140023"/>
      <w:bookmarkStart w:id="45" w:name="_Hlk214974787"/>
      <w:bookmarkEnd w:id="42"/>
      <w:r w:rsidRPr="00600BD0">
        <w:t>Strategic Policy SDP4: Collaton St Mary – Sustainable growth in a connected village</w:t>
      </w:r>
      <w:bookmarkEnd w:id="43"/>
      <w:bookmarkEnd w:id="44"/>
    </w:p>
    <w:p w14:paraId="293B7341" w14:textId="77777777" w:rsidR="00600BD0" w:rsidRDefault="00600BD0" w:rsidP="00600BD0">
      <w:r w:rsidRPr="00600BD0">
        <w:t>Strategic Policy SDP4</w:t>
      </w:r>
      <w:r>
        <w:t xml:space="preserve"> </w:t>
      </w:r>
      <w:r w:rsidRPr="00600BD0">
        <w:t>demonstrates strong alignment with sustainability objectives by prioritising climate resilience, green infrastructure, and sustainable transport improvements along the A385 corridor. The policy supports delivery of 600 homes (including 30% affordable), self-build plots, and a traveller pitch, alongside improved community facilities and drainage infrastructure. It commits to achieving 10% biodiversity net gain and safeguarding habitats for Greater Horseshoe Bats and Cirl Buntings through dark corridors and habitat protection. Key areas for improvement include explicit waste minimisation measures, managing construction-related air and noise impacts, and ensuring effective delivery of biodiversity and transport commitments. Recommended actions include enforcing circular economy principles, robust design standards, and health and heritage impact assessments to achieve balanced environmental, social, and economic outcomes.</w:t>
      </w:r>
    </w:p>
    <w:p w14:paraId="68C14E31" w14:textId="77777777" w:rsidR="005D5A65" w:rsidRDefault="005D5A65" w:rsidP="005D5A65">
      <w:pPr>
        <w:pStyle w:val="Heading2"/>
        <w:ind w:left="851" w:hanging="851"/>
      </w:pPr>
      <w:bookmarkStart w:id="46" w:name="_Toc214017920"/>
      <w:bookmarkStart w:id="47" w:name="_Toc215140024"/>
      <w:bookmarkStart w:id="48" w:name="_Hlk214976164"/>
      <w:r w:rsidRPr="005D5A65">
        <w:lastRenderedPageBreak/>
        <w:t>Strategic Policy SDP5: Long Road, Yalberton - Sustainable living and employment neighbourhood</w:t>
      </w:r>
      <w:bookmarkEnd w:id="46"/>
      <w:bookmarkEnd w:id="47"/>
      <w:r w:rsidRPr="005D5A65">
        <w:t xml:space="preserve"> </w:t>
      </w:r>
      <w:r w:rsidRPr="00F9708C">
        <w:t xml:space="preserve"> </w:t>
      </w:r>
    </w:p>
    <w:p w14:paraId="5AE195E0" w14:textId="77777777" w:rsidR="005D5A65" w:rsidRPr="005D5A65" w:rsidRDefault="005D5A65" w:rsidP="005D5A65">
      <w:r w:rsidRPr="005D5A65">
        <w:t>Strategic Policy SDP5</w:t>
      </w:r>
      <w:r>
        <w:t xml:space="preserve"> </w:t>
      </w:r>
      <w:r w:rsidRPr="005D5A65">
        <w:t>aligns strongly with sustainability objectives by promoting mixed-use development that combines housing, employment, and green infrastructure. The policy supports delivery of 650 homes (including 30% affordable), self-build plots, and a traveller pitch, alongside safeguarding employment land and waste facilities. It commits to achieving 10% biodiversity net gain and protecting habitats for Greater Horseshoe Bats and Cirl Buntings through dark corridors and strategic landscaping. Climate resilience is addressed through green infrastructure and sustainable transport improvements along the Western Corridor. Key areas for improvement include explicit waste minimisation measures during construction, managing air and noise impacts, and ensuring effective delivery of biodiversity and transport commitments. Recommended actions include enforcing circular economy principles, robust design standards, and health and heritage impact assessments to achieve balanced environmental, social, and economic outcomes.</w:t>
      </w:r>
    </w:p>
    <w:p w14:paraId="1B3F97AE" w14:textId="77777777" w:rsidR="005D5A65" w:rsidRPr="00600BD0" w:rsidRDefault="00D50D29" w:rsidP="00600BD0">
      <w:pPr>
        <w:pStyle w:val="Heading2"/>
        <w:ind w:left="851" w:hanging="851"/>
      </w:pPr>
      <w:bookmarkStart w:id="49" w:name="_Toc214017921"/>
      <w:bookmarkStart w:id="50" w:name="_Toc215140025"/>
      <w:bookmarkStart w:id="51" w:name="_Hlk214977082"/>
      <w:bookmarkEnd w:id="48"/>
      <w:r w:rsidRPr="00D50D29">
        <w:t>Policy SDP6: Clennon Valley - Active leisure and nature hub</w:t>
      </w:r>
      <w:bookmarkEnd w:id="49"/>
      <w:bookmarkEnd w:id="50"/>
    </w:p>
    <w:bookmarkEnd w:id="45"/>
    <w:p w14:paraId="71AAB7DD" w14:textId="77777777" w:rsidR="00D50D29" w:rsidRDefault="00D50D29" w:rsidP="004E7B5C">
      <w:r w:rsidRPr="00D50D29">
        <w:t>Strategic Policy SDP6 strongly aligns with sustainability objectives by promoting a landscape-led approach that enhances green infrastructure, biodiversity, and active travel connections. The policy safeguards the integrity of the strategic green corridor and important wildlife sites, including the South Hams SAC and Marine SAC, while supporting flood alleviation and sustainable drainage measures to improve climate resilience. It also strengthens the leisure and tourism offer, improving public access and connectivity between key destinations. Key areas for improvement include explicit waste minimisation measures, managing construction-related air and noise impacts, and ensuring heritage considerations for nearby assets. Recommended actions include enforcing circular economy principles, robust design standards, and health impact assessments to ensure balanced environmental, social, and economic outcomes.</w:t>
      </w:r>
    </w:p>
    <w:p w14:paraId="3D5C8854" w14:textId="77777777" w:rsidR="00745B4E" w:rsidRDefault="00745B4E" w:rsidP="00745B4E">
      <w:pPr>
        <w:pStyle w:val="Heading2"/>
        <w:ind w:left="851" w:hanging="851"/>
      </w:pPr>
      <w:bookmarkStart w:id="52" w:name="_Toc214017923"/>
      <w:bookmarkStart w:id="53" w:name="_Toc215140026"/>
      <w:bookmarkStart w:id="54" w:name="_Hlk214978936"/>
      <w:bookmarkEnd w:id="51"/>
      <w:r w:rsidRPr="00745B4E">
        <w:t>Strategic Policy SDB1: Brixham – A strategy for sustainable growth</w:t>
      </w:r>
      <w:bookmarkEnd w:id="52"/>
      <w:bookmarkEnd w:id="53"/>
    </w:p>
    <w:p w14:paraId="21E6DFDA" w14:textId="77777777" w:rsidR="00220881" w:rsidRDefault="00220881" w:rsidP="00220881">
      <w:r w:rsidRPr="00220881">
        <w:t xml:space="preserve">Policy SDB1 seeks to deliver limited, sustainable development that regenerates the town centre, supports maritime industries, and provides housing and employment opportunities while safeguarding the South Devon National Landscape and Berry Head SAC. The policy aligns strongly with economic and social sustainability objectives by promoting local jobs, tourism, and community facilities, and moderately with environmental objectives through landscape and </w:t>
      </w:r>
      <w:r w:rsidRPr="00220881">
        <w:lastRenderedPageBreak/>
        <w:t>biodiversity protection, though harbour works pose risks requiring strict mitigation. Key measures include low-carbon design, flood resilience, biodiversity net gain, and improved sustainable transport. Overall, SDB1 offers a balanced approach to growth, delivering community and economic benefits</w:t>
      </w:r>
      <w:r w:rsidR="00E366B1">
        <w:t>.</w:t>
      </w:r>
    </w:p>
    <w:p w14:paraId="31265FCD" w14:textId="77777777" w:rsidR="00E366B1" w:rsidRDefault="00E366B1" w:rsidP="00E366B1">
      <w:pPr>
        <w:pStyle w:val="Heading2"/>
        <w:ind w:left="851" w:hanging="851"/>
      </w:pPr>
      <w:bookmarkStart w:id="55" w:name="_Toc214017924"/>
      <w:bookmarkStart w:id="56" w:name="_Toc215140027"/>
      <w:bookmarkStart w:id="57" w:name="_Hlk214980774"/>
      <w:r>
        <w:t xml:space="preserve">Strategic </w:t>
      </w:r>
      <w:r w:rsidRPr="61978766">
        <w:t xml:space="preserve">Policy SDB2: Revitalising Brixham’s Town Centre, </w:t>
      </w:r>
      <w:r>
        <w:t>H</w:t>
      </w:r>
      <w:r w:rsidRPr="61978766">
        <w:t xml:space="preserve">arbour and </w:t>
      </w:r>
      <w:r>
        <w:t>W</w:t>
      </w:r>
      <w:r w:rsidRPr="61978766">
        <w:t>aterfront - A destination for living, maritime activity and tourism</w:t>
      </w:r>
      <w:bookmarkEnd w:id="55"/>
      <w:bookmarkEnd w:id="56"/>
    </w:p>
    <w:p w14:paraId="2835F864" w14:textId="77777777" w:rsidR="00E366B1" w:rsidRPr="00E366B1" w:rsidRDefault="00067A92" w:rsidP="00E366B1">
      <w:r>
        <w:t>P</w:t>
      </w:r>
      <w:r w:rsidRPr="00067A92">
        <w:t>olicy SDB2 promotes mixed-use regeneration to provide retail, employment, leisure, and residential facilities, supporting Brixham’s role as a vibrant maritime destination. It aligns strongly with economic and social sustainability objectives by diversifying the economy and improving public realm, while environmental objectives are addressed through flood resilience and habitat protection. Key risks relate to potential impacts on marine habitats and construction effects, requiring robust mitigation measures such as biodiversity net gain and sustainable drainage systems.</w:t>
      </w:r>
    </w:p>
    <w:p w14:paraId="3986E1A8" w14:textId="77777777" w:rsidR="00E366B1" w:rsidRDefault="00002302" w:rsidP="00220881">
      <w:pPr>
        <w:pStyle w:val="Heading2"/>
        <w:ind w:left="851" w:hanging="851"/>
      </w:pPr>
      <w:bookmarkStart w:id="58" w:name="_Toc214017925"/>
      <w:bookmarkStart w:id="59" w:name="_Toc215140028"/>
      <w:bookmarkStart w:id="60" w:name="_Hlk214982096"/>
      <w:bookmarkEnd w:id="57"/>
      <w:r>
        <w:t xml:space="preserve">Strategic </w:t>
      </w:r>
      <w:r w:rsidRPr="61978766">
        <w:t>Policy SDB3: Berry Head to Sharkham Point - Coastal conservation and recreation management</w:t>
      </w:r>
      <w:bookmarkEnd w:id="58"/>
      <w:bookmarkEnd w:id="59"/>
      <w:r w:rsidRPr="61978766">
        <w:t xml:space="preserve"> </w:t>
      </w:r>
      <w:r w:rsidRPr="00002302">
        <w:t xml:space="preserve"> </w:t>
      </w:r>
    </w:p>
    <w:p w14:paraId="068BAEE5" w14:textId="77777777" w:rsidR="00E366B1" w:rsidRPr="00220881" w:rsidRDefault="00002302" w:rsidP="00220881">
      <w:r w:rsidRPr="00002302">
        <w:t>Policy SDB3 focuses on protecting the most environmentally sensitive area of Torbay, prioriti</w:t>
      </w:r>
      <w:r w:rsidR="00862D8F">
        <w:t>s</w:t>
      </w:r>
      <w:r w:rsidRPr="00002302">
        <w:t>ing landscape and biodiversity conservation while managing tourism and recreation pressures. It strongly aligns with environmental objectives, offering significant benefits for habitat protection and scenic quality, while economic and housing objectives are neutral due to strict development limits. Key mitigation measures include biodiversity net gain, sustainable visitor management, and provision of alternative natural greenspace (SANG).</w:t>
      </w:r>
    </w:p>
    <w:p w14:paraId="37C137E5" w14:textId="77777777" w:rsidR="001D56E5" w:rsidRPr="00695497" w:rsidRDefault="001D56E5" w:rsidP="001D56E5">
      <w:pPr>
        <w:pStyle w:val="Heading2"/>
        <w:ind w:left="851" w:hanging="851"/>
      </w:pPr>
      <w:bookmarkStart w:id="61" w:name="_Toc214017927"/>
      <w:bookmarkStart w:id="62" w:name="_Toc215140029"/>
      <w:bookmarkStart w:id="63" w:name="_Hlk214983017"/>
      <w:bookmarkEnd w:id="54"/>
      <w:bookmarkEnd w:id="60"/>
      <w:r w:rsidRPr="001D56E5">
        <w:t>Strategic Policy SDBCG1: Broadsands, Churston and Galmpton Villages - Sustainable living and landscape protection strategy</w:t>
      </w:r>
      <w:bookmarkEnd w:id="61"/>
      <w:bookmarkEnd w:id="62"/>
    </w:p>
    <w:p w14:paraId="0A8A2895" w14:textId="77777777" w:rsidR="001D56E5" w:rsidRDefault="001D56E5" w:rsidP="004E7B5C">
      <w:r>
        <w:t>P</w:t>
      </w:r>
      <w:r w:rsidRPr="001D56E5">
        <w:t>olicy SDBCG1</w:t>
      </w:r>
      <w:r>
        <w:t xml:space="preserve"> </w:t>
      </w:r>
      <w:r w:rsidR="00662F30" w:rsidRPr="00BD194F">
        <w:t xml:space="preserve">sets out a strategy for sustainable living and landscape protection across the Broadsands, Churston, and Galmpton Villages area. </w:t>
      </w:r>
      <w:r w:rsidR="00662F30">
        <w:t xml:space="preserve">It </w:t>
      </w:r>
      <w:r w:rsidRPr="001D56E5">
        <w:t xml:space="preserve">focuses on delivering housing and a school site at Inglewood while safeguarding rural character, landscape, and ecological integrity through </w:t>
      </w:r>
      <w:r w:rsidRPr="001D56E5">
        <w:lastRenderedPageBreak/>
        <w:t>strategic buffers and green infrastructure. It strongly aligns with environmental objectives and supports social needs through housing and education provision, while economic impacts are moderate and transport challenges remain. Key mitigation measures include biodiversity net gain, sustainable drainage, and improved active travel infrastructure.</w:t>
      </w:r>
    </w:p>
    <w:p w14:paraId="71438E2E" w14:textId="77777777" w:rsidR="00BD194F" w:rsidRDefault="00BD194F" w:rsidP="00BD194F">
      <w:pPr>
        <w:pStyle w:val="Heading2"/>
        <w:ind w:left="851" w:hanging="851"/>
      </w:pPr>
      <w:bookmarkStart w:id="64" w:name="_Toc214017928"/>
      <w:bookmarkStart w:id="65" w:name="_Toc215140030"/>
      <w:bookmarkStart w:id="66" w:name="_Hlk215042356"/>
      <w:bookmarkEnd w:id="63"/>
      <w:r>
        <w:t xml:space="preserve">Strategic </w:t>
      </w:r>
      <w:r w:rsidRPr="1E538198">
        <w:t>Policy SDBCG</w:t>
      </w:r>
      <w:r>
        <w:t>2</w:t>
      </w:r>
      <w:r w:rsidRPr="1E538198">
        <w:t xml:space="preserve"> </w:t>
      </w:r>
      <w:r>
        <w:t>Land at Inglewood and its environs north of Windy Corner</w:t>
      </w:r>
      <w:bookmarkEnd w:id="64"/>
      <w:bookmarkEnd w:id="65"/>
    </w:p>
    <w:p w14:paraId="47B26170" w14:textId="77777777" w:rsidR="00BD194F" w:rsidRDefault="00BD194F" w:rsidP="00BD194F">
      <w:r w:rsidRPr="00BD194F">
        <w:t xml:space="preserve">Policy </w:t>
      </w:r>
      <w:r w:rsidRPr="00F354E0">
        <w:t>SDBCG2</w:t>
      </w:r>
      <w:r w:rsidRPr="00BD194F">
        <w:t xml:space="preserve"> focuses on delivering housing, affordable homes, a school, employment land, and green infrastructure north of Windy Corner, while maintaining landscape buffers and ecological protections. It strongly supports biodiversity net gain and active travel, contributing to climate resilience and wellbeing. However, risks include potential carbon emissions from new housing, traffic congestion, reliance on greenfield sites, and limited attention to waste management and historic environment. To address these, the policy should enforce low-carbon building standards, integrate renewable energy, enhance public transport and cycling infrastructure, prioritize brownfield development where feasible, and include waste and heritage safeguards. Overall, SDBCG2 aligns well with sustainability objectives but requires targeted measures to mitigate environmental and social risks.</w:t>
      </w:r>
    </w:p>
    <w:p w14:paraId="2150E0BA" w14:textId="77777777" w:rsidR="00F354E0" w:rsidRPr="004E7566" w:rsidRDefault="00F354E0" w:rsidP="00F354E0">
      <w:pPr>
        <w:pStyle w:val="Heading2"/>
        <w:ind w:left="851" w:hanging="851"/>
      </w:pPr>
      <w:bookmarkStart w:id="67" w:name="_Toc214017929"/>
      <w:bookmarkStart w:id="68" w:name="_Toc215140031"/>
      <w:bookmarkStart w:id="69" w:name="_Hlk215044533"/>
      <w:r w:rsidRPr="00F354E0">
        <w:t>Policy SDBCG3: Rural villages south of Windy Corner – Landscape, ecology and settlement gap protection zone</w:t>
      </w:r>
      <w:bookmarkEnd w:id="67"/>
      <w:bookmarkEnd w:id="68"/>
      <w:r w:rsidRPr="00F354E0">
        <w:t xml:space="preserve"> </w:t>
      </w:r>
      <w:r w:rsidRPr="004E7566">
        <w:t xml:space="preserve"> </w:t>
      </w:r>
    </w:p>
    <w:p w14:paraId="36CA0DA5" w14:textId="77777777" w:rsidR="00F354E0" w:rsidRPr="00BD194F" w:rsidRDefault="00F354E0" w:rsidP="00BD194F">
      <w:bookmarkStart w:id="70" w:name="_Hlk215044509"/>
      <w:bookmarkEnd w:id="69"/>
      <w:r w:rsidRPr="00F354E0">
        <w:t>Policy SDBCG3 focuses on protecting the rural villages south of Windy Corner by conserving the South Devon National Landscape, safeguarding ecological corridors, and maintaining settlement gaps while allowing limited, landscape-led development to meet Brixham’s local needs. It includes provisions for around 150 dwellings, modest employment land, a park-and-ride facility, and a dog-friendly Suitable Alternative Natural Greenspace (SANG) to reduce recreational pressure on Berry Head. The policy mandates 10% biodiversity net gain, strict bat habitat protection, and mitigation of recreational impacts on sensitive sites. Overall, SDBCG3 prioritizes environmental integrity and rural character while enabling small-scale development and improved sustainable transport options.</w:t>
      </w:r>
    </w:p>
    <w:bookmarkEnd w:id="66"/>
    <w:bookmarkEnd w:id="70"/>
    <w:p w14:paraId="007A5720" w14:textId="77777777" w:rsidR="001D56E5" w:rsidRDefault="00A71EDD" w:rsidP="004E7B5C">
      <w:r>
        <w:br w:type="page"/>
      </w:r>
    </w:p>
    <w:p w14:paraId="706D147A" w14:textId="77777777" w:rsidR="008654C0" w:rsidRPr="00112FFE" w:rsidRDefault="008654C0" w:rsidP="00326CB9">
      <w:pPr>
        <w:pStyle w:val="Heading1"/>
      </w:pPr>
      <w:bookmarkStart w:id="71" w:name="_Toc215140032"/>
      <w:r w:rsidRPr="00112FFE">
        <w:lastRenderedPageBreak/>
        <w:t>Sustainability Appraisal of Local Plan</w:t>
      </w:r>
      <w:r w:rsidR="00F94170" w:rsidRPr="00112FFE">
        <w:t xml:space="preserve"> Strategic Policies and Development Management</w:t>
      </w:r>
      <w:r w:rsidRPr="00112FFE">
        <w:t xml:space="preserve"> Policies</w:t>
      </w:r>
      <w:bookmarkEnd w:id="71"/>
      <w:r w:rsidRPr="00112FFE">
        <w:t xml:space="preserve"> </w:t>
      </w:r>
    </w:p>
    <w:p w14:paraId="23B792D2" w14:textId="77777777" w:rsidR="004121BE" w:rsidRDefault="004121BE" w:rsidP="00326CB9">
      <w:pPr>
        <w:pStyle w:val="Heading3"/>
      </w:pPr>
      <w:r w:rsidRPr="004121BE">
        <w:t>The Local Plan sets out a comprehensive framework for guiding development in Torbay. It includes overarching strategic policies that establish the vision and long-term objectives for sustainable growth, alongside detailed development management policies that provide criteria for assessing planning applications and ensuring high-quality outcomes. These policies cover key areas such as housing, design, infrastructure, environmental protection, and community wellbeing.</w:t>
      </w:r>
      <w:r w:rsidR="00054E22">
        <w:t xml:space="preserve"> </w:t>
      </w:r>
    </w:p>
    <w:p w14:paraId="5488431A" w14:textId="77777777" w:rsidR="00054E22" w:rsidRPr="00054E22" w:rsidRDefault="00054E22" w:rsidP="00054E22">
      <w:pPr>
        <w:pStyle w:val="Heading3"/>
      </w:pPr>
      <w:r w:rsidRPr="00054E22">
        <w:t xml:space="preserve">This section provides a concise summary of the sustainability appraisal for the policies, highlighting the key findings and their implications for the Local Plan. It offers an overview of how the proposed strategies align with environmental, social, and economic objectives. For </w:t>
      </w:r>
      <w:r w:rsidR="008D4182" w:rsidRPr="00054E22">
        <w:t>detailed assessment matri</w:t>
      </w:r>
      <w:r w:rsidR="008D4182">
        <w:t>ces</w:t>
      </w:r>
      <w:r w:rsidR="008D4182" w:rsidRPr="00054E22">
        <w:t>, please</w:t>
      </w:r>
      <w:r w:rsidRPr="00054E22">
        <w:t xml:space="preserve"> refer to Appendix</w:t>
      </w:r>
      <w:r w:rsidR="008D4182">
        <w:t xml:space="preserve"> C.</w:t>
      </w:r>
    </w:p>
    <w:p w14:paraId="0A831ADC" w14:textId="77777777" w:rsidR="00B664EF" w:rsidRPr="00112FFE" w:rsidRDefault="00B664EF" w:rsidP="00112FFE">
      <w:pPr>
        <w:pStyle w:val="Heading2"/>
      </w:pPr>
      <w:bookmarkStart w:id="72" w:name="_Toc215140033"/>
      <w:r w:rsidRPr="00112FFE">
        <w:t xml:space="preserve">Housing </w:t>
      </w:r>
      <w:bookmarkStart w:id="73" w:name="_Hlk214533048"/>
      <w:r w:rsidRPr="00112FFE">
        <w:t xml:space="preserve">and Regeneration </w:t>
      </w:r>
      <w:bookmarkEnd w:id="73"/>
      <w:r w:rsidRPr="00112FFE">
        <w:t>Policies</w:t>
      </w:r>
      <w:bookmarkEnd w:id="72"/>
      <w:r w:rsidRPr="00112FFE">
        <w:t xml:space="preserve"> </w:t>
      </w:r>
    </w:p>
    <w:p w14:paraId="62AA184D" w14:textId="77777777" w:rsidR="00D16A90" w:rsidRPr="00112FFE" w:rsidRDefault="00D16A90" w:rsidP="00112FFE">
      <w:pPr>
        <w:pStyle w:val="Heading4"/>
      </w:pPr>
      <w:r w:rsidRPr="00112FFE">
        <w:t xml:space="preserve">Policy HS: Overall Housing Strategy and Presumption in </w:t>
      </w:r>
      <w:r w:rsidR="00780D92" w:rsidRPr="00112FFE">
        <w:t>F</w:t>
      </w:r>
      <w:r w:rsidRPr="00112FFE">
        <w:t>avour of Urban Regeneration</w:t>
      </w:r>
    </w:p>
    <w:p w14:paraId="32732C86" w14:textId="77777777" w:rsidR="00D16A90" w:rsidRPr="002D529E" w:rsidRDefault="00D16A90" w:rsidP="00326CB9">
      <w:pPr>
        <w:pStyle w:val="Heading3"/>
      </w:pPr>
      <w:bookmarkStart w:id="74" w:name="_Hlk212546682"/>
      <w:r w:rsidRPr="002D529E">
        <w:t>Policy HS is a cornerstone of Torbay’s sustainable development strategy. It strongly aligns with nearly all sustainability objectives by</w:t>
      </w:r>
      <w:r w:rsidR="009128EF" w:rsidRPr="002D529E">
        <w:t xml:space="preserve"> p</w:t>
      </w:r>
      <w:r w:rsidRPr="002D529E">
        <w:t>rioritising urban regeneration over greenfield expansion</w:t>
      </w:r>
      <w:r w:rsidR="009128EF" w:rsidRPr="002D529E">
        <w:t>, d</w:t>
      </w:r>
      <w:r w:rsidRPr="002D529E">
        <w:t>elivering inclusive, climate-resilient housing</w:t>
      </w:r>
      <w:r w:rsidR="009128EF" w:rsidRPr="002D529E">
        <w:t>, r</w:t>
      </w:r>
      <w:r w:rsidRPr="002D529E">
        <w:t>evitalising town centres and supporting economic growth</w:t>
      </w:r>
      <w:r w:rsidR="009128EF" w:rsidRPr="002D529E">
        <w:t xml:space="preserve"> and p</w:t>
      </w:r>
      <w:r w:rsidRPr="002D529E">
        <w:t>romoting active travel and high-quality design</w:t>
      </w:r>
      <w:r w:rsidR="009128EF" w:rsidRPr="002D529E">
        <w:t>.</w:t>
      </w:r>
    </w:p>
    <w:p w14:paraId="077FCF66" w14:textId="77777777" w:rsidR="00D16A90" w:rsidRDefault="00D16A90" w:rsidP="00326CB9">
      <w:pPr>
        <w:pStyle w:val="Heading3"/>
      </w:pPr>
      <w:r w:rsidRPr="00D16A90">
        <w:t>The policy’s emphasis on mixed communities, affordable housing, and reuse of land and buildings ensures that growth is both socially and environmentally responsible. Its</w:t>
      </w:r>
      <w:r w:rsidR="00982FB6" w:rsidRPr="00982FB6">
        <w:t xml:space="preserve"> effectiveness </w:t>
      </w:r>
      <w:r w:rsidRPr="00D16A90">
        <w:t>will depend on</w:t>
      </w:r>
      <w:r w:rsidR="009128EF">
        <w:t xml:space="preserve"> e</w:t>
      </w:r>
      <w:r w:rsidRPr="00D16A90">
        <w:t>ffective partnerships with developers and communities</w:t>
      </w:r>
      <w:r w:rsidR="009128EF">
        <w:t>, s</w:t>
      </w:r>
      <w:r w:rsidRPr="00D16A90">
        <w:t>trong design and environmental standards</w:t>
      </w:r>
      <w:r w:rsidR="009128EF">
        <w:t xml:space="preserve"> and m</w:t>
      </w:r>
      <w:r w:rsidRPr="00D16A90">
        <w:t>onitoring of housing delivery and social outcomes</w:t>
      </w:r>
      <w:r w:rsidR="009128EF">
        <w:t xml:space="preserve">. </w:t>
      </w:r>
      <w:r w:rsidRPr="00D16A90">
        <w:t>With robust implementation, Policy HS can lead Torbay toward a more vibrant, equitable, and sustainable future.</w:t>
      </w:r>
    </w:p>
    <w:p w14:paraId="4D4430CE" w14:textId="77777777" w:rsidR="009128EF" w:rsidRPr="00D05C2B" w:rsidRDefault="009128EF" w:rsidP="00112FFE">
      <w:pPr>
        <w:pStyle w:val="Heading4"/>
      </w:pPr>
      <w:r w:rsidRPr="00D05C2B">
        <w:lastRenderedPageBreak/>
        <w:t>Policy H1: Town Centre Regeneration Areas</w:t>
      </w:r>
    </w:p>
    <w:p w14:paraId="4C1123E1" w14:textId="77777777" w:rsidR="009128EF" w:rsidRPr="009128EF" w:rsidRDefault="009128EF" w:rsidP="00326CB9">
      <w:pPr>
        <w:pStyle w:val="Heading3"/>
      </w:pPr>
      <w:bookmarkStart w:id="75" w:name="_Hlk212554634"/>
      <w:r w:rsidRPr="009128EF">
        <w:t>Policy H1 is a key driver of sustainable urban transformation in Torbay. It aligns strongly with all 13 sustainability objectives by</w:t>
      </w:r>
      <w:r w:rsidR="0037175D">
        <w:t xml:space="preserve"> r</w:t>
      </w:r>
      <w:r w:rsidRPr="009128EF">
        <w:t>evitalising town centres through mixed-use, high-density development</w:t>
      </w:r>
      <w:r w:rsidR="0037175D">
        <w:t>, p</w:t>
      </w:r>
      <w:r w:rsidRPr="009128EF">
        <w:t>romoting inclusive, climate-resilient housing</w:t>
      </w:r>
      <w:r w:rsidR="0037175D">
        <w:t xml:space="preserve"> and e</w:t>
      </w:r>
      <w:r w:rsidRPr="009128EF">
        <w:t>nhancing public realm, heritage, and transport connectivity</w:t>
      </w:r>
      <w:r w:rsidR="0037175D">
        <w:t>.</w:t>
      </w:r>
    </w:p>
    <w:p w14:paraId="489A4ECC" w14:textId="77777777" w:rsidR="009128EF" w:rsidRDefault="009128EF" w:rsidP="00326CB9">
      <w:pPr>
        <w:pStyle w:val="Heading3"/>
      </w:pPr>
      <w:r w:rsidRPr="009128EF">
        <w:t xml:space="preserve">The policy’s emphasis on urban regeneration, reuse of brownfield land, and masterplanning ensures that growth is well-integrated, environmentally responsible, and socially inclusive. Its </w:t>
      </w:r>
      <w:r w:rsidR="00982FB6" w:rsidRPr="00982FB6">
        <w:t>effectiveness</w:t>
      </w:r>
      <w:r w:rsidRPr="009128EF">
        <w:t xml:space="preserve"> will depend on</w:t>
      </w:r>
      <w:r w:rsidR="0037175D">
        <w:t xml:space="preserve"> c</w:t>
      </w:r>
      <w:r w:rsidRPr="009128EF">
        <w:t>ommunity engagement</w:t>
      </w:r>
      <w:r w:rsidR="0037175D">
        <w:t>, d</w:t>
      </w:r>
      <w:r w:rsidRPr="009128EF">
        <w:t>esign quality and heritage sensitivity</w:t>
      </w:r>
      <w:r w:rsidR="0037175D">
        <w:t xml:space="preserve"> and d</w:t>
      </w:r>
      <w:r w:rsidRPr="009128EF">
        <w:t>elivery of infrastructure and affordable housing</w:t>
      </w:r>
      <w:r w:rsidR="0037175D">
        <w:t xml:space="preserve">. </w:t>
      </w:r>
      <w:r w:rsidRPr="009128EF">
        <w:t>With effective implementation, Policy H1 can lead to a vibrant, equitable, and sustainable urban core across Torquay, Paignton, and Brixham.</w:t>
      </w:r>
    </w:p>
    <w:bookmarkEnd w:id="75"/>
    <w:p w14:paraId="62CDBCB4" w14:textId="77777777" w:rsidR="00327247" w:rsidRPr="00B45394" w:rsidRDefault="00327247" w:rsidP="00112FFE">
      <w:pPr>
        <w:pStyle w:val="Heading4"/>
      </w:pPr>
      <w:r w:rsidRPr="00B45394">
        <w:t xml:space="preserve">Policy H2: Future Growth Areas </w:t>
      </w:r>
    </w:p>
    <w:p w14:paraId="09CD2201" w14:textId="77777777" w:rsidR="00B45394" w:rsidRPr="00315EEE" w:rsidRDefault="00B45394" w:rsidP="00326CB9">
      <w:pPr>
        <w:pStyle w:val="Heading3"/>
      </w:pPr>
      <w:bookmarkStart w:id="76" w:name="_Hlk212554583"/>
      <w:r w:rsidRPr="00B45394">
        <w:t xml:space="preserve">Policy H2 has strong potential to support Torbay’s sustainability goals, especially in housing and economic growth. However, its </w:t>
      </w:r>
      <w:r w:rsidR="00982FB6" w:rsidRPr="00982FB6">
        <w:t>effectiveness</w:t>
      </w:r>
      <w:r w:rsidRPr="00B45394">
        <w:t xml:space="preserve"> depends on robust masterplanning, environmental safeguards, and infrastructure investment. Each site should be assessed individually to ensure </w:t>
      </w:r>
      <w:r w:rsidRPr="00315EEE">
        <w:t>alignment.</w:t>
      </w:r>
    </w:p>
    <w:p w14:paraId="1D9E4753" w14:textId="77777777" w:rsidR="00327247" w:rsidRPr="00B45394" w:rsidRDefault="00327247" w:rsidP="002D529E">
      <w:pPr>
        <w:pStyle w:val="squarebullets"/>
      </w:pPr>
      <w:r w:rsidRPr="00B45394">
        <w:t>Torquay Gateway (Edginswell): Strategic location with potential for sustainable transport links. Mitigate landscape and biodiversity impacts.</w:t>
      </w:r>
    </w:p>
    <w:p w14:paraId="5C22EF27" w14:textId="77777777" w:rsidR="00327247" w:rsidRPr="00B45394" w:rsidRDefault="00327247" w:rsidP="002D529E">
      <w:pPr>
        <w:pStyle w:val="squarebullets"/>
      </w:pPr>
      <w:r w:rsidRPr="00B45394">
        <w:t>Great Parks (Paignton): Smaller scale</w:t>
      </w:r>
      <w:r w:rsidR="004121BE">
        <w:t xml:space="preserve"> </w:t>
      </w:r>
      <w:r w:rsidRPr="00B45394">
        <w:t>opportunity for community-led design. Ensure integration with existing infrastructure.</w:t>
      </w:r>
    </w:p>
    <w:p w14:paraId="433D8741" w14:textId="77777777" w:rsidR="00327247" w:rsidRPr="00B45394" w:rsidRDefault="00327247" w:rsidP="002D529E">
      <w:pPr>
        <w:pStyle w:val="squarebullets"/>
      </w:pPr>
      <w:r w:rsidRPr="00B45394">
        <w:t>Collaton St Mary: Large site</w:t>
      </w:r>
      <w:r w:rsidR="004121BE">
        <w:t xml:space="preserve"> </w:t>
      </w:r>
      <w:r w:rsidRPr="00B45394">
        <w:t>requires careful phasing and infrastructure planning. High biodiversity sensitivity.</w:t>
      </w:r>
    </w:p>
    <w:p w14:paraId="2A7AAB85" w14:textId="77777777" w:rsidR="009128EF" w:rsidRDefault="00327247" w:rsidP="002D529E">
      <w:pPr>
        <w:pStyle w:val="squarebullets"/>
      </w:pPr>
      <w:r w:rsidRPr="00B45394">
        <w:t>Long Road / White Rock / Inglewood: Potential cumulative impacts due to scale. Coordinate across developments to manage traffic, landscape, and service provision.</w:t>
      </w:r>
    </w:p>
    <w:bookmarkEnd w:id="76"/>
    <w:p w14:paraId="3F12DE2A" w14:textId="77777777" w:rsidR="00B45394" w:rsidRPr="00C229D6" w:rsidRDefault="00B45394" w:rsidP="00112FFE">
      <w:pPr>
        <w:pStyle w:val="Heading4"/>
      </w:pPr>
      <w:r>
        <w:t>Policy</w:t>
      </w:r>
      <w:r w:rsidRPr="00C229D6">
        <w:t xml:space="preserve"> H3</w:t>
      </w:r>
      <w:r>
        <w:t>:</w:t>
      </w:r>
      <w:r w:rsidRPr="00C229D6">
        <w:t xml:space="preserve"> Other Local Plan </w:t>
      </w:r>
      <w:r w:rsidR="00780D92">
        <w:t>A</w:t>
      </w:r>
      <w:r w:rsidRPr="00C229D6">
        <w:t xml:space="preserve">llocated </w:t>
      </w:r>
      <w:r w:rsidR="00780D92">
        <w:t>S</w:t>
      </w:r>
      <w:r w:rsidRPr="00C229D6">
        <w:t>ites</w:t>
      </w:r>
    </w:p>
    <w:p w14:paraId="51E1CAB9" w14:textId="77777777" w:rsidR="00315EEE" w:rsidRDefault="00315EEE" w:rsidP="00497FAA">
      <w:pPr>
        <w:pStyle w:val="Heading3"/>
      </w:pPr>
      <w:bookmarkStart w:id="77" w:name="_Hlk212554534"/>
      <w:r w:rsidRPr="00315EEE">
        <w:t xml:space="preserve">Policy H3 supports many of Torbay’s sustainability objectives, particularly in housing provision, land efficiency, and economic inclusion. Its </w:t>
      </w:r>
      <w:r w:rsidR="00982FB6" w:rsidRPr="00982FB6">
        <w:t>effectiveness</w:t>
      </w:r>
      <w:r w:rsidRPr="00315EEE">
        <w:t xml:space="preserve"> depends on ensuring high-quality design, appropriate density, and strong delivery of affordable housing. Environmental and transport-related risks can be mitigated through careful site planning </w:t>
      </w:r>
      <w:r w:rsidRPr="00315EEE">
        <w:lastRenderedPageBreak/>
        <w:t>and infrastructure investment.</w:t>
      </w:r>
      <w:r w:rsidR="005F0869">
        <w:t xml:space="preserve"> </w:t>
      </w:r>
      <w:r w:rsidR="005F0869" w:rsidRPr="004121BE">
        <w:t xml:space="preserve">Appendix </w:t>
      </w:r>
      <w:r w:rsidR="00EF2756">
        <w:t>D</w:t>
      </w:r>
      <w:r w:rsidR="005F0869" w:rsidRPr="004121BE">
        <w:t xml:space="preserve"> contains the sustainability appraisals for individual </w:t>
      </w:r>
      <w:r w:rsidR="00D36950">
        <w:t xml:space="preserve">housing </w:t>
      </w:r>
      <w:r w:rsidR="005F0869" w:rsidRPr="004121BE">
        <w:t>sites.</w:t>
      </w:r>
    </w:p>
    <w:bookmarkEnd w:id="77"/>
    <w:p w14:paraId="5E2AF066" w14:textId="77777777" w:rsidR="00315EEE" w:rsidRPr="00315EEE" w:rsidRDefault="00315EEE" w:rsidP="00112FFE">
      <w:pPr>
        <w:pStyle w:val="Heading4"/>
      </w:pPr>
      <w:r w:rsidRPr="00315EEE">
        <w:t xml:space="preserve">Policy H4: Minimum </w:t>
      </w:r>
      <w:r w:rsidR="00780D92">
        <w:t>D</w:t>
      </w:r>
      <w:r w:rsidRPr="00315EEE">
        <w:t xml:space="preserve">ensity </w:t>
      </w:r>
    </w:p>
    <w:p w14:paraId="3055670D" w14:textId="77777777" w:rsidR="00315EEE" w:rsidRDefault="00315EEE" w:rsidP="00326CB9">
      <w:pPr>
        <w:pStyle w:val="Heading3"/>
      </w:pPr>
      <w:bookmarkStart w:id="78" w:name="_Hlk212554499"/>
      <w:r w:rsidRPr="00982FB6">
        <w:t xml:space="preserve">Policy H4 aligns well with Torbay’s sustainability objectives, particularly in promoting efficient land use, reducing car dependency, and supporting housing delivery. The key to </w:t>
      </w:r>
      <w:r w:rsidR="00982FB6" w:rsidRPr="00982FB6">
        <w:t>effectiveness</w:t>
      </w:r>
      <w:r w:rsidRPr="00982FB6">
        <w:t xml:space="preserve"> lies in design quality, site selection, and integration of green and transport infrastructure to ensure that higher densities enhance rather than compromise sustainability.</w:t>
      </w:r>
    </w:p>
    <w:p w14:paraId="575F2A13" w14:textId="77777777" w:rsidR="00982FB6" w:rsidRDefault="00982FB6" w:rsidP="00112FFE">
      <w:pPr>
        <w:pStyle w:val="Heading4"/>
      </w:pPr>
      <w:r w:rsidRPr="00982FB6">
        <w:t xml:space="preserve">Policy H5: Conversion of </w:t>
      </w:r>
      <w:r w:rsidR="00780D92">
        <w:t>B</w:t>
      </w:r>
      <w:r w:rsidRPr="00982FB6">
        <w:t xml:space="preserve">uildings into </w:t>
      </w:r>
      <w:r w:rsidR="00780D92">
        <w:t>F</w:t>
      </w:r>
      <w:r w:rsidRPr="00982FB6">
        <w:t>lats</w:t>
      </w:r>
    </w:p>
    <w:p w14:paraId="78DDF843" w14:textId="77777777" w:rsidR="00982FB6" w:rsidRDefault="00982FB6" w:rsidP="00326CB9">
      <w:pPr>
        <w:pStyle w:val="Heading3"/>
      </w:pPr>
      <w:bookmarkStart w:id="79" w:name="_Hlk212554830"/>
      <w:r w:rsidRPr="00982FB6">
        <w:t>Policy H5 supports many sustainability objectives, especially around efficient land use, heritage conservation, and climate mitigation. However, its effectiveness depends on maintaining housing quality, avoiding over-concentration of small units, and ensuring conversions are well-integrated into the community.</w:t>
      </w:r>
    </w:p>
    <w:p w14:paraId="768A089D" w14:textId="77777777" w:rsidR="00982FB6" w:rsidRDefault="00982FB6" w:rsidP="00112FFE">
      <w:pPr>
        <w:pStyle w:val="Heading4"/>
      </w:pPr>
      <w:r w:rsidRPr="00982FB6">
        <w:t xml:space="preserve">Policy H6: Loss of </w:t>
      </w:r>
      <w:r w:rsidR="00780D92">
        <w:t>H</w:t>
      </w:r>
      <w:r w:rsidRPr="00982FB6">
        <w:t>omes</w:t>
      </w:r>
    </w:p>
    <w:p w14:paraId="28796CFE" w14:textId="77777777" w:rsidR="00982FB6" w:rsidRPr="00982FB6" w:rsidRDefault="00982FB6" w:rsidP="00326CB9">
      <w:pPr>
        <w:pStyle w:val="Heading3"/>
      </w:pPr>
      <w:bookmarkStart w:id="80" w:name="_Hlk212555039"/>
      <w:r w:rsidRPr="00982FB6">
        <w:t>Policy H6 is cautiously aligned with sustainability objectives, particularly in protecting heritage, improving accommodation standards, and avoiding unjustified housing loss. Its effectiveness depends on rigorous justification, safeguards against housing undersupply, and ensuring social and environmental benefits are clearly demonstrated.</w:t>
      </w:r>
    </w:p>
    <w:bookmarkEnd w:id="80"/>
    <w:p w14:paraId="55570CC9" w14:textId="77777777" w:rsidR="000359D4" w:rsidRDefault="000359D4" w:rsidP="00112FFE">
      <w:pPr>
        <w:pStyle w:val="Heading4"/>
      </w:pPr>
      <w:r w:rsidRPr="000359D4">
        <w:t>Policy H7: Affordable Housing</w:t>
      </w:r>
    </w:p>
    <w:p w14:paraId="079263EC" w14:textId="77777777" w:rsidR="000359D4" w:rsidRPr="0083442C" w:rsidRDefault="000359D4" w:rsidP="00326CB9">
      <w:pPr>
        <w:pStyle w:val="Heading3"/>
      </w:pPr>
      <w:bookmarkStart w:id="81" w:name="_Hlk212555233"/>
      <w:r w:rsidRPr="0083442C">
        <w:t>Policy H7 is strongly aligned with Torbay’s sustainability objectives, particularly in addressing housing need, reducing inequality, and supporting economic and social wellbeing. Its effectiveness depends on robust viability testing, tenure mix enforcement, and design quality to ensure affordable housing is well-integrated and sustainable.</w:t>
      </w:r>
    </w:p>
    <w:p w14:paraId="1610139A" w14:textId="77777777" w:rsidR="000359D4" w:rsidRPr="000359D4" w:rsidRDefault="000359D4" w:rsidP="00112FFE">
      <w:pPr>
        <w:pStyle w:val="Heading4"/>
      </w:pPr>
      <w:r w:rsidRPr="000359D4">
        <w:t xml:space="preserve">Policy H8: Affordable Housing Exceptions </w:t>
      </w:r>
      <w:r w:rsidR="00780D92">
        <w:t>S</w:t>
      </w:r>
      <w:r w:rsidRPr="000359D4">
        <w:t xml:space="preserve">ites in the Countryside </w:t>
      </w:r>
    </w:p>
    <w:p w14:paraId="01CCBDA3" w14:textId="77777777" w:rsidR="00B45394" w:rsidRPr="000359D4" w:rsidRDefault="000359D4" w:rsidP="00326CB9">
      <w:pPr>
        <w:pStyle w:val="Heading3"/>
      </w:pPr>
      <w:r w:rsidRPr="000951FC">
        <w:t>Policy H8 supports several key sustainability objectives, especially around housing need, economic inclusion, and community wellbeing. However, it poses risks to environmental quality, landscape character, and sustainable transport. These can be mitigated through careful site selection, robust assessments, and sustainable design standards.</w:t>
      </w:r>
      <w:bookmarkEnd w:id="78"/>
      <w:bookmarkEnd w:id="79"/>
      <w:bookmarkEnd w:id="81"/>
    </w:p>
    <w:bookmarkEnd w:id="74"/>
    <w:p w14:paraId="2693BCA8" w14:textId="77777777" w:rsidR="001F7843" w:rsidRDefault="001F7843" w:rsidP="00112FFE">
      <w:pPr>
        <w:pStyle w:val="Heading4"/>
      </w:pPr>
      <w:r w:rsidRPr="00C229D6">
        <w:lastRenderedPageBreak/>
        <w:t>Policy H9</w:t>
      </w:r>
      <w:r>
        <w:t>:</w:t>
      </w:r>
      <w:r w:rsidRPr="00C229D6">
        <w:t xml:space="preserve"> Self-build </w:t>
      </w:r>
      <w:r w:rsidR="00780D92">
        <w:t>H</w:t>
      </w:r>
      <w:r w:rsidRPr="00C229D6">
        <w:t xml:space="preserve">ousing in Future Growth Areas </w:t>
      </w:r>
    </w:p>
    <w:p w14:paraId="0CB9337B" w14:textId="77777777" w:rsidR="001F7843" w:rsidRPr="00BE3CA4" w:rsidRDefault="001F7843" w:rsidP="00326CB9">
      <w:pPr>
        <w:pStyle w:val="Heading3"/>
      </w:pPr>
      <w:r w:rsidRPr="00BE3CA4">
        <w:t>Policy H9 supports sustainable housing by enabling self-build plots within Future Growth Areas. It aligns well with Torbay’s sustainability objectives, particularly in promoting</w:t>
      </w:r>
      <w:r>
        <w:t xml:space="preserve"> h</w:t>
      </w:r>
      <w:r w:rsidRPr="00BE3CA4">
        <w:t>ousing diversity and affordability</w:t>
      </w:r>
      <w:r>
        <w:t>, l</w:t>
      </w:r>
      <w:r w:rsidRPr="00BE3CA4">
        <w:t>ocal economic growth</w:t>
      </w:r>
      <w:r>
        <w:t xml:space="preserve"> and c</w:t>
      </w:r>
      <w:r w:rsidRPr="00BE3CA4">
        <w:t>ommunity empowerment</w:t>
      </w:r>
      <w:r>
        <w:t xml:space="preserve">. </w:t>
      </w:r>
      <w:r w:rsidRPr="00BE3CA4">
        <w:t>However, risks include inconsistent environmental standards and limited transport integration. These can be mitigated by</w:t>
      </w:r>
      <w:r>
        <w:t xml:space="preserve"> s</w:t>
      </w:r>
      <w:r w:rsidRPr="00BE3CA4">
        <w:t>etting minimum energy and design standards</w:t>
      </w:r>
      <w:r>
        <w:t>, r</w:t>
      </w:r>
      <w:r w:rsidRPr="00BE3CA4">
        <w:t>equiring ecological assessments and active travel links</w:t>
      </w:r>
      <w:r>
        <w:t>.</w:t>
      </w:r>
    </w:p>
    <w:p w14:paraId="37F8B3E0" w14:textId="77777777" w:rsidR="001F7843" w:rsidRDefault="001F7843" w:rsidP="00326CB9">
      <w:pPr>
        <w:pStyle w:val="Heading3"/>
      </w:pPr>
      <w:r w:rsidRPr="00BE3CA4">
        <w:t>Overall, Policy H9 contributes positively to a more inclusive and sustainable housing strategy when supported by strong planning controls.</w:t>
      </w:r>
    </w:p>
    <w:p w14:paraId="5B196912" w14:textId="77777777" w:rsidR="000359D4" w:rsidRPr="000359D4" w:rsidRDefault="000359D4" w:rsidP="00112FFE">
      <w:pPr>
        <w:pStyle w:val="Heading4"/>
      </w:pPr>
      <w:r w:rsidRPr="000359D4">
        <w:t xml:space="preserve">Policy H10: Houses in Multiple Occupation (HMOs) </w:t>
      </w:r>
    </w:p>
    <w:p w14:paraId="78E0C96D" w14:textId="77777777" w:rsidR="006635D2" w:rsidRDefault="000359D4" w:rsidP="00326CB9">
      <w:pPr>
        <w:pStyle w:val="Heading3"/>
      </w:pPr>
      <w:bookmarkStart w:id="82" w:name="_Hlk212555795"/>
      <w:r w:rsidRPr="000359D4">
        <w:t>Policy H10 is a balanced approach to managing HMOs in Torbay. It supports</w:t>
      </w:r>
      <w:r>
        <w:t xml:space="preserve"> </w:t>
      </w:r>
      <w:r w:rsidR="006635D2">
        <w:t>a</w:t>
      </w:r>
      <w:r w:rsidRPr="000359D4">
        <w:t>ffordable housing provision</w:t>
      </w:r>
      <w:r>
        <w:t xml:space="preserve">, </w:t>
      </w:r>
      <w:r w:rsidR="006635D2">
        <w:t>e</w:t>
      </w:r>
      <w:r w:rsidRPr="000359D4">
        <w:t>fficient use of existing buildings</w:t>
      </w:r>
      <w:r w:rsidR="006635D2">
        <w:t xml:space="preserve"> and s</w:t>
      </w:r>
      <w:r w:rsidRPr="000359D4">
        <w:t>ustainable transport and infrastructure integration</w:t>
      </w:r>
      <w:r w:rsidR="006635D2">
        <w:t xml:space="preserve">. </w:t>
      </w:r>
    </w:p>
    <w:p w14:paraId="629C5E65" w14:textId="77777777" w:rsidR="000359D4" w:rsidRDefault="000359D4" w:rsidP="00326CB9">
      <w:pPr>
        <w:pStyle w:val="Heading3"/>
      </w:pPr>
      <w:r w:rsidRPr="000359D4">
        <w:t>However, it also introduces risks related to</w:t>
      </w:r>
      <w:r w:rsidR="006635D2">
        <w:t xml:space="preserve"> n</w:t>
      </w:r>
      <w:r w:rsidRPr="000359D4">
        <w:t>eighbourhood amenity</w:t>
      </w:r>
      <w:r w:rsidR="006635D2">
        <w:t>, h</w:t>
      </w:r>
      <w:r w:rsidRPr="000359D4">
        <w:t>ealth and safety</w:t>
      </w:r>
      <w:r w:rsidR="006635D2">
        <w:t xml:space="preserve"> and o</w:t>
      </w:r>
      <w:r w:rsidRPr="000359D4">
        <w:t>ver-concentration in deprived areas</w:t>
      </w:r>
      <w:r w:rsidR="006635D2">
        <w:t xml:space="preserve">. </w:t>
      </w:r>
      <w:r w:rsidRPr="000359D4">
        <w:t>The policy’s criteria-based approach</w:t>
      </w:r>
      <w:r w:rsidR="002E6CDA">
        <w:t xml:space="preserve"> </w:t>
      </w:r>
      <w:r w:rsidRPr="000359D4">
        <w:t>including location, density limits, supervision, and exclusion from tourism zones</w:t>
      </w:r>
      <w:r w:rsidR="00FD3C40">
        <w:t xml:space="preserve"> </w:t>
      </w:r>
      <w:r w:rsidRPr="000359D4">
        <w:t>provides a strong framework for mitigating these risks. With robust enforcement and monitoring, Policy H10 can contribute positively to Torbay’s sustainability goals.</w:t>
      </w:r>
    </w:p>
    <w:p w14:paraId="23DE3604" w14:textId="77777777" w:rsidR="006635D2" w:rsidRPr="006635D2" w:rsidRDefault="006635D2" w:rsidP="00112FFE">
      <w:pPr>
        <w:pStyle w:val="Heading4"/>
      </w:pPr>
      <w:r w:rsidRPr="006635D2">
        <w:t xml:space="preserve">Policy H11: Specialist Housing for </w:t>
      </w:r>
      <w:r w:rsidR="00780D92">
        <w:t>P</w:t>
      </w:r>
      <w:r w:rsidRPr="006635D2">
        <w:t xml:space="preserve">eople in </w:t>
      </w:r>
      <w:r w:rsidR="00780D92">
        <w:t>N</w:t>
      </w:r>
      <w:r w:rsidRPr="006635D2">
        <w:t xml:space="preserve">eed of </w:t>
      </w:r>
      <w:r w:rsidR="00780D92">
        <w:t>C</w:t>
      </w:r>
      <w:r w:rsidRPr="006635D2">
        <w:t xml:space="preserve">are or </w:t>
      </w:r>
      <w:r w:rsidR="00780D92">
        <w:t>S</w:t>
      </w:r>
      <w:r w:rsidRPr="006635D2">
        <w:t>upport</w:t>
      </w:r>
    </w:p>
    <w:p w14:paraId="1ECAEB75" w14:textId="77777777" w:rsidR="006635D2" w:rsidRPr="006635D2" w:rsidRDefault="006635D2" w:rsidP="00326CB9">
      <w:pPr>
        <w:pStyle w:val="Heading3"/>
      </w:pPr>
      <w:bookmarkStart w:id="83" w:name="_Hlk212556132"/>
      <w:r w:rsidRPr="006635D2">
        <w:t>Policy H11 strongly supports Torbay’s sustainability objectives, particularly in</w:t>
      </w:r>
      <w:r>
        <w:t xml:space="preserve"> h</w:t>
      </w:r>
      <w:r w:rsidRPr="006635D2">
        <w:t>ealth and wellbeing</w:t>
      </w:r>
      <w:r>
        <w:t>, s</w:t>
      </w:r>
      <w:r w:rsidRPr="006635D2">
        <w:t>ocial inclusion and equity</w:t>
      </w:r>
      <w:r>
        <w:t xml:space="preserve"> and e</w:t>
      </w:r>
      <w:r w:rsidRPr="006635D2">
        <w:t>fficient land use and community integration</w:t>
      </w:r>
      <w:r>
        <w:t>.</w:t>
      </w:r>
      <w:r w:rsidR="005820B3" w:rsidRPr="005820B3">
        <w:rPr>
          <w:rFonts w:eastAsiaTheme="minorEastAsia"/>
          <w:iCs w:val="0"/>
          <w:szCs w:val="21"/>
        </w:rPr>
        <w:t xml:space="preserve"> </w:t>
      </w:r>
      <w:r w:rsidR="005820B3" w:rsidRPr="005820B3">
        <w:t>policy is especially important given Torbay’s demographic profile, which includes a significantly ageing population, highlighting the need for accessible, inclusive, and adaptable housing solutions that support independent living and community cohesion.</w:t>
      </w:r>
    </w:p>
    <w:p w14:paraId="69B79D3A" w14:textId="77777777" w:rsidR="006635D2" w:rsidRPr="006635D2" w:rsidRDefault="006635D2" w:rsidP="00326CB9">
      <w:pPr>
        <w:pStyle w:val="Heading3"/>
      </w:pPr>
      <w:bookmarkStart w:id="84" w:name="_Hlk212556065"/>
      <w:bookmarkEnd w:id="83"/>
      <w:r w:rsidRPr="006635D2">
        <w:t>The policy promotes</w:t>
      </w:r>
      <w:r>
        <w:t xml:space="preserve"> a</w:t>
      </w:r>
      <w:r w:rsidRPr="006635D2">
        <w:t>ccessible housing design (M4(2) standard)</w:t>
      </w:r>
      <w:r>
        <w:t>, s</w:t>
      </w:r>
      <w:r w:rsidRPr="006635D2">
        <w:t>upport for care-experienced youth and disabled residents</w:t>
      </w:r>
      <w:r>
        <w:t xml:space="preserve"> and l</w:t>
      </w:r>
      <w:r w:rsidRPr="006635D2">
        <w:t>ocal connection prioritisation to manage demand and reduce strain on services</w:t>
      </w:r>
      <w:r>
        <w:t xml:space="preserve">. </w:t>
      </w:r>
      <w:r w:rsidRPr="006635D2">
        <w:t>It also includes mechanisms to</w:t>
      </w:r>
      <w:r>
        <w:t xml:space="preserve"> s</w:t>
      </w:r>
      <w:r w:rsidRPr="006635D2">
        <w:t>ecure financial contributions where developments may increase pressure on local health and social care services</w:t>
      </w:r>
      <w:r>
        <w:t xml:space="preserve"> and e</w:t>
      </w:r>
      <w:r w:rsidRPr="006635D2">
        <w:t>nsure appropriate location and design for specialist housing</w:t>
      </w:r>
      <w:r>
        <w:t>.</w:t>
      </w:r>
    </w:p>
    <w:p w14:paraId="44179CFA" w14:textId="77777777" w:rsidR="006635D2" w:rsidRDefault="006635D2" w:rsidP="00326CB9">
      <w:pPr>
        <w:pStyle w:val="Heading3"/>
      </w:pPr>
      <w:r w:rsidRPr="006635D2">
        <w:lastRenderedPageBreak/>
        <w:t>With robust implementation, Policy H11 can significantly enhance the quality of life for vulnerable residents while contributing to a more inclusive, resilient, and sustainable built environment in Torbay.</w:t>
      </w:r>
    </w:p>
    <w:p w14:paraId="58EDF3AB" w14:textId="77777777" w:rsidR="006635D2" w:rsidRPr="006635D2" w:rsidRDefault="006635D2" w:rsidP="00112FFE">
      <w:pPr>
        <w:pStyle w:val="Heading4"/>
      </w:pPr>
      <w:r w:rsidRPr="006635D2">
        <w:t xml:space="preserve">Policy H12: Proposals </w:t>
      </w:r>
      <w:r w:rsidR="00780D92">
        <w:t>I</w:t>
      </w:r>
      <w:r w:rsidRPr="006635D2">
        <w:t xml:space="preserve">nvolving the </w:t>
      </w:r>
      <w:r w:rsidR="00780D92">
        <w:t>L</w:t>
      </w:r>
      <w:r w:rsidRPr="006635D2">
        <w:t xml:space="preserve">oss of </w:t>
      </w:r>
      <w:r w:rsidR="00780D92">
        <w:t>C</w:t>
      </w:r>
      <w:r w:rsidRPr="006635D2">
        <w:t xml:space="preserve">are </w:t>
      </w:r>
      <w:r w:rsidR="00780D92">
        <w:t>A</w:t>
      </w:r>
      <w:r w:rsidRPr="006635D2">
        <w:t xml:space="preserve">ccommodation </w:t>
      </w:r>
    </w:p>
    <w:p w14:paraId="3BA9C096" w14:textId="77777777" w:rsidR="00A81036" w:rsidRDefault="006635D2" w:rsidP="00326CB9">
      <w:pPr>
        <w:pStyle w:val="Heading3"/>
      </w:pPr>
      <w:bookmarkStart w:id="85" w:name="_Hlk212556472"/>
      <w:r w:rsidRPr="006635D2">
        <w:t>Policy H12 supports Torbay’s sustainability goals by</w:t>
      </w:r>
      <w:r>
        <w:t xml:space="preserve"> e</w:t>
      </w:r>
      <w:r w:rsidRPr="006635D2">
        <w:t>ncouraging the reuse and restoration of underutilized care buildings</w:t>
      </w:r>
      <w:r w:rsidR="00A81036">
        <w:t>, p</w:t>
      </w:r>
      <w:r w:rsidRPr="006635D2">
        <w:t>romoting high-quality residential and employment redevelopment</w:t>
      </w:r>
      <w:r w:rsidR="00A81036">
        <w:t xml:space="preserve"> and i</w:t>
      </w:r>
      <w:r w:rsidRPr="006635D2">
        <w:t>mproving visual amenity and land efficiency</w:t>
      </w:r>
      <w:r w:rsidR="00A81036">
        <w:t xml:space="preserve"> </w:t>
      </w:r>
      <w:r w:rsidRPr="006635D2">
        <w:t>However, the policy must be carefully implemented to avoid</w:t>
      </w:r>
      <w:r w:rsidR="00A81036">
        <w:t xml:space="preserve"> l</w:t>
      </w:r>
      <w:r w:rsidRPr="006635D2">
        <w:t>oss of essential care services</w:t>
      </w:r>
      <w:r w:rsidR="00A81036">
        <w:t xml:space="preserve"> and n</w:t>
      </w:r>
      <w:r w:rsidRPr="006635D2">
        <w:t>egative impacts on vulnerable populations</w:t>
      </w:r>
      <w:r w:rsidR="00A81036">
        <w:t xml:space="preserve">. </w:t>
      </w:r>
    </w:p>
    <w:p w14:paraId="7A4E0FAF" w14:textId="77777777" w:rsidR="006635D2" w:rsidRPr="006635D2" w:rsidRDefault="006635D2" w:rsidP="00326CB9">
      <w:pPr>
        <w:pStyle w:val="Heading3"/>
      </w:pPr>
      <w:r w:rsidRPr="006635D2">
        <w:t xml:space="preserve">Its </w:t>
      </w:r>
      <w:r w:rsidR="00A81036" w:rsidRPr="000359D4">
        <w:t>effectiveness</w:t>
      </w:r>
      <w:r w:rsidRPr="006635D2">
        <w:t xml:space="preserve"> depends on</w:t>
      </w:r>
      <w:r w:rsidR="00A81036">
        <w:t xml:space="preserve"> r</w:t>
      </w:r>
      <w:r w:rsidRPr="006635D2">
        <w:t>obust evidence of surplus care capacity</w:t>
      </w:r>
      <w:r w:rsidR="00A81036">
        <w:t>, s</w:t>
      </w:r>
      <w:r w:rsidRPr="006635D2">
        <w:t>ensitive restoration and design</w:t>
      </w:r>
      <w:r w:rsidR="00A81036">
        <w:t xml:space="preserve"> and b</w:t>
      </w:r>
      <w:r w:rsidRPr="006635D2">
        <w:t>alanced redevelopment that meets local housing and employment needs</w:t>
      </w:r>
      <w:r w:rsidR="00A81036">
        <w:t xml:space="preserve">. </w:t>
      </w:r>
      <w:r w:rsidRPr="006635D2">
        <w:t>With appropriate safeguards, Policy H12 can contribute to a more attractive, efficient, and inclusive urban environment while maintaining support for those in need of care.</w:t>
      </w:r>
    </w:p>
    <w:bookmarkEnd w:id="85"/>
    <w:p w14:paraId="1FBC9A92" w14:textId="77777777" w:rsidR="00A81036" w:rsidRDefault="00A81036" w:rsidP="00112FFE">
      <w:pPr>
        <w:pStyle w:val="Heading4"/>
      </w:pPr>
      <w:r w:rsidRPr="00A81036">
        <w:t xml:space="preserve">Policy H13: Sites for </w:t>
      </w:r>
      <w:r w:rsidR="00780D92">
        <w:t>T</w:t>
      </w:r>
      <w:r w:rsidRPr="00A81036">
        <w:t>ravellers</w:t>
      </w:r>
    </w:p>
    <w:p w14:paraId="21829F65" w14:textId="77777777" w:rsidR="00A81036" w:rsidRPr="00A81036" w:rsidRDefault="00A81036" w:rsidP="00326CB9">
      <w:pPr>
        <w:pStyle w:val="Heading3"/>
      </w:pPr>
      <w:r w:rsidRPr="00A81036">
        <w:t>Policy H13 makes a meaningful contribution to Torbay’s sustainability goals by</w:t>
      </w:r>
      <w:r>
        <w:t xml:space="preserve"> s</w:t>
      </w:r>
      <w:r w:rsidRPr="00A81036">
        <w:t>upporting inclusive housing provision for travelling communities</w:t>
      </w:r>
      <w:r>
        <w:t>, p</w:t>
      </w:r>
      <w:r w:rsidRPr="00A81036">
        <w:t>romoting peaceful coexistence and integration</w:t>
      </w:r>
      <w:r>
        <w:t xml:space="preserve"> and e</w:t>
      </w:r>
      <w:r w:rsidRPr="00A81036">
        <w:t>ncouraging proximity to essential services and sustainable transport</w:t>
      </w:r>
      <w:r>
        <w:t xml:space="preserve">. </w:t>
      </w:r>
      <w:r w:rsidRPr="00A81036">
        <w:t xml:space="preserve">However, its </w:t>
      </w:r>
      <w:r>
        <w:t>effectiveness</w:t>
      </w:r>
      <w:r w:rsidRPr="00A81036">
        <w:t xml:space="preserve"> depends on</w:t>
      </w:r>
      <w:r>
        <w:t xml:space="preserve"> c</w:t>
      </w:r>
      <w:r w:rsidRPr="00A81036">
        <w:t>areful site selection to avoid environmental and community conflicts</w:t>
      </w:r>
      <w:r>
        <w:t>, p</w:t>
      </w:r>
      <w:r w:rsidRPr="00A81036">
        <w:t>rovision of essential infrastructure (water, waste, sanitation)</w:t>
      </w:r>
      <w:r>
        <w:t xml:space="preserve"> and e</w:t>
      </w:r>
      <w:r w:rsidRPr="00A81036">
        <w:t>ffective management and community engagement</w:t>
      </w:r>
      <w:r>
        <w:t>.</w:t>
      </w:r>
    </w:p>
    <w:p w14:paraId="2B299CB1" w14:textId="77777777" w:rsidR="00A81036" w:rsidRPr="00A81036" w:rsidRDefault="00A81036" w:rsidP="00326CB9">
      <w:pPr>
        <w:pStyle w:val="Heading3"/>
      </w:pPr>
      <w:r w:rsidRPr="00A81036">
        <w:t>The policy’s criteria-based approach ensures that proposals are assessed holistically, balancing the needs of travelling communities with environmental protection and neighbourhood amenity. With strong implementation, Policy H13 can foster a more inclusive</w:t>
      </w:r>
      <w:r w:rsidR="002E6CDA">
        <w:t xml:space="preserve"> </w:t>
      </w:r>
      <w:r w:rsidRPr="00A81036">
        <w:t>and sustainable Torbay.</w:t>
      </w:r>
    </w:p>
    <w:p w14:paraId="766CF236" w14:textId="77777777" w:rsidR="00DC0581" w:rsidRDefault="00846D9A" w:rsidP="00112FFE">
      <w:pPr>
        <w:pStyle w:val="Heading2"/>
      </w:pPr>
      <w:bookmarkStart w:id="86" w:name="_Toc215140034"/>
      <w:bookmarkEnd w:id="82"/>
      <w:bookmarkEnd w:id="84"/>
      <w:r w:rsidRPr="00846D9A">
        <w:t xml:space="preserve">Building a </w:t>
      </w:r>
      <w:r w:rsidR="009B3252">
        <w:t>P</w:t>
      </w:r>
      <w:r w:rsidRPr="00846D9A">
        <w:t xml:space="preserve">rosperous and </w:t>
      </w:r>
      <w:r w:rsidR="009B3252">
        <w:t>I</w:t>
      </w:r>
      <w:r w:rsidRPr="00846D9A">
        <w:t xml:space="preserve">nclusive Torbay - Unlocking </w:t>
      </w:r>
      <w:r w:rsidR="009B3252">
        <w:t>O</w:t>
      </w:r>
      <w:r w:rsidRPr="00846D9A">
        <w:t xml:space="preserve">pportunity for </w:t>
      </w:r>
      <w:r w:rsidR="009B3252">
        <w:t>A</w:t>
      </w:r>
      <w:r w:rsidRPr="00846D9A">
        <w:t>ll</w:t>
      </w:r>
      <w:bookmarkEnd w:id="86"/>
    </w:p>
    <w:p w14:paraId="4C94FF7F" w14:textId="77777777" w:rsidR="00780D92" w:rsidRPr="0083442C" w:rsidRDefault="00BC082C" w:rsidP="00326CB9">
      <w:pPr>
        <w:pStyle w:val="Heading5"/>
      </w:pPr>
      <w:r w:rsidRPr="0083442C">
        <w:t xml:space="preserve">Part 1: </w:t>
      </w:r>
      <w:r w:rsidR="00780D92" w:rsidRPr="0083442C">
        <w:t>E</w:t>
      </w:r>
      <w:r w:rsidRPr="0083442C">
        <w:t>conomy</w:t>
      </w:r>
      <w:r w:rsidR="00780D92" w:rsidRPr="0083442C">
        <w:t xml:space="preserve"> Policies</w:t>
      </w:r>
    </w:p>
    <w:p w14:paraId="0B1A8AF9" w14:textId="77777777" w:rsidR="00B664EF" w:rsidRPr="00D05C2B" w:rsidRDefault="00780D92" w:rsidP="00112FFE">
      <w:pPr>
        <w:pStyle w:val="Heading4"/>
      </w:pPr>
      <w:r w:rsidRPr="00D05C2B">
        <w:lastRenderedPageBreak/>
        <w:t>Policy ES: Economic Growth – Torbay Employment and Innovation Strategy</w:t>
      </w:r>
    </w:p>
    <w:p w14:paraId="14523226" w14:textId="77777777" w:rsidR="00780D92" w:rsidRDefault="00780D92" w:rsidP="00326CB9">
      <w:pPr>
        <w:pStyle w:val="Heading3"/>
      </w:pPr>
      <w:r w:rsidRPr="0009467D">
        <w:t>Policy ES aligns well with the objective of supporting sustainable economic growth and reducing income inequality through job creation and regeneration. However, it presents potential challenges to environmental sustainability, particularly in terms of climate change, pollution, and biodiversity. These can be mitigated through careful site selection, sustainable design, and integration of green infrastructure. The policy would benefit from stronger links to sustainable transport, land reuse, and health outcomes to ensure a more balanced contribution to Torbay’s sustainability goals.</w:t>
      </w:r>
    </w:p>
    <w:p w14:paraId="305A9E6B" w14:textId="77777777" w:rsidR="00780D92" w:rsidRPr="00D05C2B" w:rsidRDefault="00780D92" w:rsidP="00112FFE">
      <w:pPr>
        <w:pStyle w:val="Heading4"/>
      </w:pPr>
      <w:r w:rsidRPr="00D05C2B">
        <w:t xml:space="preserve">Policy E1: Strategic Employment Land Allocation </w:t>
      </w:r>
    </w:p>
    <w:p w14:paraId="1F7C34B5" w14:textId="77777777" w:rsidR="00780D92" w:rsidRDefault="00780D92" w:rsidP="003B0D74">
      <w:pPr>
        <w:pStyle w:val="Heading3"/>
      </w:pPr>
      <w:r w:rsidRPr="0009467D">
        <w:t>Policy E1 supports economic growth and employment provision, contributing positively to income inequality and business development. However, it presents potential environmental challenges, particularly in relation to climate change, pollution, and biodiversity. Mitigation measures such as sustainable design, environmental assessments, and integration with transport and housing planning are recommended to ensure alignment with Torbay’s sustainability objectives.</w:t>
      </w:r>
      <w:r w:rsidR="00D36950">
        <w:t xml:space="preserve"> </w:t>
      </w:r>
      <w:r w:rsidR="00D36950" w:rsidRPr="004121BE">
        <w:t xml:space="preserve">Appendix </w:t>
      </w:r>
      <w:r w:rsidR="00D36950">
        <w:t>E</w:t>
      </w:r>
      <w:r w:rsidR="00D36950" w:rsidRPr="004121BE">
        <w:t xml:space="preserve"> contains the sustainability appraisals for individual </w:t>
      </w:r>
      <w:r w:rsidR="00D36950">
        <w:t xml:space="preserve">housing </w:t>
      </w:r>
      <w:r w:rsidR="00D36950" w:rsidRPr="004121BE">
        <w:t>sites.</w:t>
      </w:r>
    </w:p>
    <w:p w14:paraId="7AFEC251" w14:textId="77777777" w:rsidR="00D05C2B" w:rsidRPr="00D05C2B" w:rsidRDefault="00D05C2B" w:rsidP="00112FFE">
      <w:pPr>
        <w:pStyle w:val="Heading4"/>
      </w:pPr>
      <w:r w:rsidRPr="00D05C2B">
        <w:t xml:space="preserve">Policy E2: Employment Area Renewal and Modernisation </w:t>
      </w:r>
    </w:p>
    <w:p w14:paraId="1A7190F8" w14:textId="77777777" w:rsidR="00D05C2B" w:rsidRDefault="00D05C2B" w:rsidP="00326CB9">
      <w:pPr>
        <w:pStyle w:val="Heading3"/>
      </w:pPr>
      <w:r w:rsidRPr="0009467D">
        <w:t>Policy E2 aligns well with sustainability objectives by promoting efficient land use, economic growth, and environmental improvements through refurbishment. It supports job retention and productivity while minimi</w:t>
      </w:r>
      <w:r>
        <w:t>s</w:t>
      </w:r>
      <w:r w:rsidRPr="0009467D">
        <w:t>ing the need for new development. Potential risks to biodiversity and transport sustainability can be mitigated through thoughtful design and planning. The policy contributes positively to Torbay’s sustainability goals.</w:t>
      </w:r>
    </w:p>
    <w:p w14:paraId="11D3312B" w14:textId="77777777" w:rsidR="00D05C2B" w:rsidRPr="00D05C2B" w:rsidRDefault="00D05C2B" w:rsidP="00112FFE">
      <w:pPr>
        <w:pStyle w:val="Heading4"/>
      </w:pPr>
      <w:r w:rsidRPr="00D05C2B">
        <w:t>Policy E</w:t>
      </w:r>
      <w:r w:rsidR="00BC082C">
        <w:t>3</w:t>
      </w:r>
      <w:r w:rsidRPr="00D05C2B">
        <w:t>: Supporting a Sustainable Marine and Coastal Economy</w:t>
      </w:r>
    </w:p>
    <w:p w14:paraId="6E120580" w14:textId="77777777" w:rsidR="00D05C2B" w:rsidRDefault="00D05C2B" w:rsidP="00326CB9">
      <w:pPr>
        <w:pStyle w:val="Heading3"/>
      </w:pPr>
      <w:r w:rsidRPr="0009467D">
        <w:t>Policy E</w:t>
      </w:r>
      <w:r w:rsidR="00BC082C">
        <w:t>3</w:t>
      </w:r>
      <w:r w:rsidRPr="0009467D">
        <w:t xml:space="preserve"> provides strong support for the marine economy and aligns with several sustainability objectives, particularly in promoting economic growth, coastal safety, and social inclusion. However, it presents potential environmental risks, especially to biodiversity and environmental quality. These risks can be mitigated through rigorous environmental assessments, sustainable design, and integration with broader planning frameworks such as the South Marine Plan. Overall, the policy contributes positively to Torbay’s sustainability goals when implemented with appropriate safeguards.</w:t>
      </w:r>
    </w:p>
    <w:p w14:paraId="4469F942" w14:textId="77777777" w:rsidR="00D05C2B" w:rsidRPr="00D05C2B" w:rsidRDefault="00D05C2B" w:rsidP="00112FFE">
      <w:pPr>
        <w:pStyle w:val="Heading4"/>
      </w:pPr>
      <w:r w:rsidRPr="00D05C2B">
        <w:lastRenderedPageBreak/>
        <w:t>Policy E</w:t>
      </w:r>
      <w:r w:rsidR="005A2395">
        <w:t>4</w:t>
      </w:r>
      <w:r w:rsidRPr="00D05C2B">
        <w:t>: Safeguarding Strategic Employment Land</w:t>
      </w:r>
    </w:p>
    <w:p w14:paraId="308C3943" w14:textId="77777777" w:rsidR="00D05C2B" w:rsidRPr="0009467D" w:rsidRDefault="00D05C2B" w:rsidP="00326CB9">
      <w:pPr>
        <w:pStyle w:val="Heading3"/>
      </w:pPr>
      <w:r w:rsidRPr="0009467D">
        <w:t>Policy E</w:t>
      </w:r>
      <w:r w:rsidR="005A2395">
        <w:t>4</w:t>
      </w:r>
      <w:r w:rsidRPr="0009467D">
        <w:t xml:space="preserve"> plays a critical role in safeguarding Torbay’s employment land, especially sites of strategic importance to key economic sectors. Its alignment with sustainability objectives is generally positive, particularly in supporting economic growth, income equality, and biodiversity protection by resisting unnecessary loss of employment space.</w:t>
      </w:r>
    </w:p>
    <w:p w14:paraId="0E7D827B" w14:textId="77777777" w:rsidR="00D05C2B" w:rsidRPr="0009467D" w:rsidRDefault="00D05C2B" w:rsidP="00326CB9">
      <w:pPr>
        <w:pStyle w:val="Heading3"/>
      </w:pPr>
      <w:r w:rsidRPr="0009467D">
        <w:t>However, the policy may present mixed impacts on land efficiency, housing delivery, and urban regeneration flexibility, depending on how strictly employment land is protected.</w:t>
      </w:r>
      <w:r w:rsidR="005820B3" w:rsidRPr="005820B3">
        <w:rPr>
          <w:rFonts w:eastAsiaTheme="minorEastAsia"/>
          <w:iCs w:val="0"/>
          <w:szCs w:val="21"/>
        </w:rPr>
        <w:t xml:space="preserve"> </w:t>
      </w:r>
      <w:r w:rsidR="00630FF7" w:rsidRPr="00630FF7">
        <w:t xml:space="preserve">Additionally, the scope of permitted development rights and the range of Class E commercial </w:t>
      </w:r>
      <w:r w:rsidR="003D4701" w:rsidRPr="00630FF7">
        <w:t>use</w:t>
      </w:r>
      <w:r w:rsidR="00630FF7" w:rsidRPr="00630FF7">
        <w:t xml:space="preserve"> significantly reduce planning control over much of the employment land, potentially limiting strategic oversight and adaptability.</w:t>
      </w:r>
    </w:p>
    <w:p w14:paraId="00035293" w14:textId="77777777" w:rsidR="00D05C2B" w:rsidRDefault="00D05C2B" w:rsidP="00326CB9">
      <w:pPr>
        <w:pStyle w:val="Heading3"/>
      </w:pPr>
      <w:r w:rsidRPr="0009467D">
        <w:t>Mitigation measures such as coordinated planning, adaptive reuse, and financial contributions help balance competing sustainability priorities, ensuring that any loss of employment space is justified and offset.</w:t>
      </w:r>
    </w:p>
    <w:p w14:paraId="1A83731F" w14:textId="77777777" w:rsidR="00D05C2B" w:rsidRPr="00D05C2B" w:rsidRDefault="00D05C2B" w:rsidP="00112FFE">
      <w:pPr>
        <w:pStyle w:val="Heading4"/>
      </w:pPr>
      <w:r w:rsidRPr="00D05C2B">
        <w:t>Policy E</w:t>
      </w:r>
      <w:r w:rsidR="005A2395">
        <w:t>5</w:t>
      </w:r>
      <w:r w:rsidRPr="00D05C2B">
        <w:t>:</w:t>
      </w:r>
      <w:r w:rsidR="005A2395">
        <w:t xml:space="preserve"> </w:t>
      </w:r>
      <w:r w:rsidRPr="00D05C2B">
        <w:t>Education and Local Employment Partnerships</w:t>
      </w:r>
    </w:p>
    <w:p w14:paraId="3FE43C10" w14:textId="77777777" w:rsidR="00D05C2B" w:rsidRPr="005B6548" w:rsidRDefault="00D05C2B" w:rsidP="00326CB9">
      <w:pPr>
        <w:pStyle w:val="Heading3"/>
      </w:pPr>
      <w:r w:rsidRPr="0009467D">
        <w:t>Policy E</w:t>
      </w:r>
      <w:r w:rsidR="005A2395">
        <w:t>5</w:t>
      </w:r>
      <w:r w:rsidRPr="0009467D">
        <w:t xml:space="preserve"> supports the development of skills and employment pathways through local education and training initiatives. It promotes Employment and Skills Plans for major developments and encourages links with local institutions such as South Devon College. The policy aligns well with sustainability objectives related to economic growth, income inequality, and health and wellbeing. While it has limited direct environmental impact, it offers opportunities to integrate sustainability themes into education and training programs.</w:t>
      </w:r>
    </w:p>
    <w:p w14:paraId="31E10446" w14:textId="77777777" w:rsidR="00D05C2B" w:rsidRPr="0083442C" w:rsidRDefault="005A2395" w:rsidP="00326CB9">
      <w:pPr>
        <w:pStyle w:val="Heading5"/>
      </w:pPr>
      <w:r w:rsidRPr="0083442C">
        <w:t xml:space="preserve">Part 2: </w:t>
      </w:r>
      <w:r w:rsidR="00D05C2B" w:rsidRPr="0083442C">
        <w:t>Tourism Policies</w:t>
      </w:r>
    </w:p>
    <w:p w14:paraId="206DB41E" w14:textId="77777777" w:rsidR="00D05C2B" w:rsidRPr="00D05C2B" w:rsidRDefault="00D05C2B" w:rsidP="00112FFE">
      <w:pPr>
        <w:pStyle w:val="Heading4"/>
      </w:pPr>
      <w:r w:rsidRPr="00D05C2B">
        <w:t>Policy TOS: Sustainable Tourism and Cultural Investment Strategy</w:t>
      </w:r>
    </w:p>
    <w:p w14:paraId="2BA3AFB4" w14:textId="77777777" w:rsidR="00D05C2B" w:rsidRDefault="00D05C2B" w:rsidP="00326CB9">
      <w:pPr>
        <w:pStyle w:val="Heading3"/>
      </w:pPr>
      <w:r w:rsidRPr="00651178">
        <w:t>Policy TOS promotes sustainable tourism by modernising facilities, protecting key assets, and encouraging investment in accessible areas. It aligns well with the sustainability objectives by supporting economic growth, biodiversity, and cultural heritage, while improving health and wellbeing. Mitigation measures include ensuring developments avoid ecological harm, enforcing environmental standards, and balancing tourism with housing and community needs.</w:t>
      </w:r>
    </w:p>
    <w:p w14:paraId="419846D6" w14:textId="77777777" w:rsidR="00D05C2B" w:rsidRPr="00D05C2B" w:rsidRDefault="00D05C2B" w:rsidP="00112FFE">
      <w:pPr>
        <w:pStyle w:val="Heading4"/>
      </w:pPr>
      <w:r w:rsidRPr="00D05C2B">
        <w:lastRenderedPageBreak/>
        <w:t>Policy TO1: Supporting Tourism and Leisure Infrastructure</w:t>
      </w:r>
    </w:p>
    <w:p w14:paraId="09E24D4C" w14:textId="77777777" w:rsidR="00D05C2B" w:rsidRDefault="00D05C2B" w:rsidP="00326CB9">
      <w:pPr>
        <w:pStyle w:val="Heading3"/>
      </w:pPr>
      <w:r w:rsidRPr="00B92403">
        <w:t>Policy TO1 supports the improvement and safeguarding of tourism and leisure facilities in Torbay, with a focus on all-weather attractions and environmentally sensitive development. It aligns with many sustainability objectives, particularly in promoting economic growth, protecting biodiversity, and enhancing health and wellbeing. However, careful planning and mitigation are needed to address potential environmental impacts and ensure inclusive benefits.</w:t>
      </w:r>
    </w:p>
    <w:p w14:paraId="49BC1003" w14:textId="77777777" w:rsidR="00D05C2B" w:rsidRPr="00D05C2B" w:rsidRDefault="00D05C2B" w:rsidP="00112FFE">
      <w:pPr>
        <w:pStyle w:val="Heading4"/>
      </w:pPr>
      <w:r w:rsidRPr="00D05C2B">
        <w:t>Policy TO2: Core Tourism Investment Areas</w:t>
      </w:r>
    </w:p>
    <w:p w14:paraId="4EBF0DCB" w14:textId="77777777" w:rsidR="00D05C2B" w:rsidRDefault="00D05C2B" w:rsidP="00326CB9">
      <w:pPr>
        <w:pStyle w:val="Heading3"/>
      </w:pPr>
      <w:r w:rsidRPr="00866D98">
        <w:t>Policy TO2 supports the retention and enhancement of Core Tourism Investment Areas (CTIAs), focusing on preserving the holiday character and promoting tourism-related development. While this approach strengthens the tourism economy and protects key assets, it may pose challenges for flexibility in land use and environmental sensitivity. The policy aligns with several sustainability objectives, particularly in economic growth, heritage protection, and community safety, but requires careful mitigation to address biodiversity, and housing concerns.</w:t>
      </w:r>
    </w:p>
    <w:p w14:paraId="12810242" w14:textId="77777777" w:rsidR="00D05C2B" w:rsidRPr="00D05C2B" w:rsidRDefault="00D05C2B" w:rsidP="00112FFE">
      <w:pPr>
        <w:pStyle w:val="Heading4"/>
      </w:pPr>
      <w:r w:rsidRPr="00D05C2B">
        <w:t>Policy TO3: Re</w:t>
      </w:r>
      <w:r w:rsidR="00D443F1">
        <w:t xml:space="preserve">development and </w:t>
      </w:r>
      <w:r w:rsidR="00A64432">
        <w:t>Reuse</w:t>
      </w:r>
      <w:r w:rsidRPr="00D05C2B">
        <w:t xml:space="preserve"> of Holiday Accommodation </w:t>
      </w:r>
      <w:r w:rsidR="00A64432">
        <w:t>O</w:t>
      </w:r>
      <w:r w:rsidRPr="00D05C2B">
        <w:t>utside Core Tourism Investment Areas and Tourism Regeneration Areas </w:t>
      </w:r>
    </w:p>
    <w:p w14:paraId="7A406BD3" w14:textId="77777777" w:rsidR="00D05C2B" w:rsidRDefault="00D05C2B" w:rsidP="00326CB9">
      <w:pPr>
        <w:pStyle w:val="Heading3"/>
      </w:pPr>
      <w:r w:rsidRPr="00AD3D4A">
        <w:t>Policy TO3 supports the change of use or redevelopment of tourism accommodation outside designated Core Tourism Investment Areas (CTIAs) and Tourism Regeneration Areas, provided it does not undermine the holiday character of Torbay and contributes to regeneration. It promotes high-quality housing and discourages incompatible uses such as HMOs. The policy aligns with several sustainability objectives, particularly in improving the built environment, supporting regeneration, and protecting community character. However, careful planning is needed to mitigate potential environmental and social impacts.</w:t>
      </w:r>
    </w:p>
    <w:p w14:paraId="1475734B" w14:textId="77777777" w:rsidR="00D05C2B" w:rsidRPr="00D05C2B" w:rsidRDefault="00D05C2B" w:rsidP="00112FFE">
      <w:pPr>
        <w:pStyle w:val="Heading4"/>
      </w:pPr>
      <w:r w:rsidRPr="00D05C2B">
        <w:t>Policy TO4:</w:t>
      </w:r>
      <w:r w:rsidR="00A64432">
        <w:t xml:space="preserve"> </w:t>
      </w:r>
      <w:r w:rsidRPr="00D05C2B">
        <w:t>Flexible Use of Holiday Apartments and Accommodation (excluding holiday parks)</w:t>
      </w:r>
    </w:p>
    <w:p w14:paraId="78D4BE9D" w14:textId="77777777" w:rsidR="00D05C2B" w:rsidRDefault="00D05C2B" w:rsidP="00326CB9">
      <w:pPr>
        <w:pStyle w:val="Heading3"/>
      </w:pPr>
      <w:r w:rsidRPr="0074031D">
        <w:t xml:space="preserve">Policy TO4 addresses the use and conversion of self-contained holiday apartments, with a focus on preserving tourism use within Core Tourism Investment Areas (CTIAs) and allowing more flexibility outside of them. The policy supports regeneration and improvement of the built environment while discouraging incompatible uses that may undermine the </w:t>
      </w:r>
      <w:r w:rsidRPr="0074031D">
        <w:lastRenderedPageBreak/>
        <w:t>tourism character of Torbay. It aligns with several sustainability objectives, particularly in promoting land efficiency, economic growth, and safe communities. However, careful consideration is needed to mitigate potential environmental and social impacts.</w:t>
      </w:r>
    </w:p>
    <w:p w14:paraId="14A179FC" w14:textId="77777777" w:rsidR="009B3252" w:rsidRPr="009B3252" w:rsidRDefault="009B3252" w:rsidP="00112FFE">
      <w:pPr>
        <w:pStyle w:val="Heading4"/>
      </w:pPr>
      <w:r w:rsidRPr="009B3252">
        <w:t xml:space="preserve">Policy TO5: New Holiday Parks and </w:t>
      </w:r>
      <w:r w:rsidR="00A64432">
        <w:t>E</w:t>
      </w:r>
      <w:r w:rsidRPr="009B3252">
        <w:t xml:space="preserve">xtensions to </w:t>
      </w:r>
      <w:r w:rsidR="00A64432">
        <w:t>E</w:t>
      </w:r>
      <w:r w:rsidRPr="009B3252">
        <w:t xml:space="preserve">xisting </w:t>
      </w:r>
      <w:r w:rsidR="00A64432">
        <w:t>F</w:t>
      </w:r>
      <w:r w:rsidRPr="009B3252">
        <w:t xml:space="preserve">acilities </w:t>
      </w:r>
    </w:p>
    <w:p w14:paraId="11D17039" w14:textId="77777777" w:rsidR="009B3252" w:rsidRDefault="009B3252" w:rsidP="00326CB9">
      <w:pPr>
        <w:pStyle w:val="Heading3"/>
      </w:pPr>
      <w:r w:rsidRPr="00683C59">
        <w:t>Policy TO5 supports the development and enhancement of holiday parks, recognizing their importance to Torbay’s tourism economy. The policy encourages moderni</w:t>
      </w:r>
      <w:r w:rsidR="006D567D">
        <w:t>s</w:t>
      </w:r>
      <w:r w:rsidRPr="00683C59">
        <w:t>ation while ensuring environmental protection, transport safety, and community amenity. It aligns with sustainability objectives by promoting tourism-led regeneration and requiring safeguards to mitigate potential impacts on sensitive landscapes and biodiversity.</w:t>
      </w:r>
    </w:p>
    <w:p w14:paraId="2ACAEC9C" w14:textId="77777777" w:rsidR="009B3252" w:rsidRPr="009B3252" w:rsidRDefault="009B3252" w:rsidP="00112FFE">
      <w:pPr>
        <w:pStyle w:val="Heading4"/>
      </w:pPr>
      <w:r w:rsidRPr="009B3252">
        <w:t xml:space="preserve">Policy TO6: Change of Use or </w:t>
      </w:r>
      <w:r w:rsidR="00A64432">
        <w:t>R</w:t>
      </w:r>
      <w:r w:rsidRPr="009B3252">
        <w:t>edevelopment of Existing Holiday Parks to Non-Tourism Uses</w:t>
      </w:r>
    </w:p>
    <w:p w14:paraId="45E3F576" w14:textId="77777777" w:rsidR="009B3252" w:rsidRDefault="009B3252" w:rsidP="00326CB9">
      <w:pPr>
        <w:pStyle w:val="Heading3"/>
      </w:pPr>
      <w:r w:rsidRPr="00F04B62">
        <w:t>Policy TO6 addresses the change of use or redevelopment of existing holiday parks to non-tourism uses. It supports redevelopment only when the site is not in a prime tourism location and does not significantly impact Torbay’s tourism offer. The policy emphasi</w:t>
      </w:r>
      <w:r w:rsidR="006D567D">
        <w:t>s</w:t>
      </w:r>
      <w:r w:rsidRPr="00F04B62">
        <w:t>es restoration of sites to nature or open countryside in sensitive areas, aligning with sustainability goals such as landscape protection, biodiversity, and responsible land use. It also promotes accessibility and discourages development that conflicts with environmental and community objectives.</w:t>
      </w:r>
    </w:p>
    <w:p w14:paraId="554C9312" w14:textId="77777777" w:rsidR="009B3252" w:rsidRPr="009B3252" w:rsidRDefault="009B3252" w:rsidP="00112FFE">
      <w:pPr>
        <w:pStyle w:val="Heading4"/>
      </w:pPr>
      <w:r w:rsidRPr="009B3252">
        <w:t xml:space="preserve">Policy TO7: Tourism </w:t>
      </w:r>
      <w:r w:rsidR="00A64432">
        <w:t>I</w:t>
      </w:r>
      <w:r w:rsidRPr="009B3252">
        <w:t xml:space="preserve">nvestment and </w:t>
      </w:r>
      <w:r w:rsidR="00A64432">
        <w:t>M</w:t>
      </w:r>
      <w:r w:rsidRPr="009B3252">
        <w:t xml:space="preserve">onitoring </w:t>
      </w:r>
      <w:r w:rsidR="00A64432">
        <w:t>C</w:t>
      </w:r>
      <w:r w:rsidRPr="009B3252">
        <w:t>ontributions </w:t>
      </w:r>
    </w:p>
    <w:p w14:paraId="75B30642" w14:textId="77777777" w:rsidR="009B3252" w:rsidRDefault="009B3252" w:rsidP="00326CB9">
      <w:pPr>
        <w:pStyle w:val="Heading3"/>
      </w:pPr>
      <w:r w:rsidRPr="00F04B62">
        <w:t>Policy TO7 supports the use of planning contributions to mitigate the impact of tourism-related development, including the loss of tourism facilities and employment, and to fund monitoring of tourism occupancy and compliance. This approach aligns with sustainability objectives by promoting responsible development, protecting environmental assets, and ensuring economic resilience. Contributions are proportionate to the net impact of proposals and may support infrastructure, environmental mitigation, and employment regeneration.</w:t>
      </w:r>
    </w:p>
    <w:p w14:paraId="70040151" w14:textId="77777777" w:rsidR="009B3252" w:rsidRPr="0083442C" w:rsidRDefault="00A64432" w:rsidP="00326CB9">
      <w:pPr>
        <w:pStyle w:val="Heading5"/>
      </w:pPr>
      <w:r w:rsidRPr="0083442C">
        <w:t xml:space="preserve">Part 3: </w:t>
      </w:r>
      <w:r w:rsidR="009B3252" w:rsidRPr="0083442C">
        <w:t>Town Centres Policies</w:t>
      </w:r>
    </w:p>
    <w:p w14:paraId="64B37DA1" w14:textId="77777777" w:rsidR="009B3252" w:rsidRPr="009B3252" w:rsidRDefault="009B3252" w:rsidP="00112FFE">
      <w:pPr>
        <w:pStyle w:val="Heading4"/>
      </w:pPr>
      <w:r w:rsidRPr="009B3252">
        <w:lastRenderedPageBreak/>
        <w:t>Policy TCS: Town Centre Renewal and Retail Strategy</w:t>
      </w:r>
    </w:p>
    <w:p w14:paraId="54E77768" w14:textId="77777777" w:rsidR="009B3252" w:rsidRDefault="009B3252" w:rsidP="00326CB9">
      <w:pPr>
        <w:pStyle w:val="Heading3"/>
      </w:pPr>
      <w:r w:rsidRPr="00A73E68">
        <w:t>Policy TCS promotes a town centre-first approach to retail and mixed-use development in Torbay, focusing on regeneration, investment, and diversification of uses in Torquay, Paignton, and Brixham. It supports sustainable growth by enhancing vitality, encouraging residential development, and preserving heritage assets. The strategy aligns well with sustainability objectives, particularly in promoting economic growth, reducing car dependency, and improving community wellbeing. However, careful planning is needed to mitigate potential environmental impacts and ensure inclusive development.</w:t>
      </w:r>
    </w:p>
    <w:p w14:paraId="4EDCBC87" w14:textId="77777777" w:rsidR="009B3252" w:rsidRPr="009B3252" w:rsidRDefault="009B3252" w:rsidP="00112FFE">
      <w:pPr>
        <w:pStyle w:val="Heading4"/>
      </w:pPr>
      <w:r w:rsidRPr="009B3252">
        <w:t>Policy TC1: Town Centre Hierarchy   </w:t>
      </w:r>
    </w:p>
    <w:p w14:paraId="05396887" w14:textId="77777777" w:rsidR="009B3252" w:rsidRDefault="009B3252" w:rsidP="00326CB9">
      <w:pPr>
        <w:pStyle w:val="Heading3"/>
      </w:pPr>
      <w:r w:rsidRPr="00016BFE">
        <w:t>Policy TC1 establishes a town centre hierarchy that supports retail, leisure, and other main town centre uses in appropriate locations based on their role and scale. It promotes a sequential approach to development, prioritising town centres followed by district and local centres. This strategy aligns well with sustainability objectives by encouraging regeneration, reducing urban sprawl, and supporting local communities. However, careful planning and mitigation are needed to address potential environmental and social impacts.</w:t>
      </w:r>
    </w:p>
    <w:p w14:paraId="066BC296" w14:textId="77777777" w:rsidR="009B3252" w:rsidRPr="009B3252" w:rsidRDefault="009B3252" w:rsidP="00112FFE">
      <w:pPr>
        <w:pStyle w:val="Heading4"/>
      </w:pPr>
      <w:r w:rsidRPr="009B3252">
        <w:t>Policy TC2: Development in Town Centres</w:t>
      </w:r>
    </w:p>
    <w:p w14:paraId="6F14A92A" w14:textId="77777777" w:rsidR="009B3252" w:rsidRDefault="009B3252" w:rsidP="00326CB9">
      <w:pPr>
        <w:pStyle w:val="Heading3"/>
      </w:pPr>
      <w:r w:rsidRPr="00FE3F85">
        <w:t>Policy TC2 supports the regeneration and enhancement of Torquay, Paignton, and Brixham town centres through appropriate retail and town centre developments. It aligns well with sustainability objectives by promoting vitality, improving accessibility, and encouraging environmental improvements. The policy also supports cultural and tourism appeal, active frontages, and safety, contributing to a more inclusive and resilient urban environment.</w:t>
      </w:r>
    </w:p>
    <w:p w14:paraId="06AAA4B3" w14:textId="77777777" w:rsidR="009B3252" w:rsidRPr="009B3252" w:rsidRDefault="009B3252" w:rsidP="00112FFE">
      <w:pPr>
        <w:pStyle w:val="Heading4"/>
      </w:pPr>
      <w:r w:rsidRPr="009B3252">
        <w:t>Policy TC3: District Centres</w:t>
      </w:r>
    </w:p>
    <w:p w14:paraId="5B7D24FE" w14:textId="77777777" w:rsidR="009B3252" w:rsidRPr="0083442C" w:rsidRDefault="009B3252" w:rsidP="00326CB9">
      <w:pPr>
        <w:pStyle w:val="Heading3"/>
      </w:pPr>
      <w:r w:rsidRPr="0083442C">
        <w:t>Policy TC3 supports the development and enhancement of District Centres in Torbay, including St Marychurch, Preston, The Willows, and Devonshire Park. The policy promotes appropriate scale development that sustains local services and facilities, while regulating major proposals to avoid adverse impacts on town centres. It aligns with sustainability objectives by encouraging local accessibility, economic vitality, and environmental considerations, though careful planning is needed to mitigate potential impacts on town centre investment and landscape character.  </w:t>
      </w:r>
    </w:p>
    <w:p w14:paraId="6B01066D" w14:textId="77777777" w:rsidR="009B3252" w:rsidRPr="009B3252" w:rsidRDefault="009B3252" w:rsidP="00112FFE">
      <w:pPr>
        <w:pStyle w:val="Heading4"/>
      </w:pPr>
      <w:r w:rsidRPr="009B3252">
        <w:lastRenderedPageBreak/>
        <w:t>Policy TC4: Supporting Local Centres</w:t>
      </w:r>
    </w:p>
    <w:p w14:paraId="216081DB" w14:textId="77777777" w:rsidR="009B3252" w:rsidRDefault="009B3252" w:rsidP="00326CB9">
      <w:pPr>
        <w:pStyle w:val="Heading3"/>
      </w:pPr>
      <w:r w:rsidRPr="0026372C">
        <w:t>Policy TC4 supports the development of retail and other main town centre uses within Local Centres where they are of an appropriate scale and contribute to local needs. It promotes accessibility and requires impact assessments for larger proposals. The policy aligns with sustainability objectives by encouraging local service provision, reducing travel demand, and protecting town centre vitality. However, careful planning is needed to mitigate potential environmental and social impacts.   </w:t>
      </w:r>
    </w:p>
    <w:p w14:paraId="0E626496" w14:textId="77777777" w:rsidR="009B3252" w:rsidRPr="009B3252" w:rsidRDefault="009B3252" w:rsidP="00112FFE">
      <w:pPr>
        <w:pStyle w:val="Heading4"/>
      </w:pPr>
      <w:r w:rsidRPr="009B3252">
        <w:t xml:space="preserve">Policy TC5: Managing </w:t>
      </w:r>
      <w:r w:rsidR="002341E4">
        <w:t>R</w:t>
      </w:r>
      <w:r w:rsidRPr="009B3252">
        <w:t xml:space="preserve">etail </w:t>
      </w:r>
      <w:r w:rsidR="002341E4">
        <w:t>O</w:t>
      </w:r>
      <w:r w:rsidRPr="009B3252">
        <w:t xml:space="preserve">utside </w:t>
      </w:r>
      <w:r w:rsidR="002341E4">
        <w:t>D</w:t>
      </w:r>
      <w:r w:rsidRPr="009B3252">
        <w:t xml:space="preserve">esignated </w:t>
      </w:r>
      <w:r w:rsidR="002341E4">
        <w:t>C</w:t>
      </w:r>
      <w:r w:rsidRPr="009B3252">
        <w:t>entres</w:t>
      </w:r>
    </w:p>
    <w:p w14:paraId="6FB9808B" w14:textId="77777777" w:rsidR="009B3252" w:rsidRPr="00332886" w:rsidRDefault="009B3252" w:rsidP="00326CB9">
      <w:pPr>
        <w:pStyle w:val="Heading3"/>
      </w:pPr>
      <w:r w:rsidRPr="00332886">
        <w:t>Policy TC5 addresses proposals for retail and other main town centre uses in neighbourhood centres and out-of-centre locations. It applies a sequential and impact test to ensure that such developments do not undermine the vitality and viability of designated town centres. The policy supports development that improves accessibility and social inclusion, while protecting regeneration efforts in core areas. It also provides flexibility for tourism-related uses in Core Tourism Investment Areas without requiring sequential or impact tests. Overall, TC5 aligns with sustainability objectives by promoting balanced growth, protecting town centre vitality, and encouraging accessible and inclusive development.</w:t>
      </w:r>
    </w:p>
    <w:p w14:paraId="3A853B39" w14:textId="77777777" w:rsidR="009B3252" w:rsidRPr="009B3252" w:rsidRDefault="009B3252" w:rsidP="00112FFE">
      <w:pPr>
        <w:pStyle w:val="Heading4"/>
      </w:pPr>
      <w:r w:rsidRPr="009B3252">
        <w:t xml:space="preserve">Policy TC6: Supporting </w:t>
      </w:r>
      <w:r w:rsidR="002341E4">
        <w:t>A</w:t>
      </w:r>
      <w:r w:rsidRPr="009B3252">
        <w:t xml:space="preserve">ccess to </w:t>
      </w:r>
      <w:r w:rsidR="002341E4">
        <w:t>L</w:t>
      </w:r>
      <w:r w:rsidRPr="009B3252">
        <w:t xml:space="preserve">ocal </w:t>
      </w:r>
      <w:r w:rsidR="002341E4">
        <w:t>R</w:t>
      </w:r>
      <w:r w:rsidRPr="009B3252">
        <w:t xml:space="preserve">etail </w:t>
      </w:r>
      <w:r w:rsidR="002341E4">
        <w:t>S</w:t>
      </w:r>
      <w:r w:rsidRPr="009B3252">
        <w:t>ervice</w:t>
      </w:r>
    </w:p>
    <w:p w14:paraId="243DD4BF" w14:textId="77777777" w:rsidR="009B3252" w:rsidRDefault="009B3252" w:rsidP="00326CB9">
      <w:pPr>
        <w:pStyle w:val="Heading3"/>
      </w:pPr>
      <w:r w:rsidRPr="00A02457">
        <w:t>Policy TC6 supports the introduction of new corner shops, village shops, and facilities serving isolated communities to enhance the sustainability of local areas. By limiting the scale to 280 sq m gross external area, it ensures that such developments remain appropriate to local needs. This policy aligns well with sustainability objectives by promoting local access to goods and services, reducing travel demand, and supporting community cohesion. However, careful consideration is needed to avoid environmental impacts and ensure accessibility.</w:t>
      </w:r>
    </w:p>
    <w:p w14:paraId="73177176" w14:textId="77777777" w:rsidR="009B3252" w:rsidRPr="009B3252" w:rsidRDefault="009B3252" w:rsidP="00112FFE">
      <w:pPr>
        <w:pStyle w:val="Heading4"/>
      </w:pPr>
      <w:r w:rsidRPr="009B3252">
        <w:t xml:space="preserve">Policy TC7: Change of </w:t>
      </w:r>
      <w:r w:rsidR="002341E4">
        <w:t>U</w:t>
      </w:r>
      <w:r w:rsidRPr="009B3252">
        <w:t xml:space="preserve">se </w:t>
      </w:r>
      <w:r w:rsidR="002341E4">
        <w:t>A</w:t>
      </w:r>
      <w:r w:rsidRPr="009B3252">
        <w:t xml:space="preserve">way from </w:t>
      </w:r>
      <w:r w:rsidR="002341E4">
        <w:t>M</w:t>
      </w:r>
      <w:r w:rsidRPr="009B3252">
        <w:t xml:space="preserve">ain </w:t>
      </w:r>
      <w:r w:rsidR="002341E4">
        <w:t>T</w:t>
      </w:r>
      <w:r w:rsidRPr="009B3252">
        <w:t xml:space="preserve">own </w:t>
      </w:r>
      <w:r w:rsidR="002341E4">
        <w:t>C</w:t>
      </w:r>
      <w:r w:rsidRPr="009B3252">
        <w:t xml:space="preserve">entre </w:t>
      </w:r>
      <w:r w:rsidR="002341E4">
        <w:t>U</w:t>
      </w:r>
      <w:r w:rsidRPr="009B3252">
        <w:t>ses in Town, District or Local Centres </w:t>
      </w:r>
    </w:p>
    <w:p w14:paraId="6568A00B" w14:textId="77777777" w:rsidR="009B3252" w:rsidRDefault="009B3252" w:rsidP="00326CB9">
      <w:pPr>
        <w:pStyle w:val="Heading3"/>
      </w:pPr>
      <w:r w:rsidRPr="00A02457">
        <w:t xml:space="preserve">Policy TC7 supports the retention of active commercial frontages and main town centre uses in designated centres, while allowing residential and other uses where they do not undermine the vitality and viability of the centre. It aligns with sustainability objectives by </w:t>
      </w:r>
      <w:r w:rsidRPr="00A02457">
        <w:lastRenderedPageBreak/>
        <w:t>promoting regeneration, maintaining community services, and encouraging mixed-use development. However, careful consideration is needed to avoid fragmentation of commercial areas and ensure compatibility with existing uses.</w:t>
      </w:r>
    </w:p>
    <w:p w14:paraId="79D0C0A7" w14:textId="77777777" w:rsidR="009B3252" w:rsidRPr="009B3252" w:rsidRDefault="009B3252" w:rsidP="00112FFE">
      <w:pPr>
        <w:pStyle w:val="Heading4"/>
      </w:pPr>
      <w:r w:rsidRPr="009B3252">
        <w:t xml:space="preserve">Policy TC8: Change of </w:t>
      </w:r>
      <w:r w:rsidR="002341E4">
        <w:t>U</w:t>
      </w:r>
      <w:r w:rsidRPr="009B3252">
        <w:t xml:space="preserve">se </w:t>
      </w:r>
      <w:r w:rsidR="002341E4">
        <w:t>A</w:t>
      </w:r>
      <w:r w:rsidRPr="009B3252">
        <w:t xml:space="preserve">way from </w:t>
      </w:r>
      <w:r w:rsidR="002341E4">
        <w:t>M</w:t>
      </w:r>
      <w:r w:rsidRPr="009B3252">
        <w:t xml:space="preserve">ain </w:t>
      </w:r>
      <w:r w:rsidR="002341E4">
        <w:t>T</w:t>
      </w:r>
      <w:r w:rsidRPr="009B3252">
        <w:t xml:space="preserve">own </w:t>
      </w:r>
      <w:r w:rsidR="002341E4">
        <w:t>C</w:t>
      </w:r>
      <w:r w:rsidRPr="009B3252">
        <w:t xml:space="preserve">entre </w:t>
      </w:r>
      <w:r w:rsidR="002341E4">
        <w:t>U</w:t>
      </w:r>
      <w:r w:rsidRPr="009B3252">
        <w:t xml:space="preserve">ses </w:t>
      </w:r>
      <w:r w:rsidR="002341E4">
        <w:t>O</w:t>
      </w:r>
      <w:r w:rsidRPr="009B3252">
        <w:t>utside Town, District or Local Centres</w:t>
      </w:r>
    </w:p>
    <w:p w14:paraId="587BADC5" w14:textId="77777777" w:rsidR="009B3252" w:rsidRPr="00EB7149" w:rsidRDefault="009B3252" w:rsidP="00326CB9">
      <w:pPr>
        <w:pStyle w:val="Heading3"/>
      </w:pPr>
      <w:r w:rsidRPr="00EB7149">
        <w:t>Policy TC8 supports the retention of local convenience stores and essential services in neighbourhood and out-of-centre locations, while allowing change of use where alternative provision exists or continued operation is unviable. This approach contributes to sustainability by promoting local access to services, reducing car dependency, and supporting community cohesion. However, careful consideration is needed to avoid loss of vital amenities and ensure restored buildings contribute positively to the built environment.</w:t>
      </w:r>
    </w:p>
    <w:p w14:paraId="1BC63603" w14:textId="77777777" w:rsidR="009B3252" w:rsidRPr="009B3252" w:rsidRDefault="009B3252" w:rsidP="00112FFE">
      <w:pPr>
        <w:pStyle w:val="Heading4"/>
      </w:pPr>
      <w:r w:rsidRPr="009B3252">
        <w:t>Policy TC9: Town Centre Regeneration Contributions (New Policy) </w:t>
      </w:r>
    </w:p>
    <w:p w14:paraId="1E12C398" w14:textId="77777777" w:rsidR="009B3252" w:rsidRDefault="009B3252" w:rsidP="00326CB9">
      <w:pPr>
        <w:pStyle w:val="Heading3"/>
      </w:pPr>
      <w:r w:rsidRPr="00880078">
        <w:t>Policy TC9 supports the mitigation of less-than-significant adverse impacts on town centres through contributions to regeneration projects. This approach aligns with sustainability objectives by promoting economic resilience, enhancing urban environments, and supporting inclusive growth. It ensures that developments contributing to town centre decline also support their revitalisation, balancing growth with sustainability.</w:t>
      </w:r>
    </w:p>
    <w:p w14:paraId="50E66207" w14:textId="77777777" w:rsidR="009B3252" w:rsidRPr="009B3252" w:rsidRDefault="009B3252" w:rsidP="00112FFE">
      <w:pPr>
        <w:pStyle w:val="Heading4"/>
      </w:pPr>
      <w:r w:rsidRPr="009B3252">
        <w:t xml:space="preserve">Policy TC10: Safe and </w:t>
      </w:r>
      <w:r w:rsidR="002341E4">
        <w:t>W</w:t>
      </w:r>
      <w:r w:rsidRPr="009B3252">
        <w:t xml:space="preserve">elcoming </w:t>
      </w:r>
      <w:r w:rsidR="002341E4">
        <w:t>T</w:t>
      </w:r>
      <w:r w:rsidRPr="009B3252">
        <w:t xml:space="preserve">own </w:t>
      </w:r>
      <w:r w:rsidR="002341E4">
        <w:t>C</w:t>
      </w:r>
      <w:r w:rsidRPr="009B3252">
        <w:t xml:space="preserve">entres for </w:t>
      </w:r>
      <w:r w:rsidR="002341E4">
        <w:t>A</w:t>
      </w:r>
      <w:r w:rsidRPr="009B3252">
        <w:t>ll</w:t>
      </w:r>
    </w:p>
    <w:p w14:paraId="314B8F25" w14:textId="77777777" w:rsidR="00780D92" w:rsidRPr="00780D92" w:rsidRDefault="009B3252" w:rsidP="00326CB9">
      <w:pPr>
        <w:pStyle w:val="Heading3"/>
      </w:pPr>
      <w:r w:rsidRPr="00E55EBD">
        <w:t>Policy TC10 supports the creation of safe, inclusive, and vibrant town centres, harbourside, and waterfront areas in Torbay. It promotes development that enhances the daytime and nighttime economy while addressing concerns related to crime, anti-social behaviour, and residential amenity. The policy aligns well with sustainability objectives by fostering social inclusion, improving public safety, and encouraging environmental improvements. However, careful management and mitigation measures are necessary to balance economic activity with community wellbeing.</w:t>
      </w:r>
    </w:p>
    <w:p w14:paraId="3ABF47CC" w14:textId="77777777" w:rsidR="00846D9A" w:rsidRDefault="00846D9A" w:rsidP="00112FFE">
      <w:pPr>
        <w:pStyle w:val="Heading2"/>
      </w:pPr>
      <w:bookmarkStart w:id="87" w:name="_Toc215140035"/>
      <w:r w:rsidRPr="00846D9A">
        <w:lastRenderedPageBreak/>
        <w:t>Thriving communities - Wellbeing, safety and belonging</w:t>
      </w:r>
      <w:bookmarkEnd w:id="87"/>
      <w:r w:rsidR="00DC0581">
        <w:t xml:space="preserve"> </w:t>
      </w:r>
    </w:p>
    <w:p w14:paraId="57323047" w14:textId="77777777" w:rsidR="00500DA2" w:rsidRPr="00500DA2" w:rsidRDefault="00500DA2" w:rsidP="00112FFE">
      <w:pPr>
        <w:pStyle w:val="Heading4"/>
      </w:pPr>
      <w:bookmarkStart w:id="88" w:name="_Toc209174917"/>
      <w:r w:rsidRPr="00500DA2">
        <w:t>Policy SCS</w:t>
      </w:r>
      <w:r>
        <w:t>:</w:t>
      </w:r>
      <w:r w:rsidRPr="00500DA2">
        <w:t xml:space="preserve"> Sustainable</w:t>
      </w:r>
      <w:r w:rsidRPr="00500DA2">
        <w:rPr>
          <w:rFonts w:asciiTheme="minorHAnsi" w:eastAsiaTheme="minorEastAsia" w:hAnsiTheme="minorHAnsi" w:cstheme="minorBidi"/>
          <w:color w:val="auto"/>
          <w:sz w:val="24"/>
          <w:szCs w:val="21"/>
        </w:rPr>
        <w:t xml:space="preserve"> </w:t>
      </w:r>
      <w:r w:rsidRPr="00500DA2">
        <w:t xml:space="preserve">and </w:t>
      </w:r>
      <w:r>
        <w:t>I</w:t>
      </w:r>
      <w:r w:rsidRPr="00500DA2">
        <w:t>nclusive Communities Strategy</w:t>
      </w:r>
      <w:bookmarkEnd w:id="88"/>
    </w:p>
    <w:p w14:paraId="3B730576" w14:textId="77777777" w:rsidR="00500DA2" w:rsidRDefault="00500DA2" w:rsidP="00326CB9">
      <w:pPr>
        <w:pStyle w:val="Heading3"/>
      </w:pPr>
      <w:r w:rsidRPr="002910AE">
        <w:t xml:space="preserve">Policy SCS </w:t>
      </w:r>
      <w:r w:rsidRPr="00B50501">
        <w:t xml:space="preserve">aligns well with most sustainability objectives, particularly in areas of social inclusion, economic regeneration, and community cohesion. </w:t>
      </w:r>
      <w:r w:rsidRPr="002910AE">
        <w:t>It is expected to significantly improve health and wellbeing by promoting high-quality environments and ensuring access to open spaces and recreational facilities</w:t>
      </w:r>
      <w:r>
        <w:t xml:space="preserve"> </w:t>
      </w:r>
      <w:r w:rsidRPr="002910AE">
        <w:t>key to reducing health inequalities and encouraging active lifestyles.</w:t>
      </w:r>
      <w:r>
        <w:t xml:space="preserve"> </w:t>
      </w:r>
      <w:r w:rsidRPr="002910AE">
        <w:t>The policy aims to reduce disparities between neighbourhoods by supporting safe, accessible, and well-connected communities, which can help lower crime and fear of crime.</w:t>
      </w:r>
    </w:p>
    <w:p w14:paraId="46A54866" w14:textId="77777777" w:rsidR="00500DA2" w:rsidRPr="00500DA2" w:rsidRDefault="00500DA2" w:rsidP="00112FFE">
      <w:pPr>
        <w:pStyle w:val="Heading4"/>
      </w:pPr>
      <w:bookmarkStart w:id="89" w:name="_Toc209174918"/>
      <w:r w:rsidRPr="00500DA2">
        <w:t>Policy SC</w:t>
      </w:r>
      <w:r>
        <w:t>1:</w:t>
      </w:r>
      <w:r w:rsidRPr="00500DA2">
        <w:t xml:space="preserve"> Public Health</w:t>
      </w:r>
      <w:bookmarkEnd w:id="89"/>
      <w:r w:rsidRPr="00500DA2">
        <w:t xml:space="preserve"> and wellbeing</w:t>
      </w:r>
    </w:p>
    <w:p w14:paraId="4DD7444D" w14:textId="77777777" w:rsidR="00500DA2" w:rsidRPr="00914917" w:rsidRDefault="00500DA2" w:rsidP="00326CB9">
      <w:pPr>
        <w:pStyle w:val="Heading3"/>
      </w:pPr>
      <w:r w:rsidRPr="00914917">
        <w:t>Policy SC</w:t>
      </w:r>
      <w:r>
        <w:t>1</w:t>
      </w:r>
      <w:r w:rsidRPr="00914917">
        <w:t xml:space="preserve"> performs particularly well in relation to social and health outcomes. It is expected to have a </w:t>
      </w:r>
      <w:r w:rsidRPr="00FA6317">
        <w:t>positive impact on public health</w:t>
      </w:r>
      <w:r w:rsidRPr="00914917">
        <w:t xml:space="preserve"> by improving access to health facilities, promoting healthy living, and requiring Health Impact Assessments (HIA) for developments</w:t>
      </w:r>
      <w:r w:rsidRPr="00FA6317">
        <w:t xml:space="preserve"> that could potentially to give rise to significant health impacts</w:t>
      </w:r>
      <w:r w:rsidRPr="00914917">
        <w:t xml:space="preserve">. These measures are likely to </w:t>
      </w:r>
      <w:r w:rsidRPr="00FA6317">
        <w:t>reduce health inequalities</w:t>
      </w:r>
      <w:r w:rsidRPr="00914917">
        <w:t xml:space="preserve"> and support </w:t>
      </w:r>
      <w:r w:rsidRPr="00FA6317">
        <w:t>healthier lifestyles</w:t>
      </w:r>
      <w:r w:rsidRPr="00914917">
        <w:t>.</w:t>
      </w:r>
    </w:p>
    <w:p w14:paraId="5664103E" w14:textId="77777777" w:rsidR="00500DA2" w:rsidRPr="00914917" w:rsidRDefault="00500DA2" w:rsidP="00326CB9">
      <w:pPr>
        <w:pStyle w:val="Heading3"/>
      </w:pPr>
      <w:r w:rsidRPr="00914917">
        <w:t>The policy also contributes to minimising pollution, further enhancing health outcomes. By requiring well-located and well-designed developments</w:t>
      </w:r>
      <w:r>
        <w:t xml:space="preserve"> </w:t>
      </w:r>
      <w:r w:rsidRPr="00914917">
        <w:t>including sport, play, and open spaces</w:t>
      </w:r>
      <w:r>
        <w:t xml:space="preserve"> </w:t>
      </w:r>
      <w:r w:rsidRPr="00914917">
        <w:t>it supports the delivery of social infrastructure and fosters stronger, more vibrant communities.</w:t>
      </w:r>
    </w:p>
    <w:p w14:paraId="57D0054C" w14:textId="77777777" w:rsidR="00500DA2" w:rsidRDefault="00500DA2" w:rsidP="00326CB9">
      <w:pPr>
        <w:pStyle w:val="Heading3"/>
      </w:pPr>
      <w:r w:rsidRPr="00A17B6F">
        <w:t>Overall, SC1 is a well-rounded policy with strong alignment to public health and social sustainability, and moderate alignment to environmental goals.</w:t>
      </w:r>
    </w:p>
    <w:p w14:paraId="6268083A" w14:textId="77777777" w:rsidR="00500DA2" w:rsidRPr="00500DA2" w:rsidRDefault="00500DA2" w:rsidP="00112FFE">
      <w:pPr>
        <w:pStyle w:val="Heading4"/>
      </w:pPr>
      <w:bookmarkStart w:id="90" w:name="_Toc209174919"/>
      <w:r w:rsidRPr="00500DA2">
        <w:t>Policy SC2</w:t>
      </w:r>
      <w:r>
        <w:t>:</w:t>
      </w:r>
      <w:r w:rsidRPr="00500DA2">
        <w:t xml:space="preserve"> Sport, Leisure and Recreation</w:t>
      </w:r>
      <w:bookmarkEnd w:id="90"/>
      <w:r w:rsidRPr="00500DA2">
        <w:t xml:space="preserve"> </w:t>
      </w:r>
      <w:r w:rsidR="0089247F">
        <w:t>f</w:t>
      </w:r>
      <w:r w:rsidR="0089247F" w:rsidRPr="0089247F">
        <w:t xml:space="preserve">or </w:t>
      </w:r>
      <w:r w:rsidR="0089247F">
        <w:t>H</w:t>
      </w:r>
      <w:r w:rsidR="0089247F" w:rsidRPr="0089247F">
        <w:t xml:space="preserve">ealthy </w:t>
      </w:r>
      <w:r w:rsidR="0089247F">
        <w:t>L</w:t>
      </w:r>
      <w:r w:rsidR="0089247F" w:rsidRPr="0089247F">
        <w:t>iving</w:t>
      </w:r>
    </w:p>
    <w:p w14:paraId="4C108E2F" w14:textId="77777777" w:rsidR="00500DA2" w:rsidRPr="008E2D73" w:rsidRDefault="00500DA2" w:rsidP="00326CB9">
      <w:pPr>
        <w:pStyle w:val="Heading3"/>
      </w:pPr>
      <w:r w:rsidRPr="008E2D73">
        <w:t>Policy SC</w:t>
      </w:r>
      <w:r>
        <w:t>2</w:t>
      </w:r>
      <w:r w:rsidRPr="008E2D73">
        <w:t xml:space="preserve"> has a strong positive impact on health-related objectives, including health equity and active lifestyles. It improves access to health services and facilities, promotes healthy living, and requires Health Impact Assessments for</w:t>
      </w:r>
      <w:r w:rsidRPr="00914917">
        <w:t xml:space="preserve"> developments</w:t>
      </w:r>
      <w:r w:rsidRPr="00FA6317">
        <w:t xml:space="preserve"> that could potentially to give rise to significant health impacts</w:t>
      </w:r>
      <w:r w:rsidRPr="008E2D73">
        <w:t>.</w:t>
      </w:r>
    </w:p>
    <w:p w14:paraId="322B773E" w14:textId="77777777" w:rsidR="00500DA2" w:rsidRDefault="00500DA2" w:rsidP="00326CB9">
      <w:pPr>
        <w:pStyle w:val="Heading3"/>
      </w:pPr>
      <w:r w:rsidRPr="008E2D73">
        <w:t xml:space="preserve">The policy also supports better air quality, reduced car travel, and lower greenhouse gas emissions, contributing to climate resilience and improved access to services. Its emphasis </w:t>
      </w:r>
      <w:r w:rsidRPr="008E2D73">
        <w:lastRenderedPageBreak/>
        <w:t>on sport and leisure facilities benefits both residents and tourists, positively impacting the local tourism industry.</w:t>
      </w:r>
    </w:p>
    <w:p w14:paraId="488A5B04" w14:textId="77777777" w:rsidR="00500DA2" w:rsidRPr="00500DA2" w:rsidRDefault="00500DA2" w:rsidP="00112FFE">
      <w:pPr>
        <w:pStyle w:val="Heading4"/>
      </w:pPr>
      <w:bookmarkStart w:id="91" w:name="_Toc209174920"/>
      <w:r w:rsidRPr="00500DA2">
        <w:t>Policy SC3</w:t>
      </w:r>
      <w:r w:rsidR="0089247F">
        <w:t>:</w:t>
      </w:r>
      <w:r w:rsidRPr="00500DA2">
        <w:t xml:space="preserve"> </w:t>
      </w:r>
      <w:bookmarkEnd w:id="91"/>
      <w:r w:rsidR="0089247F" w:rsidRPr="0089247F">
        <w:t xml:space="preserve">Education </w:t>
      </w:r>
      <w:r w:rsidR="0089247F">
        <w:t>I</w:t>
      </w:r>
      <w:r w:rsidR="0089247F" w:rsidRPr="0089247F">
        <w:t xml:space="preserve">nfrastructure and </w:t>
      </w:r>
      <w:r w:rsidR="0089247F">
        <w:t>I</w:t>
      </w:r>
      <w:r w:rsidR="0089247F" w:rsidRPr="0089247F">
        <w:t xml:space="preserve">nclusive </w:t>
      </w:r>
      <w:r w:rsidR="0089247F">
        <w:t>L</w:t>
      </w:r>
      <w:r w:rsidR="0089247F" w:rsidRPr="0089247F">
        <w:t xml:space="preserve">earning </w:t>
      </w:r>
      <w:r w:rsidR="0089247F">
        <w:t>S</w:t>
      </w:r>
      <w:r w:rsidR="0089247F" w:rsidRPr="0089247F">
        <w:t>trategy</w:t>
      </w:r>
    </w:p>
    <w:p w14:paraId="7ED28BF4" w14:textId="77777777" w:rsidR="00500DA2" w:rsidRDefault="00500DA2" w:rsidP="00326CB9">
      <w:pPr>
        <w:pStyle w:val="Heading3"/>
      </w:pPr>
      <w:r w:rsidRPr="00B0569A">
        <w:t xml:space="preserve">Policy SC3 demonstrates strong alignment with sustainability objectives related to education, social inclusion, and economic development. It supports improved access to quality education, promotes strategic site planning, and contributes to community wellbeing. </w:t>
      </w:r>
    </w:p>
    <w:p w14:paraId="6E50183B" w14:textId="77777777" w:rsidR="00500DA2" w:rsidRPr="00500DA2" w:rsidRDefault="00500DA2" w:rsidP="00112FFE">
      <w:pPr>
        <w:pStyle w:val="Heading4"/>
      </w:pPr>
      <w:bookmarkStart w:id="92" w:name="_Toc209174921"/>
      <w:r w:rsidRPr="00500DA2">
        <w:t>Policy SC4</w:t>
      </w:r>
      <w:r w:rsidR="0089247F">
        <w:t>:</w:t>
      </w:r>
      <w:r w:rsidRPr="00500DA2">
        <w:t xml:space="preserve"> Sustainable Food Production</w:t>
      </w:r>
      <w:bookmarkEnd w:id="92"/>
      <w:r w:rsidRPr="00500DA2">
        <w:t xml:space="preserve"> </w:t>
      </w:r>
      <w:r w:rsidR="0089247F" w:rsidRPr="0089247F">
        <w:t xml:space="preserve">and </w:t>
      </w:r>
      <w:r w:rsidR="0089247F">
        <w:t>L</w:t>
      </w:r>
      <w:r w:rsidR="0089247F" w:rsidRPr="0089247F">
        <w:t xml:space="preserve">and </w:t>
      </w:r>
      <w:r w:rsidR="0089247F">
        <w:t>P</w:t>
      </w:r>
      <w:r w:rsidR="0089247F" w:rsidRPr="0089247F">
        <w:t>rotection</w:t>
      </w:r>
    </w:p>
    <w:p w14:paraId="11BE94BC" w14:textId="77777777" w:rsidR="00500DA2" w:rsidRDefault="00500DA2" w:rsidP="00326CB9">
      <w:pPr>
        <w:pStyle w:val="Heading3"/>
      </w:pPr>
      <w:r w:rsidRPr="003C1C32">
        <w:t>Policy SC4 demonstrates strong alignment with sustainability objectives related to health, social equity, and environmental quality. It promotes local food production, protects valuable agricultural land, and encourages integration of edible landscaping and growing spaces in residential developments. However, it could be strengthened by clearer links to waste management practices and climate adaptation strategies. Overall, SC4 is a well-rounded policy that supports sustainable communities through food resilience and inclusive access to healthy food.</w:t>
      </w:r>
    </w:p>
    <w:p w14:paraId="575CA92B" w14:textId="77777777" w:rsidR="0089247F" w:rsidRDefault="00500DA2" w:rsidP="00112FFE">
      <w:pPr>
        <w:pStyle w:val="Heading4"/>
      </w:pPr>
      <w:bookmarkStart w:id="93" w:name="_Toc209174922"/>
      <w:r w:rsidRPr="00500DA2">
        <w:t>Policy SC5</w:t>
      </w:r>
      <w:r w:rsidR="0089247F">
        <w:t>:</w:t>
      </w:r>
      <w:r w:rsidRPr="00500DA2">
        <w:t xml:space="preserve"> </w:t>
      </w:r>
      <w:bookmarkEnd w:id="93"/>
      <w:r w:rsidR="0089247F" w:rsidRPr="0089247F">
        <w:t xml:space="preserve">Community </w:t>
      </w:r>
      <w:r w:rsidR="0089247F">
        <w:t>F</w:t>
      </w:r>
      <w:r w:rsidR="0089247F" w:rsidRPr="0089247F">
        <w:t xml:space="preserve">acilities, </w:t>
      </w:r>
      <w:r w:rsidR="0089247F">
        <w:t>I</w:t>
      </w:r>
      <w:r w:rsidR="0089247F" w:rsidRPr="0089247F">
        <w:t xml:space="preserve">nfrastructure </w:t>
      </w:r>
      <w:r w:rsidR="0089247F">
        <w:t>P</w:t>
      </w:r>
      <w:r w:rsidR="0089247F" w:rsidRPr="0089247F">
        <w:t xml:space="preserve">rovision and </w:t>
      </w:r>
      <w:r w:rsidR="0089247F">
        <w:t>D</w:t>
      </w:r>
      <w:r w:rsidR="0089247F" w:rsidRPr="0089247F">
        <w:t xml:space="preserve">eveloper </w:t>
      </w:r>
      <w:r w:rsidR="0089247F">
        <w:t>C</w:t>
      </w:r>
      <w:r w:rsidR="0089247F" w:rsidRPr="0089247F">
        <w:t>ontributions</w:t>
      </w:r>
    </w:p>
    <w:p w14:paraId="18D2AB4B" w14:textId="77777777" w:rsidR="00500DA2" w:rsidRDefault="00500DA2" w:rsidP="00326CB9">
      <w:pPr>
        <w:pStyle w:val="Heading3"/>
      </w:pPr>
      <w:r w:rsidRPr="003C1C32">
        <w:t xml:space="preserve">Policy SC5 demonstrates strong alignment with sustainability objectives related to health and wellbeing, social inclusion, and sustainable transport. It supports the provision of accessible and inclusive community facilities that enhance quality of life and reduce inequalities. Areas for improvement include </w:t>
      </w:r>
      <w:r>
        <w:t xml:space="preserve">climate resilience and land use. </w:t>
      </w:r>
      <w:r w:rsidRPr="003C1C32">
        <w:t>Overall, SC5 is a well-rounded policy that contributes positively to sustainable community development.</w:t>
      </w:r>
    </w:p>
    <w:p w14:paraId="65021976" w14:textId="77777777" w:rsidR="00500DA2" w:rsidRPr="00500DA2" w:rsidRDefault="00500DA2" w:rsidP="00112FFE">
      <w:pPr>
        <w:pStyle w:val="Heading4"/>
      </w:pPr>
      <w:bookmarkStart w:id="94" w:name="_Toc209174923"/>
      <w:r w:rsidRPr="00500DA2">
        <w:t>Policy SC6</w:t>
      </w:r>
      <w:r w:rsidR="0089247F">
        <w:t>:</w:t>
      </w:r>
      <w:r w:rsidRPr="00500DA2">
        <w:t xml:space="preserve"> </w:t>
      </w:r>
      <w:bookmarkEnd w:id="94"/>
      <w:r w:rsidR="0089247F" w:rsidRPr="0089247F">
        <w:t>Cemetery and memorial provision strategy</w:t>
      </w:r>
    </w:p>
    <w:p w14:paraId="1C97AD12" w14:textId="77777777" w:rsidR="00500DA2" w:rsidRPr="00500DA2" w:rsidRDefault="00500DA2" w:rsidP="00326CB9">
      <w:pPr>
        <w:pStyle w:val="Heading3"/>
      </w:pPr>
      <w:r w:rsidRPr="0077255C">
        <w:t>Policy SC6 demonstrates strong alignment with sustainability objectives related to environmental protection, landscape quality, and health and wellbeing. It promotes respectful and tranquil burial environments while safeguarding biodiversity, heritage, and residential amenity. The policy also supports accessibility and avoids development in sensitive zones.</w:t>
      </w:r>
      <w:r w:rsidRPr="0077255C">
        <w:br/>
        <w:t xml:space="preserve">Overall, </w:t>
      </w:r>
      <w:r>
        <w:t xml:space="preserve">policy </w:t>
      </w:r>
      <w:r w:rsidRPr="0077255C">
        <w:t>SC6 is a well-balanced policy with moderate environmental and social sustainability benefits.</w:t>
      </w:r>
    </w:p>
    <w:p w14:paraId="01D73FEB" w14:textId="77777777" w:rsidR="00846D9A" w:rsidRDefault="00846D9A" w:rsidP="00112FFE">
      <w:pPr>
        <w:pStyle w:val="Heading2"/>
      </w:pPr>
      <w:bookmarkStart w:id="95" w:name="_Toc215140036"/>
      <w:r w:rsidRPr="00846D9A">
        <w:lastRenderedPageBreak/>
        <w:t xml:space="preserve">Moving Torbay: Sustainable </w:t>
      </w:r>
      <w:r w:rsidR="00241636">
        <w:t>T</w:t>
      </w:r>
      <w:r w:rsidRPr="00846D9A">
        <w:t xml:space="preserve">ravel and </w:t>
      </w:r>
      <w:r w:rsidR="00241636">
        <w:t>I</w:t>
      </w:r>
      <w:r w:rsidRPr="00846D9A">
        <w:t xml:space="preserve">nclusive </w:t>
      </w:r>
      <w:r w:rsidR="00241636">
        <w:t>A</w:t>
      </w:r>
      <w:r w:rsidRPr="00846D9A">
        <w:t>ccess</w:t>
      </w:r>
      <w:bookmarkEnd w:id="95"/>
    </w:p>
    <w:p w14:paraId="39BBCC93" w14:textId="77777777" w:rsidR="0050358E" w:rsidRDefault="0050358E" w:rsidP="00112FFE">
      <w:pPr>
        <w:pStyle w:val="Heading4"/>
      </w:pPr>
      <w:r w:rsidRPr="0050358E">
        <w:t>Policy STA</w:t>
      </w:r>
      <w:r>
        <w:t>:</w:t>
      </w:r>
      <w:r w:rsidRPr="0050358E">
        <w:t xml:space="preserve"> Integrated Transport Vision, Transport Hierarchy and </w:t>
      </w:r>
      <w:r>
        <w:t>S</w:t>
      </w:r>
      <w:r w:rsidRPr="0050358E">
        <w:t xml:space="preserve">trategic </w:t>
      </w:r>
      <w:r>
        <w:t>C</w:t>
      </w:r>
      <w:r w:rsidRPr="0050358E">
        <w:t>onnectivity</w:t>
      </w:r>
    </w:p>
    <w:p w14:paraId="74A3F1B4" w14:textId="77777777" w:rsidR="0050358E" w:rsidRDefault="0050358E" w:rsidP="00326CB9">
      <w:pPr>
        <w:pStyle w:val="Heading3"/>
        <w:rPr>
          <w:lang w:eastAsia="en-GB"/>
        </w:rPr>
      </w:pPr>
      <w:r w:rsidRPr="007B1574">
        <w:rPr>
          <w:lang w:eastAsia="en-GB"/>
        </w:rPr>
        <w:t>Policy STA strongly aligns with the sustainability objective by promoting integrated, accessible, and inclusive transport that supports net zero carbon, digital connectivity, and health and wellbeing. The policy supports strategic transport improvements across Torbay, including walking and cycling infrastructure, public transport enhancements, rail network upgrades, highway improvements, and mobility hubs.</w:t>
      </w:r>
      <w:r w:rsidRPr="007B1574">
        <w:rPr>
          <w:lang w:eastAsia="en-GB"/>
        </w:rPr>
        <w:br/>
        <w:t>Key strengths include clear commitment to climate action and health, strong support for active travel and transport hierarchy and promoting affordability and equity in transport access. Potential negative impacts on natural habitats and landscape character require careful mitigation.</w:t>
      </w:r>
    </w:p>
    <w:p w14:paraId="507C701D" w14:textId="77777777" w:rsidR="0050358E" w:rsidRPr="0050358E" w:rsidRDefault="0050358E" w:rsidP="00112FFE">
      <w:pPr>
        <w:pStyle w:val="Heading4"/>
      </w:pPr>
      <w:r w:rsidRPr="0050358E">
        <w:t>Policy TA1</w:t>
      </w:r>
      <w:r>
        <w:t>:</w:t>
      </w:r>
      <w:r w:rsidRPr="0050358E">
        <w:t xml:space="preserve"> Reducing the </w:t>
      </w:r>
      <w:r>
        <w:t>I</w:t>
      </w:r>
      <w:r w:rsidRPr="0050358E">
        <w:t xml:space="preserve">mpact of </w:t>
      </w:r>
      <w:r>
        <w:t>T</w:t>
      </w:r>
      <w:r w:rsidRPr="0050358E">
        <w:t xml:space="preserve">ransport and </w:t>
      </w:r>
      <w:r>
        <w:t>P</w:t>
      </w:r>
      <w:r w:rsidRPr="0050358E">
        <w:t xml:space="preserve">romoting </w:t>
      </w:r>
      <w:r>
        <w:t>S</w:t>
      </w:r>
      <w:r w:rsidRPr="0050358E">
        <w:t xml:space="preserve">ustainable </w:t>
      </w:r>
      <w:r>
        <w:t>T</w:t>
      </w:r>
      <w:r w:rsidRPr="0050358E">
        <w:t>ravel</w:t>
      </w:r>
    </w:p>
    <w:p w14:paraId="50E5EDC3" w14:textId="77777777" w:rsidR="0050358E" w:rsidRDefault="0050358E" w:rsidP="00326CB9">
      <w:pPr>
        <w:pStyle w:val="Heading3"/>
        <w:rPr>
          <w:lang w:eastAsia="en-GB"/>
        </w:rPr>
      </w:pPr>
      <w:r w:rsidRPr="009A50A4">
        <w:rPr>
          <w:lang w:eastAsia="en-GB"/>
        </w:rPr>
        <w:t>Policy TA1 aims to reduce the impact of transport by requiring Transport Assessments, Travel Plans, and integration with sustainable travel infrastructure. It supports principles from STA and promotes active travel, public transport, and highway safety. The policy aligns well with the sustainability objectives, particularly in climate change mitigation, health and wellbeing, and reducing car dependency. Potential impacts on natural habitats and landscape character require careful mitigation.</w:t>
      </w:r>
    </w:p>
    <w:p w14:paraId="1FDF3AE4" w14:textId="77777777" w:rsidR="0050358E" w:rsidRPr="0050358E" w:rsidRDefault="0050358E" w:rsidP="00112FFE">
      <w:pPr>
        <w:pStyle w:val="Heading4"/>
      </w:pPr>
      <w:r w:rsidRPr="0050358E">
        <w:t>Policy TA2</w:t>
      </w:r>
      <w:r>
        <w:t>:</w:t>
      </w:r>
      <w:r w:rsidRPr="0050358E">
        <w:t xml:space="preserve"> Effective</w:t>
      </w:r>
      <w:r>
        <w:t xml:space="preserve"> and Inclusive</w:t>
      </w:r>
      <w:r w:rsidRPr="0050358E">
        <w:t xml:space="preserve"> Transport System </w:t>
      </w:r>
    </w:p>
    <w:p w14:paraId="51E309A1" w14:textId="77777777" w:rsidR="00D2132E" w:rsidRDefault="0050358E" w:rsidP="00D2132E">
      <w:pPr>
        <w:pStyle w:val="Heading3"/>
        <w:rPr>
          <w:lang w:eastAsia="en-GB"/>
        </w:rPr>
      </w:pPr>
      <w:r w:rsidRPr="009A50A4">
        <w:rPr>
          <w:lang w:eastAsia="en-GB"/>
        </w:rPr>
        <w:t>Policy TA2 demonstrates strong alignment with the sustainability objectives, particularly in areas of climate action, active travel, inclusive access, and economic development. It supports a shift away from car dependency, encourages healthier lifestyles, and protects environmental and heritage assets.</w:t>
      </w:r>
    </w:p>
    <w:p w14:paraId="0DF5464D" w14:textId="77777777" w:rsidR="0050358E" w:rsidRDefault="0050358E" w:rsidP="00326CB9">
      <w:pPr>
        <w:pStyle w:val="Heading3"/>
        <w:rPr>
          <w:lang w:eastAsia="en-GB"/>
        </w:rPr>
      </w:pPr>
      <w:r w:rsidRPr="009A50A4">
        <w:rPr>
          <w:lang w:eastAsia="en-GB"/>
        </w:rPr>
        <w:t>Key strengths include support for low-carbon and active transport, emphasis on accessibility, safety, and air quality, and integration with economic and community development. Opportunities for enhancement include strengthening links to</w:t>
      </w:r>
      <w:r w:rsidRPr="00871AEF">
        <w:rPr>
          <w:lang w:eastAsia="en-GB"/>
        </w:rPr>
        <w:t xml:space="preserve"> </w:t>
      </w:r>
      <w:r w:rsidRPr="009A50A4">
        <w:rPr>
          <w:lang w:eastAsia="en-GB"/>
        </w:rPr>
        <w:t>waste reduction</w:t>
      </w:r>
      <w:r>
        <w:rPr>
          <w:lang w:eastAsia="en-GB"/>
        </w:rPr>
        <w:t>,</w:t>
      </w:r>
      <w:r w:rsidRPr="009A50A4">
        <w:rPr>
          <w:lang w:eastAsia="en-GB"/>
        </w:rPr>
        <w:t xml:space="preserve"> biodiversity, expanding affordability and including monitoring frameworks for long-term sustainability outcomes.</w:t>
      </w:r>
    </w:p>
    <w:p w14:paraId="15969F2A" w14:textId="77777777" w:rsidR="0050358E" w:rsidRPr="0050358E" w:rsidRDefault="0050358E" w:rsidP="00112FFE">
      <w:pPr>
        <w:pStyle w:val="Heading4"/>
      </w:pPr>
      <w:r w:rsidRPr="0050358E">
        <w:lastRenderedPageBreak/>
        <w:t>Policy TA3</w:t>
      </w:r>
      <w:r>
        <w:t>:</w:t>
      </w:r>
      <w:r w:rsidRPr="0050358E">
        <w:t xml:space="preserve"> Development Layout</w:t>
      </w:r>
      <w:r>
        <w:t>,</w:t>
      </w:r>
      <w:r w:rsidRPr="0050358E">
        <w:t xml:space="preserve"> Access</w:t>
      </w:r>
      <w:r w:rsidRPr="0050358E">
        <w:rPr>
          <w:rFonts w:asciiTheme="minorHAnsi" w:eastAsiaTheme="minorEastAsia" w:hAnsiTheme="minorHAnsi" w:cstheme="minorBidi"/>
          <w:color w:val="auto"/>
          <w:sz w:val="24"/>
          <w:szCs w:val="21"/>
        </w:rPr>
        <w:t xml:space="preserve"> </w:t>
      </w:r>
      <w:r w:rsidRPr="0050358E">
        <w:t xml:space="preserve">and </w:t>
      </w:r>
      <w:r>
        <w:t>C</w:t>
      </w:r>
      <w:r w:rsidRPr="0050358E">
        <w:t xml:space="preserve">onnectivity </w:t>
      </w:r>
      <w:r>
        <w:t>S</w:t>
      </w:r>
      <w:r w:rsidRPr="0050358E">
        <w:t>tandards</w:t>
      </w:r>
    </w:p>
    <w:p w14:paraId="4E64C1A8" w14:textId="77777777" w:rsidR="0050358E" w:rsidRDefault="0050358E" w:rsidP="00326CB9">
      <w:pPr>
        <w:pStyle w:val="Heading3"/>
        <w:rPr>
          <w:lang w:eastAsia="en-GB"/>
        </w:rPr>
      </w:pPr>
      <w:r w:rsidRPr="009A50A4">
        <w:rPr>
          <w:lang w:eastAsia="en-GB"/>
        </w:rPr>
        <w:t>Policy TA3 strongly supports the sustainability objectives by promoting safe, inclusive, and multi-modal transport infrastructure that connects developments to wider networks. It contributes to climate action, public health, and economic growth while maintaining local character and safety.</w:t>
      </w:r>
      <w:r w:rsidRPr="009A50A4">
        <w:rPr>
          <w:lang w:eastAsia="en-GB"/>
        </w:rPr>
        <w:br/>
        <w:t>Key strengths include strong emphasis on active travel and public transport, safety and accessibility for all users, and integration with strategic plans. Opportunities for enhancement include strengthening links to waste reduction and biodiversity protection, expanding monitoring of environmental and social outcomes, and ensuring affordability and equity in transport provision.</w:t>
      </w:r>
    </w:p>
    <w:p w14:paraId="0A663B1A" w14:textId="77777777" w:rsidR="0050358E" w:rsidRDefault="0050358E" w:rsidP="00112FFE">
      <w:pPr>
        <w:pStyle w:val="Heading4"/>
      </w:pPr>
      <w:r w:rsidRPr="0050358E">
        <w:t>Policy TA4</w:t>
      </w:r>
      <w:r>
        <w:t>:</w:t>
      </w:r>
      <w:r w:rsidRPr="0050358E">
        <w:t xml:space="preserve"> Parking and Shared Transport Provision </w:t>
      </w:r>
    </w:p>
    <w:p w14:paraId="0EF60B99" w14:textId="77777777" w:rsidR="00D2132E" w:rsidRDefault="0050358E" w:rsidP="00326CB9">
      <w:pPr>
        <w:pStyle w:val="Heading3"/>
        <w:rPr>
          <w:lang w:eastAsia="en-GB"/>
        </w:rPr>
      </w:pPr>
      <w:r w:rsidRPr="009A50A4">
        <w:rPr>
          <w:lang w:eastAsia="en-GB"/>
        </w:rPr>
        <w:t>Policy TA4 offers a balanced approach to parking provision, supporting sustainability through EV infrastructure, shared transport, and cycle parking, while also recognising the need for adequate parking in new developments. However, the policy risks reinforcing car dependency if not carefully implemented.</w:t>
      </w:r>
    </w:p>
    <w:p w14:paraId="10279413" w14:textId="77777777" w:rsidR="00846D9A" w:rsidRPr="00326CB9" w:rsidRDefault="0050358E" w:rsidP="00326CB9">
      <w:pPr>
        <w:pStyle w:val="Heading3"/>
        <w:rPr>
          <w:lang w:eastAsia="en-GB"/>
        </w:rPr>
      </w:pPr>
      <w:r w:rsidRPr="009A50A4">
        <w:rPr>
          <w:lang w:eastAsia="en-GB"/>
        </w:rPr>
        <w:t>Key strengths include inclusion of EV charging, cycle parking, and shared transport, design standards to reduce visual impact and support public space quality, and flexibility for different development types and users. Opportunities for enhancement include reducing reliance on private car parking through lower ratios and better active travel links, promoting compact, permeable, and ecologically sensitive parking design, and ensuring shared transport is affordable, accessible, and well-integrated</w:t>
      </w:r>
      <w:r w:rsidR="009A7ED8">
        <w:rPr>
          <w:lang w:eastAsia="en-GB"/>
        </w:rPr>
        <w:t xml:space="preserve"> </w:t>
      </w:r>
      <w:r w:rsidR="009A7ED8">
        <w:t>b</w:t>
      </w:r>
      <w:r w:rsidR="00846D9A" w:rsidRPr="00846D9A">
        <w:t>uilding for the future: Resilient and smart infrastructure and Developer Contributions</w:t>
      </w:r>
      <w:r w:rsidR="00D2132E">
        <w:t>.</w:t>
      </w:r>
      <w:r w:rsidR="00846D9A" w:rsidRPr="00846D9A">
        <w:t xml:space="preserve"> </w:t>
      </w:r>
    </w:p>
    <w:p w14:paraId="596845D0" w14:textId="77777777" w:rsidR="00B83ED2" w:rsidRDefault="00B83ED2" w:rsidP="00112FFE">
      <w:pPr>
        <w:pStyle w:val="Heading2"/>
      </w:pPr>
      <w:bookmarkStart w:id="96" w:name="_Toc215140037"/>
      <w:r w:rsidRPr="00B83ED2">
        <w:t>Building for the future - Resilient and smart infrastructure and developer contributions</w:t>
      </w:r>
      <w:bookmarkEnd w:id="96"/>
    </w:p>
    <w:p w14:paraId="104B1D26" w14:textId="77777777" w:rsidR="00B83ED2" w:rsidRPr="00B83ED2" w:rsidRDefault="00B83ED2" w:rsidP="00112FFE">
      <w:pPr>
        <w:pStyle w:val="Heading4"/>
      </w:pPr>
      <w:r w:rsidRPr="00B83ED2">
        <w:t>Policy INS: Sustainable Infrastructure Strategy</w:t>
      </w:r>
    </w:p>
    <w:p w14:paraId="2CA9F374" w14:textId="77777777" w:rsidR="00B83ED2" w:rsidRPr="0001374C" w:rsidRDefault="00B83ED2" w:rsidP="00326CB9">
      <w:pPr>
        <w:pStyle w:val="Heading3"/>
      </w:pPr>
      <w:r w:rsidRPr="0001374C">
        <w:t xml:space="preserve">Policy INS demonstrates strong alignment with the majority of sustainability objectives, particularly in areas of climate resilience, biodiversity, active travel, and health equity. It supports environmentally friendly infrastructure and promotes inclusive, safe, and connected communities. While some objectives such as waste management and land </w:t>
      </w:r>
      <w:r w:rsidRPr="0001374C">
        <w:lastRenderedPageBreak/>
        <w:t xml:space="preserve">reuse are less directly addressed, they present opportunities for enhancement through implementation strategies. </w:t>
      </w:r>
    </w:p>
    <w:p w14:paraId="0EED68E8" w14:textId="77777777" w:rsidR="00B83ED2" w:rsidRPr="0001374C" w:rsidRDefault="00B83ED2" w:rsidP="00326CB9">
      <w:pPr>
        <w:pStyle w:val="Heading3"/>
      </w:pPr>
      <w:r w:rsidRPr="0001374C">
        <w:t>Overall, Policy INS provides a comprehensive framework that supports sustainable growth in Torbay, with opportunities for enhancement through targeted implementation strategies and ongoing monitoring.</w:t>
      </w:r>
    </w:p>
    <w:p w14:paraId="44DE55DC" w14:textId="77777777" w:rsidR="00B83ED2" w:rsidRPr="00B83ED2" w:rsidRDefault="00B83ED2" w:rsidP="00112FFE">
      <w:pPr>
        <w:pStyle w:val="Heading4"/>
      </w:pPr>
      <w:r w:rsidRPr="00B83ED2">
        <w:t>Policy IN1: Prioritisation of Planning Obligations</w:t>
      </w:r>
    </w:p>
    <w:p w14:paraId="2090C100" w14:textId="77777777" w:rsidR="00B83ED2" w:rsidRPr="0001374C" w:rsidRDefault="00B83ED2" w:rsidP="00326CB9">
      <w:pPr>
        <w:pStyle w:val="Heading3"/>
      </w:pPr>
      <w:r w:rsidRPr="0046415B">
        <w:t>Policy IN1 demonstrates a strong alignment with sustainability objectives related to climate resilience, ecological protection, active travel, affordable housing, and health equity. It prioriti</w:t>
      </w:r>
      <w:r>
        <w:t>s</w:t>
      </w:r>
      <w:r w:rsidRPr="0046415B">
        <w:t xml:space="preserve">es critical infrastructure and healthy environments, ensuring that development is supported by necessary services. While some objectives such as waste management and land reuse are less </w:t>
      </w:r>
      <w:r w:rsidRPr="0001374C">
        <w:t>emphasised</w:t>
      </w:r>
      <w:r w:rsidRPr="0046415B">
        <w:t>, they offer opportunities for enhancement through implementation. Overall, Policy IN1 provides a structured and equitable framework for securing planning obligations that contribute to sustainable development in Torbay.</w:t>
      </w:r>
    </w:p>
    <w:p w14:paraId="6C48DBF0" w14:textId="77777777" w:rsidR="00B83ED2" w:rsidRPr="00B83ED2" w:rsidRDefault="00B83ED2" w:rsidP="00112FFE">
      <w:pPr>
        <w:pStyle w:val="Heading4"/>
      </w:pPr>
      <w:r w:rsidRPr="00B83ED2">
        <w:t>Policy IN2: High Quality Communications and Digital Connectivity</w:t>
      </w:r>
    </w:p>
    <w:p w14:paraId="422A7635" w14:textId="77777777" w:rsidR="00B83ED2" w:rsidRPr="00B83ED2" w:rsidRDefault="00B83ED2" w:rsidP="00326CB9">
      <w:pPr>
        <w:pStyle w:val="Heading3"/>
      </w:pPr>
      <w:r w:rsidRPr="00B92645">
        <w:t>Policy IN2 supports the expansion of high-quality digital infrastructure, which has strong positive implications for economic growth, education, and access to services. It also contributes to climate mitigation through reduced travel demand. However, there are potential risks to biodiversity, landscape character, and waste generation from physical installations. Mitigation measures include sensitive siting, use of existing structures, and recycling of redundant equipment. The policy is broadly aligned with sustainability objectives, provided that environmental and visual impacts are carefully managed.</w:t>
      </w:r>
    </w:p>
    <w:p w14:paraId="72059802" w14:textId="77777777" w:rsidR="00846D9A" w:rsidRDefault="00846D9A" w:rsidP="00112FFE">
      <w:pPr>
        <w:pStyle w:val="Heading2"/>
      </w:pPr>
      <w:bookmarkStart w:id="97" w:name="_Toc215140038"/>
      <w:bookmarkStart w:id="98" w:name="_Hlk213066343"/>
      <w:r w:rsidRPr="00846D9A">
        <w:t xml:space="preserve">Climate Change: Our </w:t>
      </w:r>
      <w:r w:rsidR="00B83ED2">
        <w:t>S</w:t>
      </w:r>
      <w:r w:rsidRPr="00846D9A">
        <w:t xml:space="preserve">ustainable and </w:t>
      </w:r>
      <w:r w:rsidR="00B83ED2">
        <w:t>R</w:t>
      </w:r>
      <w:r w:rsidRPr="00846D9A">
        <w:t xml:space="preserve">esilient </w:t>
      </w:r>
      <w:r w:rsidR="00B83ED2">
        <w:t>F</w:t>
      </w:r>
      <w:r w:rsidRPr="00846D9A">
        <w:t>uture</w:t>
      </w:r>
      <w:bookmarkEnd w:id="97"/>
      <w:r w:rsidRPr="00846D9A">
        <w:t xml:space="preserve"> </w:t>
      </w:r>
    </w:p>
    <w:p w14:paraId="5BA56CE0" w14:textId="77777777" w:rsidR="004443B0" w:rsidRDefault="004443B0" w:rsidP="00112FFE">
      <w:pPr>
        <w:pStyle w:val="Heading4"/>
      </w:pPr>
      <w:bookmarkStart w:id="99" w:name="_Hlk212635008"/>
      <w:bookmarkEnd w:id="98"/>
      <w:r w:rsidRPr="004443B0">
        <w:t xml:space="preserve">Policy CERS: Climate </w:t>
      </w:r>
      <w:r w:rsidR="00D026EA" w:rsidRPr="004443B0">
        <w:t>Resilient, Net Zero Carbon Developments</w:t>
      </w:r>
    </w:p>
    <w:p w14:paraId="744EB9CB" w14:textId="77777777" w:rsidR="00DE5185" w:rsidRPr="00A508D9" w:rsidRDefault="00DE5185" w:rsidP="00326CB9">
      <w:pPr>
        <w:pStyle w:val="Heading3"/>
        <w:rPr>
          <w:lang w:val="en-US"/>
        </w:rPr>
      </w:pPr>
      <w:r w:rsidRPr="00DE5185">
        <w:rPr>
          <w:lang w:val="en-US"/>
        </w:rPr>
        <w:t>Strategic Policy CERS</w:t>
      </w:r>
      <w:r w:rsidR="003D4701">
        <w:rPr>
          <w:lang w:val="en-US"/>
        </w:rPr>
        <w:t xml:space="preserve"> </w:t>
      </w:r>
      <w:r w:rsidRPr="00DE5185">
        <w:rPr>
          <w:lang w:val="en-US"/>
        </w:rPr>
        <w:t>aligns strongly with Torbay’s sustainability objectives. It promotes climate adaptation, energy efficiency, biodiversity net gain, and sustainable transport. The policy is particularly effective in addressing climate change, health and wellbeing, and environmental quality. While some objectives such as historic environment and land reuse are less directly addressed, they can be supported through complementary planning measures.</w:t>
      </w:r>
    </w:p>
    <w:bookmarkEnd w:id="99"/>
    <w:p w14:paraId="0B3A9A95" w14:textId="77777777" w:rsidR="00B83ED2" w:rsidRDefault="004443B0" w:rsidP="00112FFE">
      <w:pPr>
        <w:pStyle w:val="Heading4"/>
      </w:pPr>
      <w:r w:rsidRPr="004443B0">
        <w:lastRenderedPageBreak/>
        <w:t xml:space="preserve">Policy </w:t>
      </w:r>
      <w:bookmarkStart w:id="100" w:name="_Hlk212635084"/>
      <w:r w:rsidRPr="004443B0">
        <w:t>CER1</w:t>
      </w:r>
      <w:bookmarkEnd w:id="100"/>
      <w:r w:rsidRPr="004443B0">
        <w:t xml:space="preserve">: </w:t>
      </w:r>
      <w:bookmarkStart w:id="101" w:name="_Hlk212635038"/>
      <w:r w:rsidRPr="004443B0">
        <w:t xml:space="preserve">Net </w:t>
      </w:r>
      <w:r w:rsidR="00D026EA" w:rsidRPr="004443B0">
        <w:t>Zero Carbon Development Standards</w:t>
      </w:r>
      <w:bookmarkEnd w:id="101"/>
    </w:p>
    <w:p w14:paraId="62490717" w14:textId="77777777" w:rsidR="00DE5185" w:rsidRPr="00DE5185" w:rsidRDefault="00DE5185" w:rsidP="00326CB9">
      <w:pPr>
        <w:pStyle w:val="Heading3"/>
      </w:pPr>
      <w:r w:rsidRPr="00DE5185">
        <w:t>Policy CER1 sets rigorous standards for achieving net zero carbon development in Torbay. It mandates significant carbon reductions for both residential and non-domestic buildings, promotes renewable energy, and requires high energy efficiency through fabric-first design and integration with energy networks. The policy aligns strongly with climate-related sustainability objectives and supports economic growth, health, and wellbeing. While some objectives like historic environment and land reuse are less directly addressed, they can be supported through complementary planning and design strategies.</w:t>
      </w:r>
    </w:p>
    <w:p w14:paraId="26A1E9B4" w14:textId="77777777" w:rsidR="004443B0" w:rsidRDefault="004443B0" w:rsidP="00112FFE">
      <w:pPr>
        <w:pStyle w:val="Heading4"/>
      </w:pPr>
      <w:bookmarkStart w:id="102" w:name="_Hlk212635150"/>
      <w:r>
        <w:t>P</w:t>
      </w:r>
      <w:r w:rsidRPr="004443B0">
        <w:t xml:space="preserve">olicy CER2: Embodied </w:t>
      </w:r>
      <w:r w:rsidR="00D026EA" w:rsidRPr="004443B0">
        <w:t xml:space="preserve">Carbon Reduction </w:t>
      </w:r>
      <w:r w:rsidR="00D026EA">
        <w:t>a</w:t>
      </w:r>
      <w:r w:rsidR="00D026EA" w:rsidRPr="004443B0">
        <w:t>nd Assessment</w:t>
      </w:r>
    </w:p>
    <w:p w14:paraId="2C8F6AE5" w14:textId="77777777" w:rsidR="00DE5185" w:rsidRPr="00DE5185" w:rsidRDefault="00B933CF" w:rsidP="00326CB9">
      <w:pPr>
        <w:pStyle w:val="Heading3"/>
      </w:pPr>
      <w:bookmarkStart w:id="103" w:name="_Hlk213073322"/>
      <w:r w:rsidRPr="00B933CF">
        <w:t>Policy CER2 addresses the growing importance of embodied carbon in the built environment. It requires all developments</w:t>
      </w:r>
      <w:r>
        <w:t xml:space="preserve"> </w:t>
      </w:r>
      <w:r w:rsidRPr="00B933CF">
        <w:t>especially major ones</w:t>
      </w:r>
      <w:r>
        <w:t xml:space="preserve"> </w:t>
      </w:r>
      <w:r w:rsidRPr="00B933CF">
        <w:t>to assess and reduce embodied carbon emissions through design, material selection, and reuse strategies. The policy supports sustainability objectives related to climate change, resource efficiency, and land use. It encourages refurbishment over demolition, promotes circular economy principles, and aligns with national standards for carbon assessment. While it does not set specific targets, its emphasis on reducing emissions through planning and design contributes meaningfully to Torbay’s net zero goals.</w:t>
      </w:r>
    </w:p>
    <w:p w14:paraId="15049821" w14:textId="77777777" w:rsidR="004443B0" w:rsidRDefault="004443B0" w:rsidP="00112FFE">
      <w:pPr>
        <w:pStyle w:val="Heading4"/>
      </w:pPr>
      <w:bookmarkStart w:id="104" w:name="_Hlk212635198"/>
      <w:bookmarkEnd w:id="102"/>
      <w:bookmarkEnd w:id="103"/>
      <w:r w:rsidRPr="004443B0">
        <w:t xml:space="preserve">Policy CER3: Heritage </w:t>
      </w:r>
      <w:r w:rsidR="00D026EA" w:rsidRPr="004443B0">
        <w:t xml:space="preserve">Assets </w:t>
      </w:r>
      <w:r w:rsidR="00D026EA">
        <w:t>a</w:t>
      </w:r>
      <w:r w:rsidR="00D026EA" w:rsidRPr="004443B0">
        <w:t>nd Climate Adaptation</w:t>
      </w:r>
    </w:p>
    <w:p w14:paraId="6C4CE1A8" w14:textId="77777777" w:rsidR="00B933CF" w:rsidRPr="00B933CF" w:rsidRDefault="00B933CF" w:rsidP="00326CB9">
      <w:pPr>
        <w:pStyle w:val="Heading3"/>
      </w:pPr>
      <w:r w:rsidRPr="00B933CF">
        <w:t>Policy CER3 supports the sensitive adaptation and reuse of heritage assets to improve their resilience to climate change. It aligns well with sustainability objectives related to climate change, historic environment, and efficient land use. By encouraging the retention and retrofit of historic buildings, the policy helps reduce embodied carbon and supports Torbay’s net zero ambitions. It also promotes cultural continuity and community identity while enabling energy efficiency improvements in heritage contexts. The policy takes a balanced approach, ensuring that adaptation does not compromise the significance of heritage assets.</w:t>
      </w:r>
    </w:p>
    <w:p w14:paraId="5C79E8A9" w14:textId="77777777" w:rsidR="004443B0" w:rsidRDefault="004443B0" w:rsidP="00112FFE">
      <w:pPr>
        <w:pStyle w:val="Heading4"/>
      </w:pPr>
      <w:bookmarkStart w:id="105" w:name="_Hlk212635220"/>
      <w:bookmarkEnd w:id="104"/>
      <w:r w:rsidRPr="004443B0">
        <w:t xml:space="preserve">Policy CER4: Renewable and </w:t>
      </w:r>
      <w:r w:rsidR="00D026EA" w:rsidRPr="004443B0">
        <w:t>Low Carbon Energy Generation</w:t>
      </w:r>
    </w:p>
    <w:p w14:paraId="4BDF7456" w14:textId="77777777" w:rsidR="00B933CF" w:rsidRPr="00B933CF" w:rsidRDefault="00B933CF" w:rsidP="00326CB9">
      <w:pPr>
        <w:pStyle w:val="Heading3"/>
      </w:pPr>
      <w:r w:rsidRPr="00B933CF">
        <w:t xml:space="preserve">Policy CER4 strongly supports Torbay’s transition to a net zero carbon future by promoting renewable and low carbon energy generation, including community-led projects and enabling infrastructure. It aligns well with sustainability objectives related to climate change, </w:t>
      </w:r>
      <w:r w:rsidRPr="00B933CF">
        <w:lastRenderedPageBreak/>
        <w:t>energy efficiency, economic growth, and health. The policy is flexible, acknowledging Torbay’s physical constraints while encouraging innovation and community involvement. It also supports smart energy systems and heat networks, which are essential for decarbonising heating in urban areas. The policy’s emphasis on avoiding harm to amenity and the natural, historic, and built environment ensures a balanced approach to clean energy development.</w:t>
      </w:r>
    </w:p>
    <w:p w14:paraId="567ED205" w14:textId="77777777" w:rsidR="004443B0" w:rsidRDefault="004443B0" w:rsidP="00112FFE">
      <w:pPr>
        <w:pStyle w:val="Heading4"/>
      </w:pPr>
      <w:bookmarkStart w:id="106" w:name="_Hlk212635256"/>
      <w:bookmarkEnd w:id="105"/>
      <w:r w:rsidRPr="004443B0">
        <w:t>Policy ER1: Flood Risk and Safe Development</w:t>
      </w:r>
    </w:p>
    <w:p w14:paraId="5A4BEE4B" w14:textId="77777777" w:rsidR="00B933CF" w:rsidRPr="00C41E4F" w:rsidRDefault="00BE2B8F" w:rsidP="00326CB9">
      <w:pPr>
        <w:pStyle w:val="Heading3"/>
        <w:rPr>
          <w:lang w:val="en-US"/>
        </w:rPr>
      </w:pPr>
      <w:r w:rsidRPr="00BE2B8F">
        <w:rPr>
          <w:lang w:val="en-US"/>
        </w:rPr>
        <w:t>Strategic Policy ER1 aligns strongly with sustainability objectives related to climate resilience, water management, and safe development. It mandates that all development be safe from flooding for its lifetime, promotes the use of Sustainable Drainage Systems (SuDS) and Water Sensitive Urban Design (WSUD), and encourages restoration of natural catchments. The policy supports biodiversity, public safety, and efficient land use, while discouraging development in high-risk flood zones. It also requires detailed flood risk assessments and contributions to flood protection infrastructure. Overall, ER1 contributes positively to Torbay’s long-term sustainability and climate adaptation goals.</w:t>
      </w:r>
    </w:p>
    <w:p w14:paraId="2E01A357" w14:textId="77777777" w:rsidR="004443B0" w:rsidRDefault="004443B0" w:rsidP="00112FFE">
      <w:pPr>
        <w:pStyle w:val="Heading4"/>
      </w:pPr>
      <w:r w:rsidRPr="004443B0">
        <w:t>Policy ER2: Drainage Hierarchy</w:t>
      </w:r>
    </w:p>
    <w:p w14:paraId="0FE41042" w14:textId="77777777" w:rsidR="00C41E4F" w:rsidRPr="00C41E4F" w:rsidRDefault="00C41E4F" w:rsidP="00326CB9">
      <w:pPr>
        <w:pStyle w:val="Heading3"/>
        <w:rPr>
          <w:lang w:val="en-US"/>
        </w:rPr>
      </w:pPr>
      <w:r w:rsidRPr="00C41E4F">
        <w:rPr>
          <w:lang w:val="en-US"/>
        </w:rPr>
        <w:t xml:space="preserve">Strategic Policy ER2 promotes sustainable water management by prioritising natural drainage solutions and minimising surface water runoff. It aligns strongly with climate resilience and environmental protection objectives, particularly through the use of permeable surfaces, nature-based drainage systems, and strict controls on discharges to combined sewers. The policy also supports biodiversity and water quality protection, especially in relation to </w:t>
      </w:r>
      <w:bookmarkStart w:id="107" w:name="_Hlk213075013"/>
      <w:r w:rsidR="00CB75F8" w:rsidRPr="00C41E4F">
        <w:rPr>
          <w:lang w:val="en-US"/>
        </w:rPr>
        <w:t>Lyme</w:t>
      </w:r>
      <w:r w:rsidR="00CB75F8">
        <w:rPr>
          <w:lang w:val="en-US"/>
        </w:rPr>
        <w:t xml:space="preserve"> Bay and Torbay</w:t>
      </w:r>
      <w:r w:rsidRPr="00C41E4F">
        <w:rPr>
          <w:lang w:val="en-US"/>
        </w:rPr>
        <w:t xml:space="preserve"> Marine </w:t>
      </w:r>
      <w:r w:rsidR="00CB75F8">
        <w:rPr>
          <w:lang w:val="en-US"/>
        </w:rPr>
        <w:t>SAC</w:t>
      </w:r>
      <w:bookmarkEnd w:id="107"/>
      <w:r w:rsidRPr="00C41E4F">
        <w:rPr>
          <w:lang w:val="en-US"/>
        </w:rPr>
        <w:t>. While not all sustainability objectives are directly addressed, the policy contributes positively to climate adaptation, land use efficiency, and public health.</w:t>
      </w:r>
    </w:p>
    <w:p w14:paraId="3B506AAD" w14:textId="77777777" w:rsidR="00D026EA" w:rsidRDefault="00D026EA" w:rsidP="00112FFE">
      <w:pPr>
        <w:pStyle w:val="Heading4"/>
      </w:pPr>
      <w:r>
        <w:t xml:space="preserve">Policy ER3: </w:t>
      </w:r>
      <w:r w:rsidRPr="004443B0">
        <w:t>Water Management</w:t>
      </w:r>
    </w:p>
    <w:p w14:paraId="17193941" w14:textId="77777777" w:rsidR="00CB75F8" w:rsidRPr="00CB75F8" w:rsidRDefault="00F03C34" w:rsidP="00326CB9">
      <w:pPr>
        <w:pStyle w:val="Heading3"/>
      </w:pPr>
      <w:r w:rsidRPr="00F03C34">
        <w:t xml:space="preserve">Policy ER3 provides a robust framework for sustainable water management in Torbay. It promotes water-sensitive urban design, water efficiency, pollution prevention, and protection of aquatic ecosystems. The policy aligns strongly with climate resilience, environmental protection, and public health objectives. It supports the Water Framework Directive and responds to local infrastructure constraints and water scarcity risks. ER3 encourages innovative solutions such as rainwater harvesting, greywater recycling, and </w:t>
      </w:r>
      <w:r w:rsidRPr="00F03C34">
        <w:lastRenderedPageBreak/>
        <w:t>natural sewage treatment, contributing significantly to Torbay’s goal of creating a sustainable future.</w:t>
      </w:r>
    </w:p>
    <w:p w14:paraId="3DB63440" w14:textId="77777777" w:rsidR="004443B0" w:rsidRDefault="004443B0" w:rsidP="00112FFE">
      <w:pPr>
        <w:pStyle w:val="Heading4"/>
      </w:pPr>
      <w:r w:rsidRPr="004443B0">
        <w:t>Policy ER4: Sustainable Drainage Systems and Water Sensitive Urban Design</w:t>
      </w:r>
    </w:p>
    <w:p w14:paraId="11FF5996" w14:textId="77777777" w:rsidR="00F51006" w:rsidRPr="00EB4EEC" w:rsidRDefault="008109EF" w:rsidP="00326CB9">
      <w:pPr>
        <w:pStyle w:val="Heading3"/>
        <w:rPr>
          <w:lang w:val="en-US"/>
        </w:rPr>
      </w:pPr>
      <w:r w:rsidRPr="008109EF">
        <w:rPr>
          <w:lang w:val="en-US"/>
        </w:rPr>
        <w:t>Policy ER4 promotes the integration of Sustainable Drainage Systems (SuDS) and Water Sensitive Urban Design (WSUD) into all development proposals. The policy aligns strongly with sustainability objectives related to climate resilience, biodiversity, water quality, and public health. By prioritising above-ground, biodiverse, and multifunctional drainage solutions, ER4 supports flood mitigation, habitat creation, and improved urban amenities. The policy also encourages retrofitting WSUD in urban regeneration projects, further enhancing its contribution to sustainable development.</w:t>
      </w:r>
    </w:p>
    <w:p w14:paraId="0C1C9D45" w14:textId="77777777" w:rsidR="004443B0" w:rsidRDefault="004443B0" w:rsidP="00112FFE">
      <w:pPr>
        <w:pStyle w:val="Heading4"/>
      </w:pPr>
      <w:r w:rsidRPr="004443B0">
        <w:t>Policy ER5: Contaminated Land and Site Remediation</w:t>
      </w:r>
    </w:p>
    <w:p w14:paraId="40CA285F" w14:textId="77777777" w:rsidR="001709A4" w:rsidRPr="001709A4" w:rsidRDefault="001709A4" w:rsidP="00326CB9">
      <w:pPr>
        <w:pStyle w:val="Heading3"/>
        <w:rPr>
          <w:lang w:val="en-US"/>
        </w:rPr>
      </w:pPr>
      <w:r w:rsidRPr="001709A4">
        <w:rPr>
          <w:lang w:val="en-US"/>
        </w:rPr>
        <w:t>Policy ER5 addresses the safe reuse of contaminated land, supporting public health, environmental protection, and brownfield regeneration. It aligns well with sustainability objectives by requiring site investigations, remediation strategies, and precautionary measures to manage risks. The policy promotes the efficient use of land and supports regeneration projects that deliver wider public benefits such as affordable housing and employment. While not all objectives are directly addressed, ER5 contributes positively to climate resilience, land use efficiency, and community wellbeing.</w:t>
      </w:r>
    </w:p>
    <w:p w14:paraId="267BA938" w14:textId="77777777" w:rsidR="004443B0" w:rsidRDefault="004443B0" w:rsidP="00112FFE">
      <w:pPr>
        <w:pStyle w:val="Heading4"/>
      </w:pPr>
      <w:r>
        <w:t>P</w:t>
      </w:r>
      <w:r w:rsidRPr="004443B0">
        <w:t xml:space="preserve">olicy ER6: Ground </w:t>
      </w:r>
      <w:r w:rsidR="00D026EA" w:rsidRPr="004443B0">
        <w:t xml:space="preserve">Stability </w:t>
      </w:r>
      <w:r w:rsidR="00D026EA">
        <w:t>a</w:t>
      </w:r>
      <w:r w:rsidR="00D026EA" w:rsidRPr="004443B0">
        <w:t>nd Risk Management</w:t>
      </w:r>
    </w:p>
    <w:p w14:paraId="7117819D" w14:textId="77777777" w:rsidR="001709A4" w:rsidRPr="00CF724A" w:rsidRDefault="0095671A" w:rsidP="00326CB9">
      <w:pPr>
        <w:pStyle w:val="Heading3"/>
        <w:rPr>
          <w:lang w:val="en-US"/>
        </w:rPr>
      </w:pPr>
      <w:r w:rsidRPr="0095671A">
        <w:rPr>
          <w:lang w:val="en-US"/>
        </w:rPr>
        <w:t>Policy ER6 addresses the risks associated with ground instability, particularly in coastal and inland areas affected by natural movement and climate change. It supports sustainability objectives related to public safety, environmental protection, and efficient land use. By requiring geotechnical investigations and remedial measures, the policy ensures that development proceeds safely and responsibly. While not all objectives are directly addressed, ER6 contributes positively to climate resilience, safe communities, and sustainable development.</w:t>
      </w:r>
    </w:p>
    <w:p w14:paraId="2DD44DAF" w14:textId="77777777" w:rsidR="004443B0" w:rsidRDefault="004443B0" w:rsidP="00112FFE">
      <w:pPr>
        <w:pStyle w:val="Heading4"/>
      </w:pPr>
      <w:r>
        <w:t>P</w:t>
      </w:r>
      <w:r w:rsidRPr="004443B0">
        <w:t>olicy ER7: Coastal Change Management Areas</w:t>
      </w:r>
    </w:p>
    <w:p w14:paraId="44B510E9" w14:textId="77777777" w:rsidR="00CF724A" w:rsidRPr="00B25BAA" w:rsidRDefault="00CF724A" w:rsidP="00326CB9">
      <w:pPr>
        <w:pStyle w:val="Heading3"/>
        <w:rPr>
          <w:lang w:val="en-US"/>
        </w:rPr>
      </w:pPr>
      <w:r w:rsidRPr="00CF724A">
        <w:rPr>
          <w:lang w:val="en-US"/>
        </w:rPr>
        <w:t xml:space="preserve">Policy ER7 aims to reduce risks associated with coastal erosion and flooding by restricting inappropriate development in vulnerable coastal areas. It supports sustainability objectives </w:t>
      </w:r>
      <w:r w:rsidRPr="00CF724A">
        <w:rPr>
          <w:lang w:val="en-US"/>
        </w:rPr>
        <w:lastRenderedPageBreak/>
        <w:t>related to climate resilience, public safety, environmental protection, and efficient land use. By prohibiting permanent residential development in Coastal Change Management Areas (CCMAs) and allowing only specific, low-risk or temporary uses, the policy helps safeguard communities, infrastructure, and natural habitats. It also promotes alignment with Shoreline Management Plans and encourages adaptive design in response to climate change.</w:t>
      </w:r>
    </w:p>
    <w:p w14:paraId="7156886B" w14:textId="77777777" w:rsidR="00B664EF" w:rsidRDefault="00B664EF" w:rsidP="00112FFE">
      <w:pPr>
        <w:pStyle w:val="Heading2"/>
      </w:pPr>
      <w:bookmarkStart w:id="108" w:name="_Toc215140039"/>
      <w:bookmarkEnd w:id="106"/>
      <w:r w:rsidRPr="00B664EF">
        <w:t>Our natural places: Protecting and Enhancing Torbay’s Countryside, Landscape and Natural Environment</w:t>
      </w:r>
      <w:bookmarkEnd w:id="108"/>
      <w:r w:rsidRPr="00B664EF">
        <w:t xml:space="preserve"> </w:t>
      </w:r>
    </w:p>
    <w:p w14:paraId="1FBC5F8B" w14:textId="77777777" w:rsidR="00EA5D06" w:rsidRPr="00EA5D06" w:rsidRDefault="00EA5D06" w:rsidP="00112FFE">
      <w:pPr>
        <w:pStyle w:val="Heading4"/>
      </w:pPr>
      <w:bookmarkStart w:id="109" w:name="_Toc206677261"/>
      <w:r w:rsidRPr="00EA5D06">
        <w:t>Policy LS</w:t>
      </w:r>
      <w:r>
        <w:t>:</w:t>
      </w:r>
      <w:r w:rsidRPr="00EA5D06">
        <w:t xml:space="preserve"> Landscape Strategy</w:t>
      </w:r>
      <w:bookmarkEnd w:id="109"/>
    </w:p>
    <w:p w14:paraId="18AA15EA" w14:textId="77777777" w:rsidR="00EA5D06" w:rsidRPr="007104C2" w:rsidRDefault="00EA5D06" w:rsidP="00326CB9">
      <w:pPr>
        <w:pStyle w:val="Heading3"/>
        <w:rPr>
          <w:lang w:eastAsia="en-GB"/>
        </w:rPr>
      </w:pPr>
      <w:r w:rsidRPr="007104C2">
        <w:rPr>
          <w:lang w:eastAsia="en-GB"/>
        </w:rPr>
        <w:t>The Landscape Strategy (Policy LS) demonstrates strong alignment with sustainability objectives, particularly in areas such as landscape character, biodiversity, climate resilience, and public health. Neutral impacts are observed in areas like waste management and land reuse. Overall, the policy supports environmental quality, community wellbeing, and strategic landscape protection.</w:t>
      </w:r>
    </w:p>
    <w:p w14:paraId="5017713F" w14:textId="77777777" w:rsidR="00EA5D06" w:rsidRPr="00EA5D06" w:rsidRDefault="00EA5D06" w:rsidP="00112FFE">
      <w:pPr>
        <w:pStyle w:val="Heading4"/>
      </w:pPr>
      <w:bookmarkStart w:id="110" w:name="_Toc206677262"/>
      <w:r w:rsidRPr="00EA5D06">
        <w:t>Policy L</w:t>
      </w:r>
      <w:r>
        <w:t>1:</w:t>
      </w:r>
      <w:r w:rsidRPr="00EA5D06">
        <w:t xml:space="preserve"> Protecting our</w:t>
      </w:r>
      <w:r>
        <w:t xml:space="preserve"> </w:t>
      </w:r>
      <w:r w:rsidRPr="00EA5D06">
        <w:t>Countryside Area and the Rural Economy</w:t>
      </w:r>
      <w:bookmarkEnd w:id="110"/>
    </w:p>
    <w:p w14:paraId="2E60636A" w14:textId="77777777" w:rsidR="00EA5D06" w:rsidRPr="00EC4351" w:rsidRDefault="00EA5D06" w:rsidP="00326CB9">
      <w:pPr>
        <w:pStyle w:val="Heading3"/>
        <w:rPr>
          <w:lang w:eastAsia="en-GB"/>
        </w:rPr>
      </w:pPr>
      <w:r w:rsidRPr="00EC4351">
        <w:rPr>
          <w:lang w:eastAsia="en-GB"/>
        </w:rPr>
        <w:t>Policy L1 Countryside Area and the Rural Economy demonstrate strong alignment with environmental goals, particularly in protecting habitats, landscapes, and limiting urban sprawl. It supports modest rural development, renewable energy, and local economic growth while safeguarding the character and biodiversity of Torbay’s countryside. Some areas, such as transport and waste, show neutral impacts</w:t>
      </w:r>
      <w:r>
        <w:rPr>
          <w:lang w:eastAsia="en-GB"/>
        </w:rPr>
        <w:t>.</w:t>
      </w:r>
      <w:r w:rsidRPr="00EC4351">
        <w:rPr>
          <w:lang w:eastAsia="en-GB"/>
        </w:rPr>
        <w:t xml:space="preserve"> Overall, Policy L1 contributes positively to sustainable development and rural resilience.</w:t>
      </w:r>
    </w:p>
    <w:p w14:paraId="42D2B811" w14:textId="77777777" w:rsidR="00EA5D06" w:rsidRPr="00EA5D06" w:rsidRDefault="00EA5D06" w:rsidP="00112FFE">
      <w:pPr>
        <w:pStyle w:val="Heading4"/>
      </w:pPr>
      <w:bookmarkStart w:id="111" w:name="_Toc206677263"/>
      <w:r w:rsidRPr="00EA5D06">
        <w:t>Policy L2</w:t>
      </w:r>
      <w:r w:rsidR="009532FB">
        <w:t>:</w:t>
      </w:r>
      <w:r w:rsidRPr="00EA5D06">
        <w:t xml:space="preserve"> National Landscape</w:t>
      </w:r>
      <w:bookmarkEnd w:id="111"/>
      <w:r w:rsidR="009532FB">
        <w:t xml:space="preserve"> </w:t>
      </w:r>
      <w:r w:rsidR="009532FB" w:rsidRPr="009532FB">
        <w:t>(</w:t>
      </w:r>
      <w:r w:rsidR="009532FB">
        <w:t>P</w:t>
      </w:r>
      <w:r w:rsidR="009532FB" w:rsidRPr="009532FB">
        <w:t>revious Area of Outstanding Natural Beauty)</w:t>
      </w:r>
    </w:p>
    <w:p w14:paraId="28EC46DC" w14:textId="77777777" w:rsidR="00EA5D06" w:rsidRDefault="00EA5D06" w:rsidP="00326CB9">
      <w:pPr>
        <w:pStyle w:val="Heading3"/>
        <w:rPr>
          <w:lang w:eastAsia="en-GB"/>
        </w:rPr>
      </w:pPr>
      <w:r w:rsidRPr="000E2A4B">
        <w:rPr>
          <w:lang w:eastAsia="en-GB"/>
        </w:rPr>
        <w:t>Policy L2 provides strong protection for the South Devon National Landscape</w:t>
      </w:r>
      <w:r>
        <w:rPr>
          <w:lang w:eastAsia="en-GB"/>
        </w:rPr>
        <w:t xml:space="preserve"> (</w:t>
      </w:r>
      <w:r>
        <w:t>SDNL</w:t>
      </w:r>
      <w:r>
        <w:rPr>
          <w:lang w:eastAsia="en-GB"/>
        </w:rPr>
        <w:t>)</w:t>
      </w:r>
      <w:r w:rsidRPr="000E2A4B">
        <w:rPr>
          <w:lang w:eastAsia="en-GB"/>
        </w:rPr>
        <w:t>. It aligns well with sustainability objectives related to landscape quality, biodiversity, climate resilience, and public wellbeing. The policy’s emphasis on avoiding major development unless in exceptional circumstances supports long-term environmental stewardship and scenic preservation.</w:t>
      </w:r>
    </w:p>
    <w:p w14:paraId="0B6721DE" w14:textId="77777777" w:rsidR="00EA5D06" w:rsidRPr="00EA5D06" w:rsidRDefault="00EA5D06" w:rsidP="00112FFE">
      <w:pPr>
        <w:pStyle w:val="Heading4"/>
      </w:pPr>
      <w:bookmarkStart w:id="112" w:name="_Toc206677264"/>
      <w:r w:rsidRPr="00EA5D06">
        <w:lastRenderedPageBreak/>
        <w:t>Policy L3</w:t>
      </w:r>
      <w:r w:rsidR="009532FB">
        <w:t>:</w:t>
      </w:r>
      <w:r w:rsidRPr="00EA5D06">
        <w:t xml:space="preserve"> Coastal Landscape and Change Management</w:t>
      </w:r>
      <w:bookmarkEnd w:id="112"/>
      <w:r w:rsidRPr="00EA5D06">
        <w:t xml:space="preserve"> </w:t>
      </w:r>
    </w:p>
    <w:p w14:paraId="0E8B011E" w14:textId="77777777" w:rsidR="00EA5D06" w:rsidRDefault="00155AAB" w:rsidP="00326CB9">
      <w:pPr>
        <w:pStyle w:val="Heading3"/>
        <w:rPr>
          <w:lang w:eastAsia="en-GB"/>
        </w:rPr>
      </w:pPr>
      <w:r>
        <w:rPr>
          <w:lang w:eastAsia="en-GB"/>
        </w:rPr>
        <w:t>P</w:t>
      </w:r>
      <w:r w:rsidR="00EA5D06" w:rsidRPr="00EC4351">
        <w:rPr>
          <w:lang w:eastAsia="en-GB"/>
        </w:rPr>
        <w:t xml:space="preserve">olicy </w:t>
      </w:r>
      <w:r w:rsidR="00B04440">
        <w:rPr>
          <w:lang w:eastAsia="en-GB"/>
        </w:rPr>
        <w:t xml:space="preserve">L3 </w:t>
      </w:r>
      <w:r w:rsidR="00EA5D06" w:rsidRPr="00EC4351">
        <w:rPr>
          <w:lang w:eastAsia="en-GB"/>
        </w:rPr>
        <w:t>demonstrates strong alignment with environmental and landscape protection goals, particularly in conserving the undeveloped coast and managing coastal change. It supports sustainable tourism and economic development where appropriate, while safeguarding biodiversity, visual quality, and public access. Some objectives, such as transport and housing, show neutral or mixed impacts, indicating areas for further enhancement. Overall, Policy L3 contributes positively to sustainable coastal management and environmental resilience.</w:t>
      </w:r>
    </w:p>
    <w:p w14:paraId="05B6899C" w14:textId="77777777" w:rsidR="00EA5D06" w:rsidRPr="00EA5D06" w:rsidRDefault="00EA5D06" w:rsidP="00112FFE">
      <w:pPr>
        <w:pStyle w:val="Heading4"/>
      </w:pPr>
      <w:bookmarkStart w:id="113" w:name="_Toc206677265"/>
      <w:r w:rsidRPr="00EA5D06">
        <w:t>Policy L4</w:t>
      </w:r>
      <w:r w:rsidR="009532FB">
        <w:t>:</w:t>
      </w:r>
      <w:r w:rsidRPr="00EA5D06">
        <w:t xml:space="preserve"> Valued Landscapes</w:t>
      </w:r>
      <w:bookmarkEnd w:id="113"/>
    </w:p>
    <w:p w14:paraId="46C9D181" w14:textId="77777777" w:rsidR="00EA5D06" w:rsidRPr="009E75BC" w:rsidRDefault="00EA5D06" w:rsidP="00326CB9">
      <w:pPr>
        <w:pStyle w:val="Heading3"/>
        <w:rPr>
          <w:lang w:eastAsia="en-GB"/>
        </w:rPr>
      </w:pPr>
      <w:r w:rsidRPr="009E75BC">
        <w:rPr>
          <w:lang w:eastAsia="en-GB"/>
        </w:rPr>
        <w:t>Policy L4 provides targeted protection for locally valued landscapes, including the South Devon National Landscape and undeveloped coast. It aligns strongly with sustainability objectives related to landscape quality, biodiversity, climate resilience, and public wellbeing. The policy requires sensitive design and mitigation of visual impacts, supporting long-term conservation and community benefits.</w:t>
      </w:r>
    </w:p>
    <w:p w14:paraId="477725AB" w14:textId="77777777" w:rsidR="00EA5D06" w:rsidRPr="00EA5D06" w:rsidRDefault="00EA5D06" w:rsidP="00112FFE">
      <w:pPr>
        <w:pStyle w:val="Heading4"/>
      </w:pPr>
      <w:bookmarkStart w:id="114" w:name="_Toc206677266"/>
      <w:r w:rsidRPr="00EA5D06">
        <w:t>Policy L5</w:t>
      </w:r>
      <w:r w:rsidR="009532FB">
        <w:t>:</w:t>
      </w:r>
      <w:r w:rsidRPr="00EA5D06">
        <w:t xml:space="preserve"> Urban Landscape Protection Areas (ULPAs)</w:t>
      </w:r>
      <w:bookmarkEnd w:id="114"/>
      <w:r w:rsidRPr="00EA5D06">
        <w:t xml:space="preserve"> </w:t>
      </w:r>
    </w:p>
    <w:p w14:paraId="40ECE8DD" w14:textId="77777777" w:rsidR="00D2132E" w:rsidRDefault="00EA5D06" w:rsidP="00326CB9">
      <w:pPr>
        <w:pStyle w:val="Heading3"/>
        <w:rPr>
          <w:lang w:eastAsia="en-GB"/>
        </w:rPr>
      </w:pPr>
      <w:r w:rsidRPr="00C6506E">
        <w:rPr>
          <w:lang w:eastAsia="en-GB"/>
        </w:rPr>
        <w:t>Policy L5 supports Torbay’s sustainability objectives by protecting Urban Landscape Protection Areas (ULPAs) from inappropriate development. These areas contribute significantly to climate resilience, biodiversity, public health, and urban character. The policy ensures that development within ULPAs must enhance their landscape value and contribute positively to the urban environment.</w:t>
      </w:r>
    </w:p>
    <w:p w14:paraId="5BAE34A9" w14:textId="77777777" w:rsidR="00EA5D06" w:rsidRPr="00C6506E" w:rsidRDefault="00EA5D06" w:rsidP="00326CB9">
      <w:pPr>
        <w:pStyle w:val="Heading3"/>
        <w:rPr>
          <w:lang w:eastAsia="en-GB"/>
        </w:rPr>
      </w:pPr>
      <w:r w:rsidRPr="00C6506E">
        <w:rPr>
          <w:lang w:eastAsia="en-GB"/>
        </w:rPr>
        <w:t>Key strengths include climate mitigation, ecological enhancement, improved air and noise quality, and support for active travel and wellbeing. While the policy may limit development opportunities, it enhances urban liveability and long-term sustainability. Strategic planning and inclusive design are essential to maximise the benefits of ULPAs for all communities.</w:t>
      </w:r>
    </w:p>
    <w:p w14:paraId="45271115" w14:textId="77777777" w:rsidR="00EA5D06" w:rsidRPr="00EA5D06" w:rsidRDefault="00EA5D06" w:rsidP="00112FFE">
      <w:pPr>
        <w:pStyle w:val="Heading4"/>
      </w:pPr>
      <w:r w:rsidRPr="00EA5D06">
        <w:t>Policy L6</w:t>
      </w:r>
      <w:r w:rsidR="009532FB">
        <w:t>:</w:t>
      </w:r>
      <w:r w:rsidRPr="00EA5D06">
        <w:t xml:space="preserve"> Local Green Spaces (LGSs)</w:t>
      </w:r>
    </w:p>
    <w:p w14:paraId="06C73CBB" w14:textId="77777777" w:rsidR="00D2132E" w:rsidRDefault="00EA5D06" w:rsidP="00D2132E">
      <w:pPr>
        <w:pStyle w:val="Heading3"/>
        <w:rPr>
          <w:lang w:eastAsia="en-GB"/>
        </w:rPr>
      </w:pPr>
      <w:r w:rsidRPr="00C6506E">
        <w:rPr>
          <w:lang w:eastAsia="en-GB"/>
        </w:rPr>
        <w:t xml:space="preserve">Policy L6 strongly supports Torbay’s sustainability objectives by safeguarding Local Green Spaces (LGSs) from inappropriate development. These spaces play a vital role in climate resilience, biodiversity conservation, public health, and community wellbeing. The policy </w:t>
      </w:r>
      <w:r w:rsidRPr="00C6506E">
        <w:rPr>
          <w:lang w:eastAsia="en-GB"/>
        </w:rPr>
        <w:lastRenderedPageBreak/>
        <w:t>ensures that any development proposals must clearly demonstrate exceptional justification and avoid adverse impacts on the function and character of LGSs.</w:t>
      </w:r>
    </w:p>
    <w:p w14:paraId="24718D34" w14:textId="77777777" w:rsidR="00EA5D06" w:rsidRDefault="00EA5D06" w:rsidP="00326CB9">
      <w:pPr>
        <w:pStyle w:val="Heading3"/>
        <w:rPr>
          <w:lang w:eastAsia="en-GB"/>
        </w:rPr>
      </w:pPr>
      <w:r w:rsidRPr="00C6506E">
        <w:rPr>
          <w:lang w:eastAsia="en-GB"/>
        </w:rPr>
        <w:t>Key strengths include climate mitigation, ecological protection, enhancement of landscape character, and promotion of active lifestyles. While the policy may limit development opportunities, it contributes significantly to long-term sustainability and quality of life. Strategic planning and community engagement are essential to balance development needs with green space preservation.</w:t>
      </w:r>
    </w:p>
    <w:p w14:paraId="3342D15E" w14:textId="77777777" w:rsidR="009532FB" w:rsidRDefault="009532FB" w:rsidP="00112FFE">
      <w:pPr>
        <w:pStyle w:val="Heading4"/>
      </w:pPr>
      <w:r w:rsidRPr="009532FB">
        <w:t>Policy THS: Trees and Hedgerows</w:t>
      </w:r>
    </w:p>
    <w:p w14:paraId="2566D5F2" w14:textId="77777777" w:rsidR="00760005" w:rsidRPr="00AC008E" w:rsidRDefault="00760005" w:rsidP="00326CB9">
      <w:pPr>
        <w:pStyle w:val="Heading3"/>
        <w:rPr>
          <w:lang w:eastAsia="en-GB"/>
        </w:rPr>
      </w:pPr>
      <w:bookmarkStart w:id="115" w:name="_Toc206677268"/>
      <w:r w:rsidRPr="00760005">
        <w:rPr>
          <w:lang w:eastAsia="en-GB"/>
        </w:rPr>
        <w:t>P</w:t>
      </w:r>
      <w:r w:rsidRPr="00AC008E">
        <w:rPr>
          <w:lang w:eastAsia="en-GB"/>
        </w:rPr>
        <w:t>olicy</w:t>
      </w:r>
      <w:r w:rsidRPr="00760005">
        <w:rPr>
          <w:lang w:eastAsia="en-GB"/>
        </w:rPr>
        <w:t xml:space="preserve"> THS</w:t>
      </w:r>
      <w:r w:rsidRPr="00AC008E">
        <w:rPr>
          <w:lang w:eastAsia="en-GB"/>
        </w:rPr>
        <w:t xml:space="preserve"> demonstrates strong alignment with environmental and social goals, particularly in areas such as climate change mitigation, biodiversity conservation, and public health. While some objectives are indirectly addressed or neutral, appropriate mitigation measures can enhance the policy’s overall sustainability impact.</w:t>
      </w:r>
    </w:p>
    <w:p w14:paraId="752A73BC" w14:textId="77777777" w:rsidR="00EA5D06" w:rsidRPr="00EA5D06" w:rsidRDefault="00EA5D06" w:rsidP="00112FFE">
      <w:pPr>
        <w:pStyle w:val="Heading4"/>
      </w:pPr>
      <w:r w:rsidRPr="00EA5D06">
        <w:t>Policy TH1</w:t>
      </w:r>
      <w:r w:rsidR="009532FB">
        <w:t xml:space="preserve">: </w:t>
      </w:r>
      <w:r w:rsidRPr="00EA5D06">
        <w:t>Trees, Hedgerows and Natural Landscape Features</w:t>
      </w:r>
      <w:bookmarkEnd w:id="115"/>
    </w:p>
    <w:p w14:paraId="78A6F6CB" w14:textId="77777777" w:rsidR="00D2132E" w:rsidRPr="00B86E76" w:rsidRDefault="00EA5D06" w:rsidP="00326CB9">
      <w:pPr>
        <w:pStyle w:val="Heading3"/>
        <w:rPr>
          <w:lang w:eastAsia="en-GB"/>
        </w:rPr>
      </w:pPr>
      <w:r w:rsidRPr="00B86E76">
        <w:rPr>
          <w:lang w:eastAsia="en-GB"/>
        </w:rPr>
        <w:t>Policy TH1 demonstrates a strong alignment with Torbay’s sustainability objectives, particularly in areas related to climate resilience, biodiversity, landscape quality, and health and wellbeing. It promotes the retention and protection of natural features and integrates them into development design, ensuring long-term sustainability and community benefit.</w:t>
      </w:r>
    </w:p>
    <w:p w14:paraId="3856C18F" w14:textId="77777777" w:rsidR="00EA5D06" w:rsidRPr="00B86E76" w:rsidRDefault="00EA5D06" w:rsidP="00326CB9">
      <w:pPr>
        <w:pStyle w:val="Heading3"/>
        <w:rPr>
          <w:lang w:eastAsia="en-GB"/>
        </w:rPr>
      </w:pPr>
      <w:r w:rsidRPr="00B86E76">
        <w:rPr>
          <w:lang w:eastAsia="en-GB"/>
        </w:rPr>
        <w:t>Key strengths include protection of ancient and veteran trees, hedgerows, and woodland; integration with SuDS and climate resilience strategies; emphasis on native species and long-term management; and support for placemaking and community safety.</w:t>
      </w:r>
      <w:r w:rsidRPr="00184C90">
        <w:rPr>
          <w:lang w:eastAsia="en-GB"/>
        </w:rPr>
        <w:t xml:space="preserve"> </w:t>
      </w:r>
      <w:r w:rsidRPr="00444504">
        <w:rPr>
          <w:lang w:eastAsia="en-GB"/>
        </w:rPr>
        <w:t>Mitigation measures include careful species selection</w:t>
      </w:r>
      <w:r>
        <w:rPr>
          <w:lang w:eastAsia="en-GB"/>
        </w:rPr>
        <w:t xml:space="preserve"> and</w:t>
      </w:r>
      <w:r w:rsidRPr="00444504">
        <w:rPr>
          <w:lang w:eastAsia="en-GB"/>
        </w:rPr>
        <w:t xml:space="preserve"> prioritising planting in underserved areas</w:t>
      </w:r>
      <w:r>
        <w:rPr>
          <w:lang w:eastAsia="en-GB"/>
        </w:rPr>
        <w:t>.</w:t>
      </w:r>
    </w:p>
    <w:p w14:paraId="734C4F81" w14:textId="77777777" w:rsidR="00EA5D06" w:rsidRPr="00EA5D06" w:rsidRDefault="00EA5D06" w:rsidP="00112FFE">
      <w:pPr>
        <w:pStyle w:val="Heading4"/>
      </w:pPr>
      <w:bookmarkStart w:id="116" w:name="_Toc206677269"/>
      <w:r w:rsidRPr="00EA5D06">
        <w:t>Policy TH2</w:t>
      </w:r>
      <w:r w:rsidR="009532FB">
        <w:t>:</w:t>
      </w:r>
      <w:r w:rsidRPr="00EA5D06">
        <w:t xml:space="preserve"> Mitigating for Loss of Trees, Hedgerows and Woodland</w:t>
      </w:r>
      <w:bookmarkEnd w:id="116"/>
    </w:p>
    <w:p w14:paraId="51930FC8" w14:textId="77777777" w:rsidR="00EA5D06" w:rsidRPr="00341C0E" w:rsidRDefault="00EA5D06" w:rsidP="00326CB9">
      <w:pPr>
        <w:pStyle w:val="Heading3"/>
        <w:rPr>
          <w:lang w:eastAsia="en-GB"/>
        </w:rPr>
      </w:pPr>
      <w:r w:rsidRPr="00341C0E">
        <w:rPr>
          <w:lang w:eastAsia="en-GB"/>
        </w:rPr>
        <w:t>Policy TH2 supports sustainability by requiring compensatory planting when trees, hedgerows, or woodland are lost due to development. It aligns strongly with environmental and social objectives, particularly those related to climate change, biodiversity, landscape quality, and public health.</w:t>
      </w:r>
    </w:p>
    <w:p w14:paraId="11D158AE" w14:textId="77777777" w:rsidR="00EA5D06" w:rsidRPr="00EA5D06" w:rsidRDefault="00EA5D06" w:rsidP="00112FFE">
      <w:pPr>
        <w:pStyle w:val="Heading4"/>
      </w:pPr>
      <w:bookmarkStart w:id="117" w:name="_Toc206677270"/>
      <w:r w:rsidRPr="00EA5D06">
        <w:lastRenderedPageBreak/>
        <w:t>Policy NCS1</w:t>
      </w:r>
      <w:r w:rsidR="009532FB">
        <w:t>:</w:t>
      </w:r>
      <w:r w:rsidRPr="00EA5D06">
        <w:t xml:space="preserve"> Biodiversity Strategy</w:t>
      </w:r>
      <w:bookmarkEnd w:id="117"/>
      <w:r w:rsidR="009532FB" w:rsidRPr="009532FB">
        <w:rPr>
          <w:rFonts w:asciiTheme="minorHAnsi" w:eastAsiaTheme="minorEastAsia" w:hAnsiTheme="minorHAnsi" w:cstheme="minorBidi"/>
          <w:color w:val="auto"/>
          <w:sz w:val="24"/>
          <w:szCs w:val="21"/>
        </w:rPr>
        <w:t xml:space="preserve"> </w:t>
      </w:r>
      <w:r w:rsidR="009532FB" w:rsidRPr="009532FB">
        <w:t>and Nature Recovery</w:t>
      </w:r>
      <w:r w:rsidR="009532FB">
        <w:t xml:space="preserve"> Network</w:t>
      </w:r>
    </w:p>
    <w:p w14:paraId="2743C9B4" w14:textId="77777777" w:rsidR="00D2132E" w:rsidRPr="00DC1CAF" w:rsidRDefault="00EA5D06" w:rsidP="00326CB9">
      <w:pPr>
        <w:pStyle w:val="Heading3"/>
        <w:rPr>
          <w:lang w:eastAsia="en-GB"/>
        </w:rPr>
      </w:pPr>
      <w:r w:rsidRPr="00DC1CAF">
        <w:rPr>
          <w:lang w:eastAsia="en-GB"/>
        </w:rPr>
        <w:t>Policy NCS1 strongly supports sustainability through its emphasis on biodiversity conservation, ecosystem services, and nature recovery. It aligns particularly well with objectives related to climate change mitigation, environmental quality, habitat protection, landscape enhancement, and health and wellbeing. While some objectives</w:t>
      </w:r>
      <w:r w:rsidR="00B04440">
        <w:rPr>
          <w:lang w:eastAsia="en-GB"/>
        </w:rPr>
        <w:t xml:space="preserve"> </w:t>
      </w:r>
      <w:r w:rsidRPr="00DC1CAF">
        <w:rPr>
          <w:lang w:eastAsia="en-GB"/>
        </w:rPr>
        <w:t>such as waste reduction, historic environment, housing, and economic growth</w:t>
      </w:r>
      <w:r w:rsidR="00AF451A">
        <w:rPr>
          <w:lang w:eastAsia="en-GB"/>
        </w:rPr>
        <w:t xml:space="preserve"> </w:t>
      </w:r>
      <w:r w:rsidRPr="00DC1CAF">
        <w:rPr>
          <w:lang w:eastAsia="en-GB"/>
        </w:rPr>
        <w:t>are not directly addressed, the policy contributes indirectly through improved green infrastructure and ecological resilience.</w:t>
      </w:r>
    </w:p>
    <w:p w14:paraId="6E9DC499" w14:textId="77777777" w:rsidR="00EA5D06" w:rsidRPr="00DC1CAF" w:rsidRDefault="00EA5D06" w:rsidP="00326CB9">
      <w:pPr>
        <w:pStyle w:val="Heading3"/>
        <w:rPr>
          <w:lang w:eastAsia="en-GB"/>
        </w:rPr>
      </w:pPr>
      <w:r w:rsidRPr="00DC1CAF">
        <w:rPr>
          <w:lang w:eastAsia="en-GB"/>
        </w:rPr>
        <w:t>The policy’s use of the mitigation hierarchy, promotion of net biodiversity gain, and integration with local strategies (e.g. LNRS, NRN, Green Infrastructure Strategy) ensures a robust framework for sustainable development. It encourages long-term land management and public access to nature, which further supports community wellbeing and environmental stewardship.</w:t>
      </w:r>
    </w:p>
    <w:p w14:paraId="358C02FD" w14:textId="77777777" w:rsidR="00EA5D06" w:rsidRPr="00EA5D06" w:rsidRDefault="00EA5D06" w:rsidP="00112FFE">
      <w:pPr>
        <w:pStyle w:val="Heading4"/>
      </w:pPr>
      <w:bookmarkStart w:id="118" w:name="_Toc206677271"/>
      <w:r w:rsidRPr="00EA5D06">
        <w:t>Policy NCS2</w:t>
      </w:r>
      <w:r w:rsidR="009532FB">
        <w:t>:</w:t>
      </w:r>
      <w:r w:rsidRPr="00EA5D06">
        <w:t xml:space="preserve"> Strategic </w:t>
      </w:r>
      <w:bookmarkEnd w:id="118"/>
      <w:r w:rsidRPr="00EA5D06">
        <w:t xml:space="preserve">Habitats Regulations Assessment </w:t>
      </w:r>
    </w:p>
    <w:p w14:paraId="575B82D8" w14:textId="77777777" w:rsidR="00EA5D06" w:rsidRDefault="00EA5D06" w:rsidP="00326CB9">
      <w:pPr>
        <w:pStyle w:val="Heading3"/>
        <w:rPr>
          <w:lang w:eastAsia="en-GB"/>
        </w:rPr>
      </w:pPr>
      <w:r w:rsidRPr="00C336F9">
        <w:rPr>
          <w:lang w:eastAsia="en-GB"/>
        </w:rPr>
        <w:t xml:space="preserve">The policy is designed to ensure that development does not adversely affect the integrity of protected habitats and species, in line with the Conservation of Habitats and Species Regulations 2017. It requires rigorous evidence and assessment procedures, including Habitats Regulations Assessment (HRA), to safeguard </w:t>
      </w:r>
      <w:r>
        <w:rPr>
          <w:lang w:eastAsia="en-GB"/>
        </w:rPr>
        <w:t>European sites</w:t>
      </w:r>
      <w:r w:rsidRPr="00C336F9">
        <w:rPr>
          <w:lang w:eastAsia="en-GB"/>
        </w:rPr>
        <w:t xml:space="preserve"> integrity. The policy aligns strongly with environmental sustainability goals, particularly in habitat protection, landscape conservation, and climate resilience. While some objectives such as waste, transport, and housing show neutral or mixed impacts, the overall contribution of Policy NCS2 to sustainable development is positive.</w:t>
      </w:r>
    </w:p>
    <w:p w14:paraId="6CB777A0" w14:textId="77777777" w:rsidR="00EA5D06" w:rsidRPr="00EA5D06" w:rsidRDefault="00EA5D06" w:rsidP="00112FFE">
      <w:pPr>
        <w:pStyle w:val="Heading4"/>
      </w:pPr>
      <w:bookmarkStart w:id="119" w:name="_Toc206677272"/>
      <w:r w:rsidRPr="00EA5D06">
        <w:t>Policy NC1</w:t>
      </w:r>
      <w:r w:rsidR="009532FB">
        <w:t>:</w:t>
      </w:r>
      <w:r w:rsidRPr="00EA5D06">
        <w:t xml:space="preserve"> Biodiversity and Ecology</w:t>
      </w:r>
      <w:bookmarkEnd w:id="119"/>
      <w:r w:rsidRPr="00EA5D06">
        <w:t xml:space="preserve"> </w:t>
      </w:r>
    </w:p>
    <w:p w14:paraId="55752930" w14:textId="77777777" w:rsidR="00D2132E" w:rsidRDefault="00EA5D06" w:rsidP="00D2132E">
      <w:pPr>
        <w:pStyle w:val="Heading3"/>
        <w:rPr>
          <w:lang w:eastAsia="en-GB"/>
        </w:rPr>
      </w:pPr>
      <w:r w:rsidRPr="000E2C24">
        <w:rPr>
          <w:lang w:eastAsia="en-GB"/>
        </w:rPr>
        <w:t>Policy NC1 provides a robust framework for protecting biodiversity at international, national, regional, and local levels. It strongly supports sustainability objectives related to habitat conservation, landscape quality, and health and wellbeing. The policy’s emphasis on avoiding harm, rigorous assessment, and early compensation planning aligns well with the mitigation hierarchy and ecological best practices.</w:t>
      </w:r>
    </w:p>
    <w:p w14:paraId="0AB9FE37" w14:textId="77777777" w:rsidR="00EA5D06" w:rsidRDefault="00EA5D06" w:rsidP="00326CB9">
      <w:pPr>
        <w:pStyle w:val="Heading3"/>
        <w:rPr>
          <w:lang w:eastAsia="en-GB"/>
        </w:rPr>
      </w:pPr>
      <w:r w:rsidRPr="000E2C24">
        <w:rPr>
          <w:lang w:eastAsia="en-GB"/>
        </w:rPr>
        <w:t>While some objectives</w:t>
      </w:r>
      <w:r>
        <w:rPr>
          <w:lang w:eastAsia="en-GB"/>
        </w:rPr>
        <w:t xml:space="preserve"> </w:t>
      </w:r>
      <w:r w:rsidRPr="000E2C24">
        <w:rPr>
          <w:lang w:eastAsia="en-GB"/>
        </w:rPr>
        <w:t>such as waste reduction, housing, and transport</w:t>
      </w:r>
      <w:r>
        <w:rPr>
          <w:lang w:eastAsia="en-GB"/>
        </w:rPr>
        <w:t xml:space="preserve"> </w:t>
      </w:r>
      <w:r w:rsidRPr="000E2C24">
        <w:rPr>
          <w:lang w:eastAsia="en-GB"/>
        </w:rPr>
        <w:t xml:space="preserve">are not directly addressed, the policy contributes indirectly through ecosystem services and green </w:t>
      </w:r>
      <w:r w:rsidRPr="000E2C24">
        <w:rPr>
          <w:lang w:eastAsia="en-GB"/>
        </w:rPr>
        <w:lastRenderedPageBreak/>
        <w:t>infrastructure. Its integration with Natural England’s advisory services and requirement for biodiversity value assessments ensures a proactive and evidence-based approach to ecological protection.</w:t>
      </w:r>
    </w:p>
    <w:p w14:paraId="1C5A4D6A" w14:textId="77777777" w:rsidR="009532FB" w:rsidRDefault="009532FB" w:rsidP="00112FFE">
      <w:pPr>
        <w:pStyle w:val="Heading4"/>
      </w:pPr>
      <w:r w:rsidRPr="009532FB">
        <w:t>Policy NC2: Species of principal importance</w:t>
      </w:r>
    </w:p>
    <w:p w14:paraId="4F588F48" w14:textId="77777777" w:rsidR="009532FB" w:rsidRPr="00810D94" w:rsidRDefault="00810D94" w:rsidP="00326CB9">
      <w:pPr>
        <w:pStyle w:val="Heading3"/>
        <w:rPr>
          <w:lang w:val="en-US"/>
        </w:rPr>
      </w:pPr>
      <w:bookmarkStart w:id="120" w:name="_Hlk213228766"/>
      <w:r w:rsidRPr="00810D94">
        <w:rPr>
          <w:lang w:val="en-US"/>
        </w:rPr>
        <w:t>Policy NC2</w:t>
      </w:r>
      <w:r>
        <w:rPr>
          <w:lang w:val="en-US"/>
        </w:rPr>
        <w:t xml:space="preserve"> </w:t>
      </w:r>
      <w:r w:rsidRPr="00810D94">
        <w:rPr>
          <w:lang w:val="en-US"/>
        </w:rPr>
        <w:t>demonstrates strong alignment with sustainability objectives, particularly in conserving biodiversity, enhancing habitats, and supporting ecological resilience. While some objectives are indirectly supported or neutral, the policy's emphasis on habitat enhancement, species protection, and integration of biodiversity features into development contributes positively to environmental, social, and economic sustainability. Mitigation measures are recommended to maximi</w:t>
      </w:r>
      <w:r>
        <w:rPr>
          <w:lang w:val="en-US"/>
        </w:rPr>
        <w:t>s</w:t>
      </w:r>
      <w:r w:rsidRPr="00810D94">
        <w:rPr>
          <w:lang w:val="en-US"/>
        </w:rPr>
        <w:t>e benefits and ensure equitable and effective implementation.</w:t>
      </w:r>
    </w:p>
    <w:p w14:paraId="137DAAB4" w14:textId="77777777" w:rsidR="00EA5D06" w:rsidRPr="00EA5D06" w:rsidRDefault="00EA5D06" w:rsidP="00112FFE">
      <w:pPr>
        <w:pStyle w:val="Heading4"/>
      </w:pPr>
      <w:bookmarkStart w:id="121" w:name="_Toc206677273"/>
      <w:bookmarkEnd w:id="120"/>
      <w:r w:rsidRPr="00EA5D06">
        <w:t>Policy NC</w:t>
      </w:r>
      <w:r w:rsidR="009532FB">
        <w:t>3:</w:t>
      </w:r>
      <w:r w:rsidRPr="00EA5D06">
        <w:t xml:space="preserve"> Biodiversity Net Gain</w:t>
      </w:r>
      <w:bookmarkEnd w:id="121"/>
    </w:p>
    <w:p w14:paraId="570A844B" w14:textId="77777777" w:rsidR="00EA5D06" w:rsidRDefault="00EA5D06" w:rsidP="00326CB9">
      <w:pPr>
        <w:pStyle w:val="Heading3"/>
        <w:rPr>
          <w:lang w:eastAsia="en-GB"/>
        </w:rPr>
      </w:pPr>
      <w:r w:rsidRPr="00BE1E2D">
        <w:rPr>
          <w:lang w:eastAsia="en-GB"/>
        </w:rPr>
        <w:t>Policy NC</w:t>
      </w:r>
      <w:r w:rsidR="009532FB">
        <w:rPr>
          <w:lang w:eastAsia="en-GB"/>
        </w:rPr>
        <w:t>3</w:t>
      </w:r>
      <w:r w:rsidRPr="00BE1E2D">
        <w:rPr>
          <w:lang w:eastAsia="en-GB"/>
        </w:rPr>
        <w:t xml:space="preserve"> establishes a clear requirement for 10% Biodiversity Net Gain on development sites, supporting key sustainability objectives. It prioritises on-site delivery but allows off-site provision where more beneficial, aligning with local strategies. The policy protects irreplaceable habitats and encourages nature-based solutions, contributing to climate resilience, landscape quality, and public wellbeing.</w:t>
      </w:r>
    </w:p>
    <w:p w14:paraId="49822755" w14:textId="77777777" w:rsidR="00EA5D06" w:rsidRPr="00EA5D06" w:rsidRDefault="00EA5D06" w:rsidP="00112FFE">
      <w:pPr>
        <w:pStyle w:val="Heading4"/>
      </w:pPr>
      <w:r w:rsidRPr="00EA5D06">
        <w:t>Policy NC</w:t>
      </w:r>
      <w:r w:rsidR="009532FB">
        <w:t>4:</w:t>
      </w:r>
      <w:r w:rsidRPr="00EA5D06">
        <w:t xml:space="preserve"> Light Pollution</w:t>
      </w:r>
    </w:p>
    <w:p w14:paraId="212BCBE9" w14:textId="77777777" w:rsidR="00D2132E" w:rsidRDefault="00EA5D06" w:rsidP="00D2132E">
      <w:pPr>
        <w:pStyle w:val="Heading3"/>
        <w:rPr>
          <w:lang w:eastAsia="en-GB"/>
        </w:rPr>
      </w:pPr>
      <w:r w:rsidRPr="00032519">
        <w:rPr>
          <w:lang w:eastAsia="en-GB"/>
        </w:rPr>
        <w:t>Policy NC</w:t>
      </w:r>
      <w:r w:rsidR="009532FB">
        <w:rPr>
          <w:lang w:eastAsia="en-GB"/>
        </w:rPr>
        <w:t>4</w:t>
      </w:r>
      <w:r w:rsidRPr="00032519">
        <w:rPr>
          <w:lang w:eastAsia="en-GB"/>
        </w:rPr>
        <w:t xml:space="preserve"> demonstrates strong alignment with Torbay’s sustainability objectives, particularly in areas concerning environmental protection, landscape character, and public health. The policy’s emphasis on minimising unnecessary artificial lighting, controlling light spill and glare, and protecting sensitive ecological and heritage areas contributes positively to climate action, biodiversity conservation, and the enhancement of visual and historic environments.</w:t>
      </w:r>
    </w:p>
    <w:p w14:paraId="283A6FEE" w14:textId="77777777" w:rsidR="00D2132E" w:rsidRDefault="00EA5D06" w:rsidP="00D2132E">
      <w:pPr>
        <w:pStyle w:val="Heading3"/>
        <w:rPr>
          <w:lang w:eastAsia="en-GB"/>
        </w:rPr>
      </w:pPr>
      <w:r w:rsidRPr="00032519">
        <w:rPr>
          <w:lang w:eastAsia="en-GB"/>
        </w:rPr>
        <w:t>Some objectives, such as waste reduction, land reuse, and economic growth, are less directly impacted but can benefit through thoughtful implementation and complementary measures.</w:t>
      </w:r>
    </w:p>
    <w:p w14:paraId="64E4BF79" w14:textId="77777777" w:rsidR="00EA5D06" w:rsidRPr="00032519" w:rsidRDefault="00EA5D06" w:rsidP="00326CB9">
      <w:pPr>
        <w:pStyle w:val="Heading3"/>
        <w:rPr>
          <w:lang w:eastAsia="en-GB"/>
        </w:rPr>
      </w:pPr>
      <w:r w:rsidRPr="00032519">
        <w:rPr>
          <w:lang w:eastAsia="en-GB"/>
        </w:rPr>
        <w:t>Overall, Policy NC</w:t>
      </w:r>
      <w:r w:rsidR="009532FB">
        <w:rPr>
          <w:lang w:eastAsia="en-GB"/>
        </w:rPr>
        <w:t>4</w:t>
      </w:r>
      <w:r w:rsidRPr="00032519">
        <w:rPr>
          <w:lang w:eastAsia="en-GB"/>
        </w:rPr>
        <w:t xml:space="preserve"> is a well-integrated approach to managing light pollution in a way that supports Torbay’s broader sustainability goals. Mitigation measures such as ecological </w:t>
      </w:r>
      <w:r w:rsidRPr="00032519">
        <w:rPr>
          <w:lang w:eastAsia="en-GB"/>
        </w:rPr>
        <w:lastRenderedPageBreak/>
        <w:t>lighting assessments, use of energy-efficient fixtures, and context-sensitive design are essential to maximise its effectiveness.</w:t>
      </w:r>
    </w:p>
    <w:p w14:paraId="36925FC5" w14:textId="77777777" w:rsidR="00EA5D06" w:rsidRPr="00EA5D06" w:rsidRDefault="00EA5D06" w:rsidP="00112FFE">
      <w:pPr>
        <w:pStyle w:val="Heading4"/>
      </w:pPr>
      <w:bookmarkStart w:id="122" w:name="_Toc206677274"/>
      <w:r w:rsidRPr="00EA5D06">
        <w:t>Policy GE1</w:t>
      </w:r>
      <w:r w:rsidR="005510AE">
        <w:t>:</w:t>
      </w:r>
      <w:r w:rsidRPr="00EA5D06">
        <w:t xml:space="preserve"> Geodiversity</w:t>
      </w:r>
      <w:bookmarkEnd w:id="122"/>
      <w:r w:rsidRPr="001B7BFB">
        <w:t xml:space="preserve"> </w:t>
      </w:r>
      <w:r w:rsidRPr="00EA5D06">
        <w:t xml:space="preserve">and the English Riviera UNESCO Global Geopark  </w:t>
      </w:r>
    </w:p>
    <w:p w14:paraId="2870E81A" w14:textId="77777777" w:rsidR="00EA5D06" w:rsidRDefault="00EA5D06" w:rsidP="00326CB9">
      <w:pPr>
        <w:pStyle w:val="Heading3"/>
        <w:rPr>
          <w:lang w:eastAsia="en-GB"/>
        </w:rPr>
      </w:pPr>
      <w:r w:rsidRPr="005D4CB1">
        <w:rPr>
          <w:lang w:eastAsia="en-GB"/>
        </w:rPr>
        <w:t>Policy GE1 provides strong protection for Torbay’s geodiversity, including designated geosites within the UNESCO Global Geopark. It aligns well with sustainability objectives related to geodiversity, climate resilience, heritage, economic growth, and public wellbeing. The policy promotes conservation, public access, and education, supporting long-term stewardship and sustainable tourism.</w:t>
      </w:r>
    </w:p>
    <w:p w14:paraId="0E84F7A1" w14:textId="77777777" w:rsidR="00EA5D06" w:rsidRPr="00EA5D06" w:rsidRDefault="00EA5D06" w:rsidP="00112FFE">
      <w:pPr>
        <w:pStyle w:val="Heading4"/>
      </w:pPr>
      <w:bookmarkStart w:id="123" w:name="_Toc206677275"/>
      <w:r w:rsidRPr="00EA5D06">
        <w:t>Policy GIS</w:t>
      </w:r>
      <w:r w:rsidR="005510AE">
        <w:t>:</w:t>
      </w:r>
      <w:r w:rsidRPr="00EA5D06">
        <w:t xml:space="preserve"> Green</w:t>
      </w:r>
      <w:r w:rsidRPr="00211E46">
        <w:t xml:space="preserve"> </w:t>
      </w:r>
      <w:r w:rsidRPr="00EA5D06">
        <w:t>and Blue Infrastructure</w:t>
      </w:r>
      <w:bookmarkEnd w:id="123"/>
      <w:r w:rsidRPr="00EA5D06">
        <w:t xml:space="preserve"> Strategy</w:t>
      </w:r>
    </w:p>
    <w:p w14:paraId="1E1C8839" w14:textId="77777777" w:rsidR="00EA5D06" w:rsidRPr="00B25BAA" w:rsidRDefault="00EA5D06" w:rsidP="00326CB9">
      <w:pPr>
        <w:pStyle w:val="Heading3"/>
        <w:rPr>
          <w:lang w:eastAsia="en-GB"/>
        </w:rPr>
      </w:pPr>
      <w:r w:rsidRPr="00883CB0">
        <w:rPr>
          <w:lang w:eastAsia="en-GB"/>
        </w:rPr>
        <w:t>The Green and Blue Infrastructure Strategy demonstrates strong alignment with environmental and social sustainability objectives. It provides significant benefits in areas such as climate change mitigation, biodiversity, landscape quality, and public health. Neutral impacts are observed in areas like waste management, land reuse, and poverty reduction, which present opportunities for enhancement through targeted measures.</w:t>
      </w:r>
    </w:p>
    <w:p w14:paraId="47A2B70B" w14:textId="77777777" w:rsidR="00B664EF" w:rsidRDefault="00B664EF" w:rsidP="00112FFE">
      <w:pPr>
        <w:pStyle w:val="Heading2"/>
      </w:pPr>
      <w:bookmarkStart w:id="124" w:name="_Toc215140040"/>
      <w:r w:rsidRPr="00B664EF">
        <w:t xml:space="preserve">Our </w:t>
      </w:r>
      <w:r w:rsidR="005510AE">
        <w:t>S</w:t>
      </w:r>
      <w:r w:rsidRPr="00B664EF">
        <w:t xml:space="preserve">hared </w:t>
      </w:r>
      <w:r w:rsidR="005510AE">
        <w:t>H</w:t>
      </w:r>
      <w:r w:rsidRPr="00B664EF">
        <w:t xml:space="preserve">istory: Protecting and </w:t>
      </w:r>
      <w:r w:rsidR="005510AE">
        <w:t>E</w:t>
      </w:r>
      <w:r w:rsidRPr="00B664EF">
        <w:t xml:space="preserve">nhancing Torbay’s </w:t>
      </w:r>
      <w:r w:rsidR="005510AE">
        <w:t>H</w:t>
      </w:r>
      <w:r w:rsidRPr="00B664EF">
        <w:t xml:space="preserve">eritage and </w:t>
      </w:r>
      <w:r w:rsidR="005510AE">
        <w:t>I</w:t>
      </w:r>
      <w:r w:rsidRPr="00B664EF">
        <w:t>dentity</w:t>
      </w:r>
      <w:bookmarkEnd w:id="124"/>
      <w:r w:rsidRPr="00B664EF">
        <w:t xml:space="preserve"> </w:t>
      </w:r>
    </w:p>
    <w:p w14:paraId="4854EDA6" w14:textId="77777777" w:rsidR="005510AE" w:rsidRPr="005510AE" w:rsidRDefault="005510AE" w:rsidP="00112FFE">
      <w:pPr>
        <w:pStyle w:val="Heading4"/>
      </w:pPr>
      <w:r w:rsidRPr="005510AE">
        <w:t>Policy HES: Historic Environment Strategy</w:t>
      </w:r>
    </w:p>
    <w:p w14:paraId="7D2DCC2C" w14:textId="77777777" w:rsidR="005510AE" w:rsidRDefault="005510AE" w:rsidP="00326CB9">
      <w:pPr>
        <w:pStyle w:val="Heading3"/>
        <w:rPr>
          <w:lang w:val="en-US"/>
        </w:rPr>
      </w:pPr>
      <w:r w:rsidRPr="004A382F">
        <w:rPr>
          <w:lang w:val="en-US"/>
        </w:rPr>
        <w:t>Policy HES demonstrates strong alignment with sustainability objectives related to heritage conservation, land reuse, economic regeneration, and community wellbeing. It provides a robust framework for protecting and enhancing Torbay’s historic environment while allowing for sensitive adaptation and development. Opportunities exist to further integrate heritage with climate adaptation, biodiversity, and inclusive access.</w:t>
      </w:r>
    </w:p>
    <w:p w14:paraId="60FEB024" w14:textId="77777777" w:rsidR="005510AE" w:rsidRPr="005510AE" w:rsidRDefault="005510AE" w:rsidP="00112FFE">
      <w:pPr>
        <w:pStyle w:val="Heading4"/>
      </w:pPr>
      <w:r w:rsidRPr="005510AE">
        <w:t>Policy HE1: Designated Heritage Assets (CAs Listed Buildings Structures and Gardens, Scheduled Monuments)</w:t>
      </w:r>
    </w:p>
    <w:p w14:paraId="25B82E2B" w14:textId="77777777" w:rsidR="005510AE" w:rsidRPr="000515C2" w:rsidRDefault="005510AE" w:rsidP="00326CB9">
      <w:pPr>
        <w:pStyle w:val="Heading3"/>
        <w:rPr>
          <w:lang w:val="en-US"/>
        </w:rPr>
      </w:pPr>
      <w:r w:rsidRPr="002C45D6">
        <w:rPr>
          <w:lang w:val="en-US"/>
        </w:rPr>
        <w:t>Policy HE</w:t>
      </w:r>
      <w:r>
        <w:rPr>
          <w:lang w:val="en-US"/>
        </w:rPr>
        <w:t>1</w:t>
      </w:r>
      <w:r w:rsidRPr="002C45D6">
        <w:rPr>
          <w:lang w:val="en-US"/>
        </w:rPr>
        <w:t xml:space="preserve"> demonstrates strong alignment with sustainability objectives related to the historic environment, landscape character, and reuse of buildings. It supports the conservation and adaptive reuse of designated heritage assets, contributing to cultural identity, economic growth, and wellbeing. While some objectives such as climate change </w:t>
      </w:r>
      <w:r w:rsidRPr="002C45D6">
        <w:rPr>
          <w:lang w:val="en-US"/>
        </w:rPr>
        <w:lastRenderedPageBreak/>
        <w:t>and transport are less directly addressed, they present opportunities for enhancement through implementation strategies. Overall, Policy HE</w:t>
      </w:r>
      <w:r>
        <w:rPr>
          <w:lang w:val="en-US"/>
        </w:rPr>
        <w:t>1</w:t>
      </w:r>
      <w:r w:rsidRPr="002C45D6">
        <w:rPr>
          <w:lang w:val="en-US"/>
        </w:rPr>
        <w:t xml:space="preserve"> provides a robust framework for protecting Torbay’s heritage while supporting sustainable development.</w:t>
      </w:r>
    </w:p>
    <w:p w14:paraId="25D00057" w14:textId="77777777" w:rsidR="005510AE" w:rsidRPr="005510AE" w:rsidRDefault="005510AE" w:rsidP="00112FFE">
      <w:pPr>
        <w:pStyle w:val="Heading4"/>
      </w:pPr>
      <w:r w:rsidRPr="005510AE">
        <w:t>Policy HE2: Conservation Areas Protection and Enhancement</w:t>
      </w:r>
    </w:p>
    <w:p w14:paraId="37A9BF7B" w14:textId="77777777" w:rsidR="005510AE" w:rsidRPr="00B83F14" w:rsidRDefault="005510AE" w:rsidP="00326CB9">
      <w:pPr>
        <w:pStyle w:val="Heading3"/>
        <w:rPr>
          <w:lang w:val="en-US"/>
        </w:rPr>
      </w:pPr>
      <w:r w:rsidRPr="00B83F14">
        <w:rPr>
          <w:lang w:val="en-US"/>
        </w:rPr>
        <w:t>Policy HE2 demonstrates strong alignment with sustainability objectives related to the conservation of the historic environment, landscape character, and reuse of existing buildings. It supports the preservation and enhancement of Conservation Areas while allowing for sensitive adaptation to climate change and modern needs. The policy contributes positively to economic regeneration, health and wellbeing, and community identity. While some objectives such as waste management and air quality are less directly addressed, they can be supported through implementation strategies. Overall, the policy provides a robust framework for sustainable heritage-led development in Torbay.</w:t>
      </w:r>
    </w:p>
    <w:p w14:paraId="06239C2B" w14:textId="77777777" w:rsidR="005510AE" w:rsidRPr="005510AE" w:rsidRDefault="005510AE" w:rsidP="00112FFE">
      <w:pPr>
        <w:pStyle w:val="Heading4"/>
      </w:pPr>
      <w:r w:rsidRPr="005510AE">
        <w:t>Policy HE3: Non-Designated Heritage Assets</w:t>
      </w:r>
    </w:p>
    <w:p w14:paraId="1F2ABFDE" w14:textId="77777777" w:rsidR="005510AE" w:rsidRPr="00CB1017" w:rsidRDefault="005510AE" w:rsidP="00326CB9">
      <w:pPr>
        <w:pStyle w:val="Heading3"/>
        <w:rPr>
          <w:lang w:val="en-US"/>
        </w:rPr>
      </w:pPr>
      <w:r w:rsidRPr="00CB1017">
        <w:rPr>
          <w:lang w:val="en-US"/>
        </w:rPr>
        <w:t>Policy HE3 demonstrates strong alignment with sustainability objectives related to the conservation and adaptive reuse of heritage assets. It supports climate resilience, waste reduction, economic regeneration, and the enhancement of local character. While some objectives such as biodiversity and transport are less directly addressed, they present opportunities for enhancement through implementation strategies. Overall, the policy provides a flexible and supportive framework for sustainable heritage management in Torbay.</w:t>
      </w:r>
    </w:p>
    <w:p w14:paraId="460F5B80" w14:textId="77777777" w:rsidR="005510AE" w:rsidRPr="005510AE" w:rsidRDefault="005510AE" w:rsidP="00112FFE">
      <w:pPr>
        <w:pStyle w:val="Heading4"/>
      </w:pPr>
      <w:r w:rsidRPr="005510AE">
        <w:t>Policy HE4: Schedules of</w:t>
      </w:r>
      <w:r>
        <w:t xml:space="preserve"> </w:t>
      </w:r>
      <w:r w:rsidRPr="005510AE">
        <w:t>Redevelopment of Heritage Assets</w:t>
      </w:r>
    </w:p>
    <w:p w14:paraId="56360BA6" w14:textId="77777777" w:rsidR="005510AE" w:rsidRPr="00083C37" w:rsidRDefault="005510AE" w:rsidP="00326CB9">
      <w:pPr>
        <w:pStyle w:val="Heading3"/>
        <w:rPr>
          <w:lang w:val="en-US"/>
        </w:rPr>
      </w:pPr>
      <w:r w:rsidRPr="00083C37">
        <w:rPr>
          <w:lang w:val="en-US"/>
        </w:rPr>
        <w:t>Policy HE4 demonstrates strong alignment with sustainability objectives related to heritage conservation, reuse of buildings, and urban regeneration. It promotes the responsible redevelopment of heritage assets, ensuring that demolition is only permitted with a clear plan for redevelopment. The policy supports the reuse of period materials, contributing to waste reduction and climate resilience. While some objectives such as transport and pollution control are less directly addressed, they can be enhanced through implementation strategies. Overall, Policy HE4 provides a balanced framework for sustainable redevelopment in Torbay.</w:t>
      </w:r>
    </w:p>
    <w:p w14:paraId="7269CA73" w14:textId="77777777" w:rsidR="005510AE" w:rsidRPr="005510AE" w:rsidRDefault="005510AE" w:rsidP="00112FFE">
      <w:pPr>
        <w:pStyle w:val="Heading4"/>
      </w:pPr>
      <w:r w:rsidRPr="005510AE">
        <w:lastRenderedPageBreak/>
        <w:t>Policy HE5: Investigation and Preservation of Archaeology and Historic Artefacts</w:t>
      </w:r>
    </w:p>
    <w:p w14:paraId="5F88943D" w14:textId="77777777" w:rsidR="005510AE" w:rsidRPr="00207CDA" w:rsidRDefault="005510AE" w:rsidP="00326CB9">
      <w:pPr>
        <w:pStyle w:val="Heading3"/>
        <w:rPr>
          <w:lang w:val="en-US"/>
        </w:rPr>
      </w:pPr>
      <w:r w:rsidRPr="000F0E88">
        <w:rPr>
          <w:lang w:val="en-US"/>
        </w:rPr>
        <w:t>Policy HE5 demonstrates strong alignment with sustainability objectives related to historic environment conservation, resource efficiency, and cultural identity. It supports the preservation and investigation of archaeological and palaeontological remains, ensuring their significance is considered in development decisions. The policy contributes positively to mental wellbeing, community pride, and reuse of materials. While objectives such as climate change, biodiversity, and transport are less directly addressed, they offer opportunities for enhancement through implementation strategies such as green infrastructure, active travel access, and ecological coordination. Overall, Policy HE5 provides a robust framework for sustainable heritage management in Torbay</w:t>
      </w:r>
      <w:r w:rsidR="00207CDA">
        <w:rPr>
          <w:lang w:val="en-US"/>
        </w:rPr>
        <w:t>.</w:t>
      </w:r>
    </w:p>
    <w:p w14:paraId="15ABC8BF" w14:textId="77777777" w:rsidR="00B664EF" w:rsidRDefault="00B664EF" w:rsidP="00112FFE">
      <w:pPr>
        <w:pStyle w:val="Heading2"/>
      </w:pPr>
      <w:bookmarkStart w:id="125" w:name="_Toc215140041"/>
      <w:r w:rsidRPr="00B664EF">
        <w:t>Designed with quality Taking pride in Torbay’s place-making</w:t>
      </w:r>
      <w:bookmarkEnd w:id="125"/>
      <w:r w:rsidR="00DC0581" w:rsidRPr="00DC0581">
        <w:t xml:space="preserve"> </w:t>
      </w:r>
    </w:p>
    <w:p w14:paraId="7A410007" w14:textId="77777777" w:rsidR="001849C9" w:rsidRDefault="001849C9" w:rsidP="00112FFE">
      <w:pPr>
        <w:pStyle w:val="Heading4"/>
      </w:pPr>
      <w:bookmarkStart w:id="126" w:name="_Toc212549529"/>
      <w:r>
        <w:t xml:space="preserve">Strategic </w:t>
      </w:r>
      <w:r w:rsidRPr="00F221AF">
        <w:t xml:space="preserve">Policy DES: </w:t>
      </w:r>
      <w:r>
        <w:t>D</w:t>
      </w:r>
      <w:r w:rsidRPr="00F221AF">
        <w:t xml:space="preserve">esign and </w:t>
      </w:r>
      <w:r>
        <w:t>p</w:t>
      </w:r>
      <w:r w:rsidRPr="00F221AF">
        <w:t>lacemaking</w:t>
      </w:r>
      <w:bookmarkEnd w:id="126"/>
    </w:p>
    <w:p w14:paraId="2AAB1909" w14:textId="77777777" w:rsidR="001849C9" w:rsidRPr="00A508D9" w:rsidRDefault="001849C9" w:rsidP="00326CB9">
      <w:pPr>
        <w:pStyle w:val="Heading3"/>
        <w:rPr>
          <w:lang w:val="en-US"/>
        </w:rPr>
      </w:pPr>
      <w:r w:rsidRPr="001849C9">
        <w:rPr>
          <w:lang w:val="en-US"/>
        </w:rPr>
        <w:t>Policy DES aligns well with sustainability objectives. It promotes efficient land use, high-quality and inclusive design, protection of environmental and heritage assets, and economic regeneration. To strengthen its sustainability impact, implementation should ensure green infrastructure is integrated into high-density areas and monitor design quality and affordability.</w:t>
      </w:r>
    </w:p>
    <w:p w14:paraId="00EC37EE" w14:textId="77777777" w:rsidR="001849C9" w:rsidRDefault="001849C9" w:rsidP="00112FFE">
      <w:pPr>
        <w:pStyle w:val="Heading4"/>
      </w:pPr>
      <w:bookmarkStart w:id="127" w:name="_Toc212549530"/>
      <w:r w:rsidRPr="00F221AF">
        <w:t xml:space="preserve">Policy DE1: Design </w:t>
      </w:r>
      <w:r>
        <w:t>q</w:t>
      </w:r>
      <w:r w:rsidRPr="00F221AF">
        <w:t xml:space="preserve">uality and </w:t>
      </w:r>
      <w:r>
        <w:t>a</w:t>
      </w:r>
      <w:r w:rsidRPr="00F221AF">
        <w:t>ssessment</w:t>
      </w:r>
      <w:bookmarkEnd w:id="127"/>
    </w:p>
    <w:p w14:paraId="012A47C8" w14:textId="77777777" w:rsidR="001849C9" w:rsidRPr="001849C9" w:rsidRDefault="001849C9" w:rsidP="00326CB9">
      <w:pPr>
        <w:pStyle w:val="Heading3"/>
      </w:pPr>
      <w:r w:rsidRPr="00915399">
        <w:t>Policy DE1 demonstrates strong alignment with sustainability objectives across environmental, social, and economic dimensions. Key strengths include protection of heritage and landscape, promotion of safe and inclusive communities, and support for high-quality design. To enhance its sustainability impact, the following considerations are recommended: integration of green infrastructure and monitoring of design quality and affordability.</w:t>
      </w:r>
    </w:p>
    <w:p w14:paraId="4E107E7A" w14:textId="77777777" w:rsidR="001849C9" w:rsidRDefault="001849C9" w:rsidP="00112FFE">
      <w:pPr>
        <w:pStyle w:val="Heading4"/>
      </w:pPr>
      <w:bookmarkStart w:id="128" w:name="_Toc212549531"/>
      <w:r w:rsidRPr="00F221AF">
        <w:t>Policy DE2: Building for a Healthy Life</w:t>
      </w:r>
      <w:bookmarkEnd w:id="128"/>
    </w:p>
    <w:p w14:paraId="69D0E3D9" w14:textId="77777777" w:rsidR="001849C9" w:rsidRDefault="001849C9" w:rsidP="00326CB9">
      <w:pPr>
        <w:pStyle w:val="Heading3"/>
        <w:rPr>
          <w:lang w:val="en-US"/>
        </w:rPr>
      </w:pPr>
      <w:r w:rsidRPr="008560CF">
        <w:rPr>
          <w:lang w:val="en-US"/>
        </w:rPr>
        <w:t xml:space="preserve">Policy DE2 aligns strongly with sustainability </w:t>
      </w:r>
      <w:r w:rsidRPr="00F415E4">
        <w:rPr>
          <w:lang w:val="en-US"/>
        </w:rPr>
        <w:t>objectives</w:t>
      </w:r>
      <w:r w:rsidRPr="008560CF">
        <w:rPr>
          <w:lang w:val="en-US"/>
        </w:rPr>
        <w:t xml:space="preserve"> by promoting high-quality, inclusive, and health-focused urban design. Its use of the Building for a Healthy Life (BHL12) framework supports:</w:t>
      </w:r>
    </w:p>
    <w:p w14:paraId="0DC1DF0A" w14:textId="77777777" w:rsidR="00AF451A" w:rsidRDefault="001849C9" w:rsidP="002D529E">
      <w:pPr>
        <w:pStyle w:val="squarebullets"/>
      </w:pPr>
      <w:r w:rsidRPr="00AF451A">
        <w:lastRenderedPageBreak/>
        <w:t>Environmental sustainability through efficient land use, reduced pollution, and enhanced biodiversity</w:t>
      </w:r>
      <w:r w:rsidR="00AF451A">
        <w:t>.</w:t>
      </w:r>
    </w:p>
    <w:p w14:paraId="619648FD" w14:textId="77777777" w:rsidR="00AF451A" w:rsidRDefault="001849C9" w:rsidP="002D529E">
      <w:pPr>
        <w:pStyle w:val="squarebullets"/>
      </w:pPr>
      <w:r w:rsidRPr="00AF451A">
        <w:t>Social sustainability by improving living conditions, safety, accessibility, and wellbeing</w:t>
      </w:r>
      <w:r w:rsidR="00AF451A">
        <w:t>.</w:t>
      </w:r>
    </w:p>
    <w:p w14:paraId="5D7B0141" w14:textId="77777777" w:rsidR="001849C9" w:rsidRPr="00AF451A" w:rsidRDefault="001849C9" w:rsidP="002D529E">
      <w:pPr>
        <w:pStyle w:val="squarebullets"/>
      </w:pPr>
      <w:r w:rsidRPr="00AF451A">
        <w:t>Economic sustainability via support for regeneration and attractive, functional neighbourhoods.</w:t>
      </w:r>
    </w:p>
    <w:p w14:paraId="52EBF14E" w14:textId="77777777" w:rsidR="001849C9" w:rsidRPr="001849C9" w:rsidRDefault="001849C9" w:rsidP="00326CB9">
      <w:pPr>
        <w:pStyle w:val="Heading3"/>
        <w:rPr>
          <w:lang w:val="en-US"/>
        </w:rPr>
      </w:pPr>
      <w:r w:rsidRPr="008560CF">
        <w:rPr>
          <w:lang w:val="en-US"/>
        </w:rPr>
        <w:t>To maximise its impact, developments should integrate green infrastructure, ensure affordability, and promote active travel and community engagement throughout the design process.</w:t>
      </w:r>
    </w:p>
    <w:p w14:paraId="40951D3F" w14:textId="77777777" w:rsidR="001849C9" w:rsidRDefault="001849C9" w:rsidP="00112FFE">
      <w:pPr>
        <w:pStyle w:val="Heading4"/>
      </w:pPr>
      <w:bookmarkStart w:id="129" w:name="_Toc212549532"/>
      <w:r w:rsidRPr="00F221AF">
        <w:t xml:space="preserve">Policy DE3: Development </w:t>
      </w:r>
      <w:r>
        <w:t>a</w:t>
      </w:r>
      <w:r w:rsidRPr="00F221AF">
        <w:t xml:space="preserve">menity and </w:t>
      </w:r>
      <w:r>
        <w:t>l</w:t>
      </w:r>
      <w:r w:rsidRPr="00F221AF">
        <w:t xml:space="preserve">iving </w:t>
      </w:r>
      <w:r>
        <w:t>s</w:t>
      </w:r>
      <w:r w:rsidRPr="00F221AF">
        <w:t>tandards</w:t>
      </w:r>
      <w:bookmarkEnd w:id="129"/>
    </w:p>
    <w:p w14:paraId="338FC08C" w14:textId="77777777" w:rsidR="001849C9" w:rsidRPr="001849C9" w:rsidRDefault="001849C9" w:rsidP="00326CB9">
      <w:pPr>
        <w:pStyle w:val="Heading3"/>
        <w:rPr>
          <w:lang w:val="en-US"/>
        </w:rPr>
      </w:pPr>
      <w:r w:rsidRPr="00680581">
        <w:rPr>
          <w:lang w:val="en-US"/>
        </w:rPr>
        <w:t xml:space="preserve">Policy DE3 aligns strongly with the sustainability objectives. It promotes high standards of residential </w:t>
      </w:r>
      <w:r w:rsidR="00AF451A" w:rsidRPr="00680581">
        <w:rPr>
          <w:lang w:val="en-US"/>
        </w:rPr>
        <w:t>amenities</w:t>
      </w:r>
      <w:r w:rsidRPr="00680581">
        <w:rPr>
          <w:lang w:val="en-US"/>
        </w:rPr>
        <w:t>, protects environmental and social wellbeing, and supports efficient and inclusive development. Key strengths include emphasis on privacy, light, outlook, adequate space, and protection of existing community uses. To maximi</w:t>
      </w:r>
      <w:r w:rsidRPr="009238FA">
        <w:rPr>
          <w:lang w:val="en-US"/>
        </w:rPr>
        <w:t>s</w:t>
      </w:r>
      <w:r w:rsidRPr="00680581">
        <w:rPr>
          <w:lang w:val="en-US"/>
        </w:rPr>
        <w:t>e its sustainability impact, implementation should ensure flexibility in historic building conversions, monitor density and amenity provision, and promote integration of green infrastructure and active travel options.</w:t>
      </w:r>
    </w:p>
    <w:p w14:paraId="2CDA795A" w14:textId="77777777" w:rsidR="001849C9" w:rsidRDefault="001849C9" w:rsidP="00112FFE">
      <w:pPr>
        <w:pStyle w:val="Heading4"/>
      </w:pPr>
      <w:bookmarkStart w:id="130" w:name="_Toc212549533"/>
      <w:r w:rsidRPr="00F221AF">
        <w:t xml:space="preserve">Policy DE4: Building </w:t>
      </w:r>
      <w:r>
        <w:t>h</w:t>
      </w:r>
      <w:r w:rsidRPr="00F221AF">
        <w:t xml:space="preserve">eights and </w:t>
      </w:r>
      <w:r>
        <w:t>u</w:t>
      </w:r>
      <w:r w:rsidRPr="00F221AF">
        <w:t xml:space="preserve">rban </w:t>
      </w:r>
      <w:r>
        <w:t>f</w:t>
      </w:r>
      <w:r w:rsidRPr="00F221AF">
        <w:t>orm</w:t>
      </w:r>
      <w:bookmarkEnd w:id="130"/>
    </w:p>
    <w:p w14:paraId="546E37E7" w14:textId="77777777" w:rsidR="001849C9" w:rsidRPr="001849C9" w:rsidRDefault="001849C9" w:rsidP="00326CB9">
      <w:pPr>
        <w:pStyle w:val="Heading3"/>
      </w:pPr>
      <w:r w:rsidRPr="00F36B3D">
        <w:t>Policy DE4 supports sustainable urban regeneration through appropriate building heights, particularly in town centres and waterfront areas. It aligns with several sustainability objectives, especially</w:t>
      </w:r>
      <w:r w:rsidRPr="009238FA">
        <w:t xml:space="preserve"> e</w:t>
      </w:r>
      <w:r w:rsidRPr="00F36B3D">
        <w:t>fficient land use</w:t>
      </w:r>
      <w:r w:rsidRPr="009238FA">
        <w:t>, e</w:t>
      </w:r>
      <w:r w:rsidRPr="00F36B3D">
        <w:t>conomic growth</w:t>
      </w:r>
      <w:r w:rsidRPr="009238FA">
        <w:t>, s</w:t>
      </w:r>
      <w:r w:rsidRPr="00F36B3D">
        <w:t>ustainable travel</w:t>
      </w:r>
      <w:r w:rsidRPr="009238FA">
        <w:t xml:space="preserve"> and health</w:t>
      </w:r>
      <w:r w:rsidRPr="00F36B3D">
        <w:t xml:space="preserve"> and wellbeing</w:t>
      </w:r>
      <w:r w:rsidRPr="009238FA">
        <w:t xml:space="preserve">. </w:t>
      </w:r>
      <w:r w:rsidRPr="00F36B3D">
        <w:t>However, it also presents potential risks to</w:t>
      </w:r>
      <w:r w:rsidRPr="009238FA">
        <w:t xml:space="preserve"> h</w:t>
      </w:r>
      <w:r w:rsidRPr="00F36B3D">
        <w:t>istoric environment</w:t>
      </w:r>
      <w:r w:rsidRPr="009238FA">
        <w:t>, l</w:t>
      </w:r>
      <w:r w:rsidRPr="00F36B3D">
        <w:t>andscape and townscape</w:t>
      </w:r>
      <w:r w:rsidRPr="009238FA">
        <w:t xml:space="preserve"> and e</w:t>
      </w:r>
      <w:r w:rsidRPr="00F36B3D">
        <w:t>nvironmental quality</w:t>
      </w:r>
      <w:r w:rsidRPr="009238FA">
        <w:t xml:space="preserve">. </w:t>
      </w:r>
      <w:r w:rsidRPr="00F36B3D">
        <w:t>Mitigation measures such as heritage impact assessments, green infrastructure, and inclusive design standards are recommended to ensure balanced and sustainable outcomes.</w:t>
      </w:r>
    </w:p>
    <w:p w14:paraId="23637A54" w14:textId="77777777" w:rsidR="001849C9" w:rsidRDefault="001849C9" w:rsidP="00112FFE">
      <w:pPr>
        <w:pStyle w:val="Heading4"/>
      </w:pPr>
      <w:bookmarkStart w:id="131" w:name="_Toc212549534"/>
      <w:r w:rsidRPr="00F221AF">
        <w:t xml:space="preserve">Policy DE5: Extensions and </w:t>
      </w:r>
      <w:r>
        <w:t>s</w:t>
      </w:r>
      <w:r w:rsidRPr="00F221AF">
        <w:t xml:space="preserve">tandalone </w:t>
      </w:r>
      <w:r>
        <w:t>a</w:t>
      </w:r>
      <w:r w:rsidRPr="00F221AF">
        <w:t xml:space="preserve">dditions to </w:t>
      </w:r>
      <w:r>
        <w:t>b</w:t>
      </w:r>
      <w:r w:rsidRPr="00F221AF">
        <w:t>uildings</w:t>
      </w:r>
      <w:bookmarkEnd w:id="131"/>
    </w:p>
    <w:p w14:paraId="3A58A116" w14:textId="77777777" w:rsidR="001849C9" w:rsidRPr="001849C9" w:rsidRDefault="001849C9" w:rsidP="00326CB9">
      <w:pPr>
        <w:pStyle w:val="Heading3"/>
        <w:rPr>
          <w:lang w:val="en-US"/>
        </w:rPr>
      </w:pPr>
      <w:r w:rsidRPr="00357DE4">
        <w:rPr>
          <w:lang w:val="en-US"/>
        </w:rPr>
        <w:t xml:space="preserve">Policy DE5 aligns well with sustainability objectives, particularly in promoting environmental quality, character-sensitive design, and residential amenity. Its emphasis on water runoff reduction and protection of privacy and light contributes to climate resilience and wellbeing. </w:t>
      </w:r>
      <w:r w:rsidRPr="00357DE4">
        <w:rPr>
          <w:lang w:val="en-US"/>
        </w:rPr>
        <w:lastRenderedPageBreak/>
        <w:t>Mitigation measures should focus on enhancing biodiversity, promoting sustainable travel, and ensuring responsible construction practices.</w:t>
      </w:r>
    </w:p>
    <w:p w14:paraId="7528A826" w14:textId="77777777" w:rsidR="001849C9" w:rsidRPr="001849C9" w:rsidRDefault="001849C9" w:rsidP="00112FFE">
      <w:pPr>
        <w:pStyle w:val="Heading4"/>
      </w:pPr>
      <w:bookmarkStart w:id="132" w:name="_Toc212549535"/>
      <w:r w:rsidRPr="00F221AF">
        <w:t>Policy DE6: Advertisements</w:t>
      </w:r>
      <w:bookmarkEnd w:id="132"/>
    </w:p>
    <w:p w14:paraId="33C7ADDF" w14:textId="77777777" w:rsidR="004A0F39" w:rsidRPr="00AF451A" w:rsidRDefault="004A0F39" w:rsidP="004A0F39">
      <w:pPr>
        <w:pStyle w:val="Heading3"/>
      </w:pPr>
      <w:r w:rsidRPr="004A0F39">
        <w:t>Policy DE6 promotes sustainability by regulating advertisements to safeguard visual and aural amenities and ensure public safety. It enhances environmental quality by reducing visual clutter and light pollution, preserves landscape and townscape character through context-sensitive design, protects the historic environment by maintaining heritage settings, supports health and wellbeing by fostering a pleasant public realm, and contributes to safe communities by preventing signage that could obstruct views or distract road users.</w:t>
      </w:r>
    </w:p>
    <w:p w14:paraId="0E66056D" w14:textId="77777777" w:rsidR="00E2151F" w:rsidRPr="003C5A49" w:rsidRDefault="00E2151F" w:rsidP="00326CB9">
      <w:pPr>
        <w:pStyle w:val="Heading3"/>
      </w:pPr>
      <w:r w:rsidRPr="003C5A49">
        <w:t>While its impact on climate change, biodiversity, and social equity is limited, mitigation strategies</w:t>
      </w:r>
      <w:r>
        <w:t xml:space="preserve"> </w:t>
      </w:r>
      <w:r w:rsidRPr="003C5A49">
        <w:t>such as using energy-efficient materials, avoiding sensitive locations, and ensuring equitable access</w:t>
      </w:r>
      <w:r>
        <w:t xml:space="preserve"> </w:t>
      </w:r>
      <w:r w:rsidRPr="003C5A49">
        <w:t>can enhance its sustainability contribution.</w:t>
      </w:r>
    </w:p>
    <w:p w14:paraId="7AEAF006" w14:textId="77777777" w:rsidR="00B664EF" w:rsidRDefault="00B664EF" w:rsidP="00112FFE">
      <w:pPr>
        <w:pStyle w:val="Heading2"/>
      </w:pPr>
      <w:bookmarkStart w:id="133" w:name="_Toc215140042"/>
      <w:r w:rsidRPr="00B664EF">
        <w:t>Responsible resource use: Waste and Minerals</w:t>
      </w:r>
      <w:bookmarkEnd w:id="133"/>
      <w:r>
        <w:t xml:space="preserve"> </w:t>
      </w:r>
    </w:p>
    <w:p w14:paraId="220716AF" w14:textId="77777777" w:rsidR="00E2151F" w:rsidRDefault="00E2151F" w:rsidP="00112FFE">
      <w:pPr>
        <w:pStyle w:val="Heading4"/>
      </w:pPr>
      <w:bookmarkStart w:id="134" w:name="_Toc212549537"/>
      <w:r w:rsidRPr="005A6767">
        <w:t xml:space="preserve">Policy WS: Waste </w:t>
      </w:r>
      <w:r>
        <w:t>s</w:t>
      </w:r>
      <w:r w:rsidRPr="005A6767">
        <w:t xml:space="preserve">patial </w:t>
      </w:r>
      <w:r>
        <w:t>s</w:t>
      </w:r>
      <w:r w:rsidRPr="005A6767">
        <w:t>trategy</w:t>
      </w:r>
      <w:bookmarkEnd w:id="134"/>
    </w:p>
    <w:p w14:paraId="04FDFED6" w14:textId="77777777" w:rsidR="00FF49EC" w:rsidRPr="00AB52F8" w:rsidRDefault="00FF49EC" w:rsidP="00326CB9">
      <w:pPr>
        <w:pStyle w:val="Heading3"/>
      </w:pPr>
      <w:r w:rsidRPr="00AB52F8">
        <w:t>Policy WS aligns strongly with Torbay’s sustainability objectives by promoting responsible waste management practices. It encourages minimising waste production, increasing reuse and recycling, and restoring waste sites to sustainable after-uses. The policy supports</w:t>
      </w:r>
      <w:r>
        <w:t xml:space="preserve"> </w:t>
      </w:r>
      <w:r w:rsidRPr="00133C44">
        <w:t>c</w:t>
      </w:r>
      <w:r w:rsidRPr="00AB52F8">
        <w:t>limate change mitigation</w:t>
      </w:r>
      <w:r w:rsidRPr="00133C44">
        <w:t>, e</w:t>
      </w:r>
      <w:r w:rsidRPr="00AB52F8">
        <w:t>nvironmental protection</w:t>
      </w:r>
      <w:r w:rsidRPr="00133C44">
        <w:t>, b</w:t>
      </w:r>
      <w:r w:rsidRPr="00AB52F8">
        <w:t>iodiversity and landscape enhancement</w:t>
      </w:r>
      <w:r w:rsidRPr="00133C44">
        <w:t>, e</w:t>
      </w:r>
      <w:r w:rsidRPr="00AB52F8">
        <w:t>conomic growth</w:t>
      </w:r>
      <w:r w:rsidRPr="00133C44">
        <w:t xml:space="preserve"> and </w:t>
      </w:r>
      <w:r>
        <w:t>e</w:t>
      </w:r>
      <w:r w:rsidRPr="00AB52F8">
        <w:t>fficient land use</w:t>
      </w:r>
      <w:r w:rsidRPr="00133C44">
        <w:t>.</w:t>
      </w:r>
    </w:p>
    <w:p w14:paraId="1F260141" w14:textId="77777777" w:rsidR="00FF49EC" w:rsidRPr="00EB4EEC" w:rsidRDefault="00FF49EC" w:rsidP="00326CB9">
      <w:pPr>
        <w:pStyle w:val="Heading3"/>
      </w:pPr>
      <w:r w:rsidRPr="00AB52F8">
        <w:t>While some objectives (e.g. travel behaviour, housing provision) are indirectly supported, the policy contributes positively to public health, community wellbeing, and sustainable development. Mitigation measures such as environmental monitoring, community engagement, and integration with transport and biodiversity strategies can further enhance its effectiveness.</w:t>
      </w:r>
    </w:p>
    <w:p w14:paraId="100AE638" w14:textId="77777777" w:rsidR="00E2151F" w:rsidRDefault="00E2151F" w:rsidP="00112FFE">
      <w:pPr>
        <w:pStyle w:val="Heading4"/>
      </w:pPr>
      <w:bookmarkStart w:id="135" w:name="_Toc212549538"/>
      <w:r w:rsidRPr="002D4348">
        <w:t xml:space="preserve">Policy W1: Waste </w:t>
      </w:r>
      <w:r>
        <w:t>h</w:t>
      </w:r>
      <w:r w:rsidRPr="002D4348">
        <w:t xml:space="preserve">ierarchy and </w:t>
      </w:r>
      <w:r>
        <w:t>s</w:t>
      </w:r>
      <w:r w:rsidRPr="002D4348">
        <w:t xml:space="preserve">ustainable </w:t>
      </w:r>
      <w:r>
        <w:t>w</w:t>
      </w:r>
      <w:r w:rsidRPr="002D4348">
        <w:t xml:space="preserve">aste </w:t>
      </w:r>
      <w:r>
        <w:t>m</w:t>
      </w:r>
      <w:r w:rsidRPr="002D4348">
        <w:t>anagement</w:t>
      </w:r>
      <w:bookmarkEnd w:id="135"/>
    </w:p>
    <w:p w14:paraId="0D2EB063" w14:textId="77777777" w:rsidR="00FF49EC" w:rsidRPr="00FF49EC" w:rsidRDefault="00FF49EC" w:rsidP="00326CB9">
      <w:pPr>
        <w:pStyle w:val="Heading3"/>
        <w:rPr>
          <w:lang w:val="en-US"/>
        </w:rPr>
      </w:pPr>
      <w:r w:rsidRPr="00D125CA">
        <w:rPr>
          <w:lang w:val="en-US"/>
        </w:rPr>
        <w:t xml:space="preserve">Policy W1 strongly aligns with sustainability objectives related to waste minimisation, climate change mitigation, and economic development. It promotes the full spectrum of the waste hierarchy, encouraging prevention, reuse, recycling, recovery, and minimised </w:t>
      </w:r>
      <w:r w:rsidRPr="00D125CA">
        <w:rPr>
          <w:lang w:val="en-US"/>
        </w:rPr>
        <w:lastRenderedPageBreak/>
        <w:t>disposal. The policy supports environmental protection, public health, and efficient land use. While some objectives are indirectly impacted, appropriate mitigation measures can enhance positive outcomes. Overall, Policy W1 contributes significantly to Torbay’s sustainable development goals.</w:t>
      </w:r>
    </w:p>
    <w:p w14:paraId="533188BA" w14:textId="77777777" w:rsidR="00E2151F" w:rsidRDefault="00E2151F" w:rsidP="00112FFE">
      <w:pPr>
        <w:pStyle w:val="Heading4"/>
      </w:pPr>
      <w:bookmarkStart w:id="136" w:name="_Toc212549539"/>
      <w:r w:rsidRPr="002D4348">
        <w:t xml:space="preserve">Policy W2: Waste </w:t>
      </w:r>
      <w:r>
        <w:t>r</w:t>
      </w:r>
      <w:r w:rsidRPr="002D4348">
        <w:t xml:space="preserve">eduction and </w:t>
      </w:r>
      <w:r>
        <w:t>w</w:t>
      </w:r>
      <w:r w:rsidRPr="002D4348">
        <w:t xml:space="preserve">aste </w:t>
      </w:r>
      <w:r>
        <w:t>a</w:t>
      </w:r>
      <w:r w:rsidRPr="002D4348">
        <w:t xml:space="preserve">udit for </w:t>
      </w:r>
      <w:r>
        <w:t>m</w:t>
      </w:r>
      <w:r w:rsidRPr="002D4348">
        <w:t xml:space="preserve">ajor and </w:t>
      </w:r>
      <w:r>
        <w:t>s</w:t>
      </w:r>
      <w:r w:rsidRPr="002D4348">
        <w:t xml:space="preserve">ignificant </w:t>
      </w:r>
      <w:r>
        <w:t>w</w:t>
      </w:r>
      <w:r w:rsidRPr="002D4348">
        <w:t xml:space="preserve">aste </w:t>
      </w:r>
      <w:r>
        <w:t>g</w:t>
      </w:r>
      <w:r w:rsidRPr="002D4348">
        <w:t xml:space="preserve">enerating </w:t>
      </w:r>
      <w:r>
        <w:t>d</w:t>
      </w:r>
      <w:r w:rsidRPr="002D4348">
        <w:t>evelopments</w:t>
      </w:r>
      <w:bookmarkEnd w:id="136"/>
    </w:p>
    <w:p w14:paraId="2E571B57" w14:textId="77777777" w:rsidR="00FF49EC" w:rsidRPr="00FF49EC" w:rsidRDefault="00FF49EC" w:rsidP="00326CB9">
      <w:pPr>
        <w:pStyle w:val="Heading3"/>
        <w:rPr>
          <w:lang w:val="en-US"/>
        </w:rPr>
      </w:pPr>
      <w:r w:rsidRPr="0045762E">
        <w:rPr>
          <w:lang w:val="en-US"/>
        </w:rPr>
        <w:t xml:space="preserve">Policy W2 aligns strongly with sustainability objectives by embedding circular </w:t>
      </w:r>
      <w:r w:rsidR="00883BAA" w:rsidRPr="0045762E">
        <w:rPr>
          <w:lang w:val="en-US"/>
        </w:rPr>
        <w:t>economic</w:t>
      </w:r>
      <w:r w:rsidRPr="0045762E">
        <w:rPr>
          <w:lang w:val="en-US"/>
        </w:rPr>
        <w:t xml:space="preserve"> principles into development planning. It promotes waste minimisation, reuse, and recycling, and requires comprehensive waste audits and management plans. The policy supports environmental protection, economic growth, and public health, with indirect benefits to social equity. Effective implementation and monitoring will be key to realising these benefits.</w:t>
      </w:r>
    </w:p>
    <w:p w14:paraId="5EC0B54A" w14:textId="77777777" w:rsidR="00FF49EC" w:rsidRDefault="00FF49EC" w:rsidP="00112FFE">
      <w:pPr>
        <w:pStyle w:val="Heading4"/>
      </w:pPr>
      <w:bookmarkStart w:id="137" w:name="_Toc212549540"/>
      <w:r w:rsidRPr="002D4348">
        <w:t xml:space="preserve">Policy W3: Safeguarding </w:t>
      </w:r>
      <w:r>
        <w:t>w</w:t>
      </w:r>
      <w:r w:rsidRPr="002D4348">
        <w:t xml:space="preserve">aste </w:t>
      </w:r>
      <w:r>
        <w:t>m</w:t>
      </w:r>
      <w:r w:rsidRPr="002D4348">
        <w:t xml:space="preserve">anagement </w:t>
      </w:r>
      <w:r>
        <w:t>f</w:t>
      </w:r>
      <w:r w:rsidRPr="002D4348">
        <w:t>acilities</w:t>
      </w:r>
      <w:bookmarkEnd w:id="137"/>
    </w:p>
    <w:p w14:paraId="21F7CC2C" w14:textId="77777777" w:rsidR="00FF49EC" w:rsidRPr="00FF49EC" w:rsidRDefault="00FF49EC" w:rsidP="00326CB9">
      <w:pPr>
        <w:pStyle w:val="Heading3"/>
        <w:rPr>
          <w:lang w:val="en-US"/>
        </w:rPr>
      </w:pPr>
      <w:r w:rsidRPr="003631E8">
        <w:rPr>
          <w:lang w:val="en-US"/>
        </w:rPr>
        <w:t>Policy W3 aligns well with sustainability objectives by safeguarding existing waste management infrastructure, which is critical for maintaining recycling, treatment, and disposal capabilities. It supports climate action, economic stability, and environmental protection. Mitigation measures should focus on enhancing facility performance, ensuring compatibility with surrounding land uses, and integrating restoration and community benefits where applicable.</w:t>
      </w:r>
    </w:p>
    <w:p w14:paraId="3A608A3A" w14:textId="77777777" w:rsidR="00FF49EC" w:rsidRDefault="00FF49EC" w:rsidP="00112FFE">
      <w:pPr>
        <w:pStyle w:val="Heading4"/>
      </w:pPr>
      <w:bookmarkStart w:id="138" w:name="_Toc212549541"/>
      <w:r w:rsidRPr="005A6767">
        <w:t>Policy W4:</w:t>
      </w:r>
      <w:r>
        <w:t xml:space="preserve"> </w:t>
      </w:r>
      <w:r w:rsidRPr="005A6767">
        <w:t xml:space="preserve">Proposals for </w:t>
      </w:r>
      <w:r>
        <w:t>n</w:t>
      </w:r>
      <w:r w:rsidRPr="005A6767">
        <w:t xml:space="preserve">ew </w:t>
      </w:r>
      <w:r>
        <w:t>w</w:t>
      </w:r>
      <w:r w:rsidRPr="005A6767">
        <w:t xml:space="preserve">aste </w:t>
      </w:r>
      <w:r>
        <w:t>m</w:t>
      </w:r>
      <w:r w:rsidRPr="005A6767">
        <w:t xml:space="preserve">anagement </w:t>
      </w:r>
      <w:r>
        <w:t>f</w:t>
      </w:r>
      <w:r w:rsidRPr="005A6767">
        <w:t>acilities</w:t>
      </w:r>
      <w:bookmarkEnd w:id="138"/>
    </w:p>
    <w:p w14:paraId="24A3AF89" w14:textId="77777777" w:rsidR="00FF49EC" w:rsidRPr="00FF49EC" w:rsidRDefault="00FF49EC" w:rsidP="00326CB9">
      <w:pPr>
        <w:pStyle w:val="Heading3"/>
        <w:rPr>
          <w:lang w:val="en-US"/>
        </w:rPr>
      </w:pPr>
      <w:r w:rsidRPr="00A421B9">
        <w:rPr>
          <w:lang w:val="en-US"/>
        </w:rPr>
        <w:t>Policy W4 demonstrates strong alignment with sustainability objectives, particularly in promoting sustainable waste management, minimising environmental impacts, and supporting economic and community benefits. Key considerations include ensuring high-quality design, effective site management, and integration of sustainable transport and restoration practices. The policy supports Torbay’s long-term goals for environmental protection, climate resilience, and sustainable development.</w:t>
      </w:r>
    </w:p>
    <w:p w14:paraId="3691D3CA" w14:textId="77777777" w:rsidR="00FF49EC" w:rsidRDefault="00FF49EC" w:rsidP="00112FFE">
      <w:pPr>
        <w:pStyle w:val="Heading4"/>
      </w:pPr>
      <w:bookmarkStart w:id="139" w:name="_Toc212549542"/>
      <w:r w:rsidRPr="005728DA">
        <w:t>Policy W5: Waste</w:t>
      </w:r>
      <w:r w:rsidR="00883BAA">
        <w:t>-</w:t>
      </w:r>
      <w:r>
        <w:t>w</w:t>
      </w:r>
      <w:r w:rsidRPr="005728DA">
        <w:t xml:space="preserve">ater </w:t>
      </w:r>
      <w:r>
        <w:t>d</w:t>
      </w:r>
      <w:r w:rsidRPr="005728DA">
        <w:t xml:space="preserve">isposal and </w:t>
      </w:r>
      <w:r>
        <w:t>i</w:t>
      </w:r>
      <w:r w:rsidRPr="005728DA">
        <w:t xml:space="preserve">nfrastructure </w:t>
      </w:r>
      <w:r>
        <w:t>c</w:t>
      </w:r>
      <w:r w:rsidRPr="005728DA">
        <w:t>apacity</w:t>
      </w:r>
      <w:bookmarkEnd w:id="139"/>
    </w:p>
    <w:p w14:paraId="1376CEFE" w14:textId="77777777" w:rsidR="00FF49EC" w:rsidRPr="00FF49EC" w:rsidRDefault="00FF49EC" w:rsidP="00326CB9">
      <w:pPr>
        <w:pStyle w:val="Heading3"/>
      </w:pPr>
      <w:r w:rsidRPr="00735039">
        <w:t xml:space="preserve">Policy W5 demonstrates strong alignment with sustainability objectives related to environmental protection, public health, and infrastructure resilience. It supports </w:t>
      </w:r>
      <w:r w:rsidRPr="00735039">
        <w:lastRenderedPageBreak/>
        <w:t>improvements in wastewater treatment and ensures development does not compromise service capacity or water quality. The policy encourages sustainable drainage and restoration practices, contributing positively to climate change mitigation, biodiversity, and land use efficiency. While some objectives are indirectly addressed, the overall impact of the policy is beneficial to Torbay’s long-term sustainability goals</w:t>
      </w:r>
      <w:r w:rsidR="009C2A2E">
        <w:t>.</w:t>
      </w:r>
    </w:p>
    <w:p w14:paraId="4FEF9B3F" w14:textId="77777777" w:rsidR="00FF49EC" w:rsidRDefault="00FF49EC" w:rsidP="00112FFE">
      <w:pPr>
        <w:pStyle w:val="Heading4"/>
      </w:pPr>
      <w:bookmarkStart w:id="140" w:name="_Toc212549543"/>
      <w:r w:rsidRPr="00002AF1">
        <w:t xml:space="preserve">Policy MS: Sustainable </w:t>
      </w:r>
      <w:r>
        <w:t>m</w:t>
      </w:r>
      <w:r w:rsidRPr="00002AF1">
        <w:t xml:space="preserve">inerals </w:t>
      </w:r>
      <w:r>
        <w:t>s</w:t>
      </w:r>
      <w:r w:rsidRPr="00002AF1">
        <w:t>trategy</w:t>
      </w:r>
      <w:bookmarkEnd w:id="140"/>
    </w:p>
    <w:p w14:paraId="3623A9D6" w14:textId="77777777" w:rsidR="00FF49EC" w:rsidRPr="00FF49EC" w:rsidRDefault="00FF49EC" w:rsidP="00326CB9">
      <w:pPr>
        <w:pStyle w:val="Heading3"/>
        <w:rPr>
          <w:lang w:val="en-US"/>
        </w:rPr>
      </w:pPr>
      <w:r w:rsidRPr="00AC2526">
        <w:rPr>
          <w:lang w:val="en-US"/>
        </w:rPr>
        <w:t>Policy MS aligns well with sustainability objectives by promoting a low carbon economy, encouraging the use of recycled aggregates, and protecting economic mineral resources. It supports environmental protection through restoration and conservation of geodiversity, while also contributing to economic growth and community wellbeing. Mitigation measures should focus on environmental monitoring, sustainable transport, and community engagement to ensure balanced and sustainable mineral development.</w:t>
      </w:r>
    </w:p>
    <w:p w14:paraId="11374A71" w14:textId="77777777" w:rsidR="00FF49EC" w:rsidRDefault="00FF49EC" w:rsidP="00112FFE">
      <w:pPr>
        <w:pStyle w:val="Heading4"/>
      </w:pPr>
      <w:bookmarkStart w:id="141" w:name="_Toc212549544"/>
      <w:r w:rsidRPr="005A6767">
        <w:t xml:space="preserve">Policy M1: Minerals </w:t>
      </w:r>
      <w:r>
        <w:t>e</w:t>
      </w:r>
      <w:r w:rsidRPr="005A6767">
        <w:t xml:space="preserve">xtraction and </w:t>
      </w:r>
      <w:r>
        <w:t>e</w:t>
      </w:r>
      <w:r w:rsidRPr="005A6767">
        <w:t xml:space="preserve">nvironmental </w:t>
      </w:r>
      <w:r>
        <w:t>s</w:t>
      </w:r>
      <w:r w:rsidRPr="005A6767">
        <w:t>afeguards</w:t>
      </w:r>
      <w:bookmarkEnd w:id="141"/>
      <w:r w:rsidRPr="005A6767">
        <w:t xml:space="preserve"> </w:t>
      </w:r>
    </w:p>
    <w:p w14:paraId="112F8069" w14:textId="77777777" w:rsidR="00FF49EC" w:rsidRPr="00FF49EC" w:rsidRDefault="00FF49EC" w:rsidP="00326CB9">
      <w:pPr>
        <w:pStyle w:val="Heading3"/>
        <w:rPr>
          <w:lang w:val="en-US"/>
        </w:rPr>
      </w:pPr>
      <w:r w:rsidRPr="00BA2500">
        <w:rPr>
          <w:lang w:val="en-US"/>
        </w:rPr>
        <w:t>Policy M1 generally aligns with sustainability objectives by promoting responsible mineral extraction, restoration, and reuse of resources. However, potential environmental and health impacts must be carefully managed through planning controls, pollution prevention, and restoration strategies. The policy supports economic growth and geodiversity while requiring safeguards to protect landscapes, communities, and ecosystems.</w:t>
      </w:r>
    </w:p>
    <w:p w14:paraId="665DE7D3" w14:textId="77777777" w:rsidR="00FF49EC" w:rsidRDefault="00FF49EC" w:rsidP="00112FFE">
      <w:pPr>
        <w:pStyle w:val="Heading4"/>
      </w:pPr>
      <w:bookmarkStart w:id="142" w:name="_Toc212549545"/>
      <w:r w:rsidRPr="005A6767">
        <w:t xml:space="preserve">Policy M2: Maximising the Use of </w:t>
      </w:r>
      <w:r>
        <w:t>s</w:t>
      </w:r>
      <w:r w:rsidRPr="005A6767">
        <w:t xml:space="preserve">econdary and </w:t>
      </w:r>
      <w:r>
        <w:t>r</w:t>
      </w:r>
      <w:r w:rsidRPr="005A6767">
        <w:t xml:space="preserve">ecycled </w:t>
      </w:r>
      <w:r>
        <w:t>a</w:t>
      </w:r>
      <w:r w:rsidRPr="005A6767">
        <w:t>ggregates</w:t>
      </w:r>
      <w:bookmarkEnd w:id="142"/>
    </w:p>
    <w:p w14:paraId="3B9385E2" w14:textId="77777777" w:rsidR="00FF49EC" w:rsidRPr="00FF49EC" w:rsidRDefault="00FF49EC" w:rsidP="00326CB9">
      <w:pPr>
        <w:pStyle w:val="Heading3"/>
        <w:rPr>
          <w:lang w:val="en-US"/>
        </w:rPr>
      </w:pPr>
      <w:r w:rsidRPr="00101066">
        <w:rPr>
          <w:lang w:val="en-US"/>
        </w:rPr>
        <w:t>Policy M2 aligns well with sustainability objectives, particularly in promoting recycling, reducing environmental impacts, and supporting economic growth. It encourages the use of previously developed land and co-location with existing facilities, which enhances land efficiency and reduces landscape disruption. While some objectives are indirectly impacted, the overall contribution of the policy to sustainable development is positive. Mitigation measures should focus on environmental standards, community engagement, and integration with transport and employment strategies.</w:t>
      </w:r>
    </w:p>
    <w:p w14:paraId="25840F16" w14:textId="77777777" w:rsidR="00FF49EC" w:rsidRDefault="00FF49EC" w:rsidP="00112FFE">
      <w:pPr>
        <w:pStyle w:val="Heading4"/>
      </w:pPr>
      <w:bookmarkStart w:id="143" w:name="_Toc212549546"/>
      <w:r w:rsidRPr="005A6767">
        <w:lastRenderedPageBreak/>
        <w:t xml:space="preserve">Policy M3: Preserving and </w:t>
      </w:r>
      <w:r>
        <w:t>s</w:t>
      </w:r>
      <w:r w:rsidRPr="005A6767">
        <w:t xml:space="preserve">afeguarding of </w:t>
      </w:r>
      <w:r>
        <w:t>l</w:t>
      </w:r>
      <w:r w:rsidRPr="005A6767">
        <w:t xml:space="preserve">imestone </w:t>
      </w:r>
      <w:r>
        <w:t>r</w:t>
      </w:r>
      <w:r w:rsidRPr="005A6767">
        <w:t xml:space="preserve">esources and </w:t>
      </w:r>
      <w:r>
        <w:t>k</w:t>
      </w:r>
      <w:r w:rsidRPr="005A6767">
        <w:t xml:space="preserve">ey </w:t>
      </w:r>
      <w:r>
        <w:t>l</w:t>
      </w:r>
      <w:r w:rsidRPr="005A6767">
        <w:t xml:space="preserve">ocal </w:t>
      </w:r>
      <w:r>
        <w:t>b</w:t>
      </w:r>
      <w:r w:rsidRPr="005A6767">
        <w:t xml:space="preserve">uilding </w:t>
      </w:r>
      <w:r>
        <w:t>s</w:t>
      </w:r>
      <w:r w:rsidRPr="005A6767">
        <w:t>tone</w:t>
      </w:r>
      <w:bookmarkEnd w:id="143"/>
    </w:p>
    <w:p w14:paraId="56438C9E" w14:textId="77777777" w:rsidR="00984A59" w:rsidRDefault="00FF49EC" w:rsidP="00326CB9">
      <w:pPr>
        <w:pStyle w:val="Heading3"/>
        <w:rPr>
          <w:lang w:val="en-US"/>
        </w:rPr>
      </w:pPr>
      <w:r w:rsidRPr="0095312D">
        <w:rPr>
          <w:lang w:val="en-US"/>
        </w:rPr>
        <w:t>Policy M3 aligns well with sustainability objectives related to resource efficiency, heritage conservation, and local distinctiveness. It promotes the reuse of local building stone, reducing waste and carbon emissions, while safeguarding important mineral resources for future generations. The policy supports economic growth through local industry and contributes positively to environmental and cultural sustainability. Mitigation measures should focus on ensuring environmental safeguards, promoting traditional skills, and integrating reuse practices in development proposals.</w:t>
      </w:r>
    </w:p>
    <w:p w14:paraId="78766A21" w14:textId="77777777" w:rsidR="00FF49EC" w:rsidRDefault="00984A59" w:rsidP="00984A59">
      <w:pPr>
        <w:spacing w:after="120" w:line="264" w:lineRule="auto"/>
        <w:rPr>
          <w:rFonts w:ascii="Arial" w:hAnsi="Arial" w:cs="Arial"/>
          <w:lang w:val="en-US"/>
        </w:rPr>
      </w:pPr>
      <w:r>
        <w:rPr>
          <w:rFonts w:ascii="Arial" w:hAnsi="Arial" w:cs="Arial"/>
          <w:lang w:val="en-US"/>
        </w:rPr>
        <w:br w:type="page"/>
      </w:r>
    </w:p>
    <w:p w14:paraId="71D260EE" w14:textId="77777777" w:rsidR="0062616D" w:rsidRPr="00C112E2" w:rsidRDefault="0062616D" w:rsidP="00326CB9">
      <w:pPr>
        <w:pStyle w:val="Heading1"/>
      </w:pPr>
      <w:bookmarkStart w:id="144" w:name="_Toc215140043"/>
      <w:r w:rsidRPr="00C112E2">
        <w:lastRenderedPageBreak/>
        <w:t>Monitoring</w:t>
      </w:r>
      <w:bookmarkEnd w:id="144"/>
      <w:r w:rsidRPr="00C112E2">
        <w:t xml:space="preserve"> </w:t>
      </w:r>
    </w:p>
    <w:p w14:paraId="2EDD8EDC" w14:textId="77777777" w:rsidR="006969E1" w:rsidRPr="00E3111E" w:rsidRDefault="006969E1" w:rsidP="00E3111E">
      <w:pPr>
        <w:pStyle w:val="Heading3"/>
        <w:ind w:left="851" w:hanging="851"/>
        <w:rPr>
          <w:lang w:val="en-US"/>
        </w:rPr>
      </w:pPr>
      <w:r w:rsidRPr="00E3111E">
        <w:rPr>
          <w:lang w:val="en-US"/>
        </w:rPr>
        <w:t>Under the SEA Regulations, it is a requirement to monitor the significant environmental effects of a plan. Sustainability Appraisal monitoring extends this to include significant economic and social as well as environmental impacts. The monitoring framework outlined in the Scoping Report identifies indicators for tracking potential significant negative and uncertain effects that may arise from the Local Plan.</w:t>
      </w:r>
    </w:p>
    <w:p w14:paraId="04BE6644" w14:textId="77777777" w:rsidR="006969E1" w:rsidRPr="00E3111E" w:rsidRDefault="006969E1" w:rsidP="00E3111E">
      <w:pPr>
        <w:pStyle w:val="Heading3"/>
        <w:ind w:left="851" w:hanging="851"/>
        <w:rPr>
          <w:lang w:val="en-US"/>
        </w:rPr>
      </w:pPr>
      <w:r w:rsidRPr="00E3111E">
        <w:rPr>
          <w:lang w:val="en-US"/>
        </w:rPr>
        <w:t>The Government has recently published a draft Outcomes Framework for Local Government, which proposes a wide range of metrics that could support ongoing monitoring. This framework places strong emphasis on data collection to inform local plan-making.</w:t>
      </w:r>
    </w:p>
    <w:p w14:paraId="1765F81A" w14:textId="77777777" w:rsidR="006969E1" w:rsidRPr="00E3111E" w:rsidRDefault="006969E1" w:rsidP="00E3111E">
      <w:pPr>
        <w:pStyle w:val="Heading3"/>
        <w:ind w:left="851" w:hanging="851"/>
        <w:rPr>
          <w:lang w:val="en-US"/>
        </w:rPr>
      </w:pPr>
      <w:r w:rsidRPr="00E3111E">
        <w:rPr>
          <w:lang w:val="en-US"/>
        </w:rPr>
        <w:t xml:space="preserve">The final SA monitoring </w:t>
      </w:r>
      <w:r w:rsidR="00EE0261" w:rsidRPr="00E3111E">
        <w:rPr>
          <w:lang w:val="en-US"/>
        </w:rPr>
        <w:t>framework</w:t>
      </w:r>
      <w:r w:rsidRPr="00E3111E">
        <w:rPr>
          <w:lang w:val="en-US"/>
        </w:rPr>
        <w:t xml:space="preserve"> will be refined to focus specifically on residual significant negative and uncertain effects. This will be set out in the SA adoption statement, which will be published once the Local Plan is formally adopted.</w:t>
      </w:r>
    </w:p>
    <w:p w14:paraId="3DEBB62B" w14:textId="77777777" w:rsidR="00C83C1C" w:rsidRPr="006969E1" w:rsidRDefault="00C83C1C" w:rsidP="00C83C1C">
      <w:pPr>
        <w:spacing w:after="120" w:line="264" w:lineRule="auto"/>
      </w:pPr>
      <w:r>
        <w:br w:type="page"/>
      </w:r>
    </w:p>
    <w:p w14:paraId="16B8565B" w14:textId="77777777" w:rsidR="00FF49EC" w:rsidRPr="00C112E2" w:rsidRDefault="00984A59" w:rsidP="00326CB9">
      <w:pPr>
        <w:pStyle w:val="Heading1"/>
      </w:pPr>
      <w:bookmarkStart w:id="145" w:name="_Toc215140044"/>
      <w:r w:rsidRPr="00C112E2">
        <w:lastRenderedPageBreak/>
        <w:t xml:space="preserve">Next </w:t>
      </w:r>
      <w:r w:rsidR="00884869" w:rsidRPr="00C112E2">
        <w:t>S</w:t>
      </w:r>
      <w:r w:rsidRPr="00C112E2">
        <w:t>teps</w:t>
      </w:r>
      <w:bookmarkEnd w:id="145"/>
      <w:r w:rsidRPr="00C112E2">
        <w:t xml:space="preserve"> </w:t>
      </w:r>
    </w:p>
    <w:p w14:paraId="38D5A685" w14:textId="77777777" w:rsidR="0062616D" w:rsidRPr="00630FF7" w:rsidRDefault="0062616D" w:rsidP="00630FF7">
      <w:pPr>
        <w:pStyle w:val="Heading3"/>
        <w:ind w:left="851" w:hanging="851"/>
      </w:pPr>
      <w:r w:rsidRPr="00E3111E">
        <w:rPr>
          <w:lang w:val="en-US"/>
        </w:rPr>
        <w:t>The Sustainability Appraisal</w:t>
      </w:r>
      <w:r w:rsidR="00883BAA" w:rsidRPr="00E3111E">
        <w:rPr>
          <w:lang w:val="en-US"/>
        </w:rPr>
        <w:t xml:space="preserve"> </w:t>
      </w:r>
      <w:r w:rsidRPr="00E3111E">
        <w:rPr>
          <w:lang w:val="en-US"/>
        </w:rPr>
        <w:t>Report will be published for consultation alongside the Regulation 18 draft Local Plan from 28</w:t>
      </w:r>
      <w:r w:rsidR="00C83C1C" w:rsidRPr="00630FF7">
        <w:rPr>
          <w:vertAlign w:val="superscript"/>
          <w:lang w:val="en-US"/>
        </w:rPr>
        <w:t>th</w:t>
      </w:r>
      <w:r w:rsidRPr="00E3111E">
        <w:rPr>
          <w:lang w:val="en-US"/>
        </w:rPr>
        <w:t xml:space="preserve"> November 2025 to 2</w:t>
      </w:r>
      <w:r w:rsidR="00C83C1C" w:rsidRPr="00E3111E">
        <w:rPr>
          <w:lang w:val="en-US"/>
        </w:rPr>
        <w:t>6</w:t>
      </w:r>
      <w:r w:rsidR="00C83C1C" w:rsidRPr="00630FF7">
        <w:rPr>
          <w:vertAlign w:val="superscript"/>
          <w:lang w:val="en-US"/>
        </w:rPr>
        <w:t>th</w:t>
      </w:r>
      <w:r w:rsidRPr="00E3111E">
        <w:rPr>
          <w:lang w:val="en-US"/>
        </w:rPr>
        <w:t xml:space="preserve"> January 2026. Following this consultation period, the Council will review all responses received and undertake any necessary further evidence gathering, analysis, and SA work. The feedback received, together with additional evidence base work, will shape the development of the </w:t>
      </w:r>
      <w:r w:rsidR="00630FF7" w:rsidRPr="00630FF7">
        <w:t>Regulation 19 Publication Plan</w:t>
      </w:r>
      <w:r w:rsidRPr="00630FF7">
        <w:rPr>
          <w:lang w:val="en-US"/>
        </w:rPr>
        <w:t>, which is expected to be published for consultation in 2026.</w:t>
      </w:r>
    </w:p>
    <w:p w14:paraId="7761FE66" w14:textId="77777777" w:rsidR="00FE6BD4" w:rsidRPr="00FE6BD4" w:rsidRDefault="00FE6BD4" w:rsidP="00FE6BD4"/>
    <w:p w14:paraId="05699734" w14:textId="77777777" w:rsidR="00B664EF" w:rsidRDefault="00B664EF" w:rsidP="00326CB9">
      <w:pPr>
        <w:pStyle w:val="Heading2"/>
        <w:numPr>
          <w:ilvl w:val="0"/>
          <w:numId w:val="0"/>
        </w:numPr>
      </w:pPr>
    </w:p>
    <w:p w14:paraId="3EDA5B04" w14:textId="77777777" w:rsidR="00B664EF" w:rsidRPr="00B664EF" w:rsidRDefault="00B664EF" w:rsidP="00B664EF">
      <w:pPr>
        <w:spacing w:after="120" w:line="264" w:lineRule="auto"/>
      </w:pPr>
    </w:p>
    <w:p w14:paraId="59E279F9" w14:textId="77777777" w:rsidR="008654C0" w:rsidRDefault="00014785" w:rsidP="00014785">
      <w:pPr>
        <w:spacing w:after="120" w:line="264" w:lineRule="auto"/>
      </w:pPr>
      <w:r>
        <w:br w:type="page"/>
      </w:r>
    </w:p>
    <w:p w14:paraId="606E3745" w14:textId="77777777" w:rsidR="00014785" w:rsidRDefault="00014785" w:rsidP="008654C0">
      <w:pPr>
        <w:sectPr w:rsidR="00014785" w:rsidSect="003D4701">
          <w:headerReference w:type="even" r:id="rId16"/>
          <w:headerReference w:type="default" r:id="rId17"/>
          <w:footerReference w:type="even" r:id="rId18"/>
          <w:footerReference w:type="default" r:id="rId19"/>
          <w:footerReference w:type="first" r:id="rId20"/>
          <w:pgSz w:w="11906" w:h="16838" w:code="9"/>
          <w:pgMar w:top="720" w:right="720" w:bottom="720" w:left="720" w:header="567" w:footer="284" w:gutter="0"/>
          <w:pgNumType w:start="1"/>
          <w:cols w:space="708"/>
          <w:titlePg/>
          <w:docGrid w:linePitch="360"/>
        </w:sectPr>
      </w:pPr>
    </w:p>
    <w:p w14:paraId="7F4B4EE5" w14:textId="77777777" w:rsidR="008654C0" w:rsidRPr="00C112E2" w:rsidRDefault="007F08A1" w:rsidP="00326CB9">
      <w:pPr>
        <w:pStyle w:val="Heading1"/>
      </w:pPr>
      <w:bookmarkStart w:id="146" w:name="_Toc215140045"/>
      <w:r w:rsidRPr="00C112E2">
        <w:lastRenderedPageBreak/>
        <w:t xml:space="preserve">A </w:t>
      </w:r>
      <w:r w:rsidR="00EE0261" w:rsidRPr="00C112E2">
        <w:t xml:space="preserve">List of </w:t>
      </w:r>
      <w:r w:rsidR="008654C0" w:rsidRPr="00C112E2">
        <w:t>Appendices</w:t>
      </w:r>
      <w:bookmarkEnd w:id="146"/>
      <w:r w:rsidR="008654C0" w:rsidRPr="00C112E2">
        <w:t xml:space="preserve"> </w:t>
      </w:r>
    </w:p>
    <w:p w14:paraId="071E9890" w14:textId="77777777" w:rsidR="00E3111E" w:rsidRPr="00E3111E" w:rsidRDefault="00E3111E" w:rsidP="00E3111E">
      <w:pPr>
        <w:pStyle w:val="Heading3"/>
        <w:ind w:left="851" w:hanging="851"/>
        <w:rPr>
          <w:lang w:val="en-US"/>
        </w:rPr>
      </w:pPr>
      <w:r w:rsidRPr="00E3111E">
        <w:rPr>
          <w:lang w:val="en-US"/>
        </w:rPr>
        <w:t>The Appendices to this Report are available in a separate document. These provide the background detail for the Sustainability Appraisal Report. The Appendices are available</w:t>
      </w:r>
      <w:r w:rsidR="00C44F7C">
        <w:rPr>
          <w:lang w:val="en-US"/>
        </w:rPr>
        <w:t xml:space="preserve"> alongside this report </w:t>
      </w:r>
      <w:r w:rsidRPr="00E3111E">
        <w:rPr>
          <w:lang w:val="en-US"/>
        </w:rPr>
        <w:t xml:space="preserve">on the </w:t>
      </w:r>
      <w:r w:rsidR="00C44F7C">
        <w:rPr>
          <w:lang w:val="en-US"/>
        </w:rPr>
        <w:t>consultation</w:t>
      </w:r>
      <w:r w:rsidRPr="00E3111E">
        <w:rPr>
          <w:lang w:val="en-US"/>
        </w:rPr>
        <w:t xml:space="preserve"> website </w:t>
      </w:r>
      <w:hyperlink r:id="rId21" w:history="1">
        <w:r w:rsidR="00C44F7C" w:rsidRPr="00C44F7C">
          <w:rPr>
            <w:rStyle w:val="Hyperlink"/>
          </w:rPr>
          <w:t>Torbay Council - Consultations</w:t>
        </w:r>
      </w:hyperlink>
    </w:p>
    <w:p w14:paraId="3BCF790C" w14:textId="77777777" w:rsidR="00377DD9" w:rsidRDefault="00377DD9" w:rsidP="003B0D74">
      <w:pPr>
        <w:pStyle w:val="numberedlist"/>
        <w:numPr>
          <w:ilvl w:val="0"/>
          <w:numId w:val="3"/>
        </w:numPr>
      </w:pPr>
      <w:r>
        <w:t xml:space="preserve">Appendix A: </w:t>
      </w:r>
      <w:r w:rsidRPr="00377DD9">
        <w:t>Consultation Comments Received in Relation to Previous SA Documents</w:t>
      </w:r>
    </w:p>
    <w:p w14:paraId="216385B2" w14:textId="77777777" w:rsidR="008654C0" w:rsidRPr="008654C0" w:rsidRDefault="008654C0" w:rsidP="003B0D74">
      <w:pPr>
        <w:pStyle w:val="numberedlist"/>
        <w:numPr>
          <w:ilvl w:val="0"/>
          <w:numId w:val="3"/>
        </w:numPr>
      </w:pPr>
      <w:r>
        <w:t xml:space="preserve">Appendix </w:t>
      </w:r>
      <w:r w:rsidR="00377DD9">
        <w:t>B</w:t>
      </w:r>
      <w:r>
        <w:t xml:space="preserve">: </w:t>
      </w:r>
      <w:r w:rsidR="006F5F3A">
        <w:t xml:space="preserve">Sustainability Appraisal of </w:t>
      </w:r>
      <w:r w:rsidR="00CF681A" w:rsidRPr="00A71EDD">
        <w:t>Spatial Strategy and Area Policies </w:t>
      </w:r>
    </w:p>
    <w:p w14:paraId="020CCA52" w14:textId="77777777" w:rsidR="008654C0" w:rsidRDefault="008654C0" w:rsidP="003B0D74">
      <w:pPr>
        <w:pStyle w:val="numberedlist"/>
        <w:numPr>
          <w:ilvl w:val="0"/>
          <w:numId w:val="3"/>
        </w:numPr>
      </w:pPr>
      <w:r>
        <w:t xml:space="preserve">Appendix </w:t>
      </w:r>
      <w:r w:rsidR="00377DD9">
        <w:t>C</w:t>
      </w:r>
      <w:r>
        <w:t xml:space="preserve">: </w:t>
      </w:r>
      <w:r w:rsidR="006F5F3A">
        <w:t xml:space="preserve">Sustainability Appraisal of Local Plan </w:t>
      </w:r>
      <w:r w:rsidR="00CF681A">
        <w:t>Policies</w:t>
      </w:r>
    </w:p>
    <w:p w14:paraId="3FBA584C" w14:textId="77777777" w:rsidR="00CF681A" w:rsidRDefault="00CF681A" w:rsidP="003B0D74">
      <w:pPr>
        <w:pStyle w:val="numberedlist"/>
        <w:numPr>
          <w:ilvl w:val="0"/>
          <w:numId w:val="3"/>
        </w:numPr>
      </w:pPr>
      <w:r>
        <w:t xml:space="preserve">Appendix D: Sustainability Appraisal of Local Plan </w:t>
      </w:r>
      <w:r w:rsidR="00D36950">
        <w:t xml:space="preserve">Housing </w:t>
      </w:r>
      <w:r>
        <w:t>Site</w:t>
      </w:r>
      <w:r w:rsidR="00D36950">
        <w:t>s</w:t>
      </w:r>
      <w:r>
        <w:t xml:space="preserve"> Allocation</w:t>
      </w:r>
    </w:p>
    <w:p w14:paraId="6ADA3167" w14:textId="77777777" w:rsidR="00D36950" w:rsidRDefault="00D36950" w:rsidP="003B0D74">
      <w:pPr>
        <w:pStyle w:val="numberedlist"/>
        <w:numPr>
          <w:ilvl w:val="0"/>
          <w:numId w:val="3"/>
        </w:numPr>
      </w:pPr>
      <w:r>
        <w:t xml:space="preserve">Appendix E: </w:t>
      </w:r>
      <w:bookmarkStart w:id="147" w:name="_Hlk215134778"/>
      <w:r>
        <w:t>Sustainability Appraisal of Local Plan Employment Sites Allocation</w:t>
      </w:r>
    </w:p>
    <w:bookmarkEnd w:id="147"/>
    <w:p w14:paraId="4FA62C6F" w14:textId="77777777" w:rsidR="00D36950" w:rsidRDefault="00D36950" w:rsidP="00D36950">
      <w:pPr>
        <w:pStyle w:val="numberedlist"/>
        <w:numPr>
          <w:ilvl w:val="0"/>
          <w:numId w:val="0"/>
        </w:numPr>
        <w:ind w:left="360"/>
      </w:pPr>
    </w:p>
    <w:p w14:paraId="35038D72" w14:textId="77777777" w:rsidR="00CF681A" w:rsidRPr="008654C0" w:rsidRDefault="00CF681A" w:rsidP="00CF681A">
      <w:pPr>
        <w:pStyle w:val="numberedlist"/>
        <w:numPr>
          <w:ilvl w:val="0"/>
          <w:numId w:val="0"/>
        </w:numPr>
        <w:ind w:left="720"/>
      </w:pPr>
    </w:p>
    <w:sectPr w:rsidR="00CF681A" w:rsidRPr="008654C0" w:rsidSect="00C83C1C">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38B04" w14:textId="77777777" w:rsidR="00386AA5" w:rsidRDefault="00386AA5" w:rsidP="008952DF">
      <w:r>
        <w:separator/>
      </w:r>
    </w:p>
  </w:endnote>
  <w:endnote w:type="continuationSeparator" w:id="0">
    <w:p w14:paraId="355D2136" w14:textId="77777777" w:rsidR="00386AA5" w:rsidRDefault="00386AA5" w:rsidP="0089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9A8C" w14:textId="77777777" w:rsidR="0002446C" w:rsidRDefault="0002446C">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12" w:space="0" w:color="213563"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02446C" w14:paraId="1294822B" w14:textId="77777777" w:rsidTr="004D04E4">
      <w:tc>
        <w:tcPr>
          <w:tcW w:w="10456" w:type="dxa"/>
        </w:tcPr>
        <w:sdt>
          <w:sdtPr>
            <w:id w:val="-518623638"/>
            <w:docPartObj>
              <w:docPartGallery w:val="Page Numbers (Bottom of Page)"/>
              <w:docPartUnique/>
            </w:docPartObj>
          </w:sdtPr>
          <w:sdtEndPr>
            <w:rPr>
              <w:noProof/>
            </w:rPr>
          </w:sdtEndPr>
          <w:sdtContent>
            <w:p w14:paraId="2F3EAD8B" w14:textId="77777777" w:rsidR="0002446C" w:rsidRDefault="0002446C" w:rsidP="0002446C">
              <w:pPr>
                <w:pStyle w:val="Footer"/>
                <w:jc w:val="center"/>
              </w:pPr>
              <w:r>
                <w:fldChar w:fldCharType="begin"/>
              </w:r>
              <w:r>
                <w:instrText xml:space="preserve"> PAGE   \* MERGEFORMAT </w:instrText>
              </w:r>
              <w:r>
                <w:fldChar w:fldCharType="separate"/>
              </w:r>
              <w:r w:rsidR="00520C03">
                <w:rPr>
                  <w:noProof/>
                </w:rPr>
                <w:t>2</w:t>
              </w:r>
              <w:r>
                <w:rPr>
                  <w:noProof/>
                </w:rPr>
                <w:fldChar w:fldCharType="end"/>
              </w:r>
            </w:p>
          </w:sdtContent>
        </w:sdt>
      </w:tc>
    </w:tr>
  </w:tbl>
  <w:p w14:paraId="665268D6" w14:textId="77777777" w:rsidR="0002446C" w:rsidRDefault="0002446C">
    <w:pPr>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7249" w14:textId="77777777" w:rsidR="0002446C" w:rsidRDefault="0002446C" w:rsidP="004D04E4">
    <w:pPr>
      <w:pStyle w:val="Footer"/>
      <w:pBdr>
        <w:top w:val="single" w:sz="12" w:space="4" w:color="213563" w:themeColor="text1"/>
      </w:pBdr>
      <w:jc w:val="center"/>
    </w:pPr>
  </w:p>
  <w:p w14:paraId="6A705973" w14:textId="77777777" w:rsidR="0002446C" w:rsidRDefault="0002446C">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62FCF" w14:textId="77777777" w:rsidR="00386AA5" w:rsidRDefault="00386AA5" w:rsidP="008952DF">
      <w:r>
        <w:separator/>
      </w:r>
    </w:p>
  </w:footnote>
  <w:footnote w:type="continuationSeparator" w:id="0">
    <w:p w14:paraId="73C630E6" w14:textId="77777777" w:rsidR="00386AA5" w:rsidRDefault="00386AA5" w:rsidP="008952DF">
      <w:r>
        <w:continuationSeparator/>
      </w:r>
    </w:p>
  </w:footnote>
  <w:footnote w:id="1">
    <w:p w14:paraId="18609C18" w14:textId="77777777" w:rsidR="00B73962" w:rsidRDefault="00B73962">
      <w:pPr>
        <w:pStyle w:val="FootnoteText"/>
      </w:pPr>
      <w:r>
        <w:rPr>
          <w:rStyle w:val="FootnoteReference"/>
        </w:rPr>
        <w:footnoteRef/>
      </w:r>
      <w:r>
        <w:t xml:space="preserve"> P</w:t>
      </w:r>
      <w:r w:rsidRPr="00B73962">
        <w:t>ractices that aim to eliminate waste and keep resources in use for as long as possible</w:t>
      </w:r>
      <w:r>
        <w:t>.</w:t>
      </w:r>
    </w:p>
  </w:footnote>
  <w:footnote w:id="2">
    <w:p w14:paraId="4D50FFE9" w14:textId="77777777" w:rsidR="00F734FD" w:rsidRDefault="00F734FD" w:rsidP="00F734FD">
      <w:pPr>
        <w:pStyle w:val="FootnoteText"/>
      </w:pPr>
      <w:r>
        <w:rPr>
          <w:rStyle w:val="FootnoteReference"/>
        </w:rPr>
        <w:footnoteRef/>
      </w:r>
      <w:r>
        <w:t xml:space="preserve"> </w:t>
      </w:r>
      <w:r w:rsidRPr="00380FCD">
        <w:t xml:space="preserve"> </w:t>
      </w:r>
      <w:r w:rsidRPr="00B4727C">
        <w:rPr>
          <w:bCs/>
        </w:rPr>
        <w:t>Directive 2001/42/EC of the European Parliament and of the Council of 27 June 2001 on the assessment of the effects of certain plans and programmes on the environment (legislation.gov.uk)</w:t>
      </w:r>
    </w:p>
  </w:footnote>
  <w:footnote w:id="3">
    <w:p w14:paraId="37767A84" w14:textId="77777777" w:rsidR="00F734FD" w:rsidRDefault="00F734FD" w:rsidP="00F734FD">
      <w:pPr>
        <w:pStyle w:val="FootnoteText"/>
      </w:pPr>
      <w:r>
        <w:rPr>
          <w:rStyle w:val="FootnoteReference"/>
        </w:rPr>
        <w:footnoteRef/>
      </w:r>
      <w:r>
        <w:t xml:space="preserve">  </w:t>
      </w:r>
      <w:hyperlink r:id="rId1" w:history="1">
        <w:r w:rsidRPr="00B4727C">
          <w:rPr>
            <w:rStyle w:val="Hyperlink"/>
            <w:b w:val="0"/>
            <w:bCs/>
          </w:rPr>
          <w:t>The Environmental Assessment of Plans and Programmes Regulations 2004 (legislation.gov.uk)</w:t>
        </w:r>
      </w:hyperlink>
    </w:p>
  </w:footnote>
  <w:footnote w:id="4">
    <w:p w14:paraId="5746F0DE" w14:textId="77777777" w:rsidR="005B7B89" w:rsidRDefault="005B7B89">
      <w:pPr>
        <w:pStyle w:val="FootnoteText"/>
      </w:pPr>
      <w:r>
        <w:rPr>
          <w:rStyle w:val="FootnoteReference"/>
        </w:rPr>
        <w:footnoteRef/>
      </w:r>
      <w:r>
        <w:t xml:space="preserve"> </w:t>
      </w:r>
      <w:hyperlink r:id="rId2" w:history="1">
        <w:r w:rsidRPr="005B7B89">
          <w:rPr>
            <w:rStyle w:val="Hyperlink"/>
          </w:rPr>
          <w:t>Local Plan Update (2022–2040) Evidence Base and Monitoring - Torbay Council</w:t>
        </w:r>
      </w:hyperlink>
    </w:p>
  </w:footnote>
  <w:footnote w:id="5">
    <w:p w14:paraId="57936976" w14:textId="77777777" w:rsidR="00366F51" w:rsidRPr="008D69A6" w:rsidRDefault="00366F51" w:rsidP="00366F51">
      <w:pPr>
        <w:pStyle w:val="FootnoteText"/>
      </w:pPr>
      <w:r>
        <w:rPr>
          <w:rStyle w:val="FootnoteReference"/>
        </w:rPr>
        <w:footnoteRef/>
      </w:r>
      <w:r>
        <w:t xml:space="preserve"> </w:t>
      </w:r>
      <w:hyperlink r:id="rId3" w:history="1">
        <w:r w:rsidRPr="00CE4578">
          <w:rPr>
            <w:rStyle w:val="Hyperlink"/>
          </w:rPr>
          <w:t>http://planningguidance.planningportal.gov.uk/blog/guidance/strategic-environmental-assessment-and-sustainability-appraisal/</w:t>
        </w:r>
      </w:hyperlink>
    </w:p>
  </w:footnote>
  <w:footnote w:id="6">
    <w:p w14:paraId="4D41B486" w14:textId="77777777" w:rsidR="00590524" w:rsidRDefault="00590524" w:rsidP="00590524">
      <w:pPr>
        <w:pStyle w:val="FootnoteText"/>
      </w:pPr>
      <w:r>
        <w:rPr>
          <w:rStyle w:val="FootnoteReference"/>
        </w:rPr>
        <w:footnoteRef/>
      </w:r>
      <w:r>
        <w:t xml:space="preserve"> </w:t>
      </w:r>
      <w:hyperlink r:id="rId4" w:history="1">
        <w:r>
          <w:rPr>
            <w:rStyle w:val="Hyperlink"/>
          </w:rPr>
          <w:t>https://www.torbay.gov.uk/media/15949/sustainability-appraisal-scoping-report.pdf</w:t>
        </w:r>
      </w:hyperlink>
    </w:p>
  </w:footnote>
  <w:footnote w:id="7">
    <w:p w14:paraId="6CB75EA8" w14:textId="77777777" w:rsidR="009505A4" w:rsidRDefault="009505A4">
      <w:pPr>
        <w:pStyle w:val="FootnoteText"/>
      </w:pPr>
      <w:r>
        <w:rPr>
          <w:rStyle w:val="FootnoteReference"/>
        </w:rPr>
        <w:footnoteRef/>
      </w:r>
      <w:r>
        <w:t xml:space="preserve"> </w:t>
      </w:r>
      <w:hyperlink r:id="rId5" w:history="1">
        <w:r w:rsidRPr="009505A4">
          <w:rPr>
            <w:rStyle w:val="Hyperlink"/>
          </w:rPr>
          <w:t>Local Plan Update (2022-2040) - Torbay Council</w:t>
        </w:r>
      </w:hyperlink>
    </w:p>
  </w:footnote>
  <w:footnote w:id="8">
    <w:p w14:paraId="51B73509" w14:textId="77777777" w:rsidR="005B4B08" w:rsidRDefault="005B4B08">
      <w:pPr>
        <w:pStyle w:val="FootnoteText"/>
      </w:pPr>
      <w:r>
        <w:rPr>
          <w:rStyle w:val="FootnoteReference"/>
        </w:rPr>
        <w:footnoteRef/>
      </w:r>
      <w:r>
        <w:t xml:space="preserve"> </w:t>
      </w:r>
      <w:hyperlink r:id="rId6" w:history="1">
        <w:r w:rsidRPr="005B4B08">
          <w:rPr>
            <w:rStyle w:val="Hyperlink"/>
          </w:rPr>
          <w:t>sa-of-issues-and-options.pdf</w:t>
        </w:r>
      </w:hyperlink>
    </w:p>
  </w:footnote>
  <w:footnote w:id="9">
    <w:p w14:paraId="7C7A8A95" w14:textId="77777777" w:rsidR="005B4B08" w:rsidRDefault="005B4B08">
      <w:pPr>
        <w:pStyle w:val="FootnoteText"/>
      </w:pPr>
      <w:r>
        <w:rPr>
          <w:rStyle w:val="FootnoteReference"/>
        </w:rPr>
        <w:footnoteRef/>
      </w:r>
      <w:r>
        <w:t xml:space="preserve"> </w:t>
      </w:r>
      <w:hyperlink r:id="rId7" w:history="1">
        <w:r w:rsidRPr="005B4B08">
          <w:rPr>
            <w:rStyle w:val="Hyperlink"/>
          </w:rPr>
          <w:t>Local Plan Update (2022-2040) - Torbay Council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6DB8" w14:textId="77777777" w:rsidR="0002446C" w:rsidRDefault="0002446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13FBD" w14:textId="77777777" w:rsidR="004067A0" w:rsidRDefault="004067A0">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92F03"/>
    <w:multiLevelType w:val="multilevel"/>
    <w:tmpl w:val="0809001F"/>
    <w:styleLink w:val="SAparatext"/>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804416"/>
    <w:multiLevelType w:val="hybridMultilevel"/>
    <w:tmpl w:val="8F485EF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4901B41"/>
    <w:multiLevelType w:val="hybridMultilevel"/>
    <w:tmpl w:val="A11C17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C05096C"/>
    <w:multiLevelType w:val="hybridMultilevel"/>
    <w:tmpl w:val="3AF8C9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3582CF1"/>
    <w:multiLevelType w:val="multilevel"/>
    <w:tmpl w:val="F114257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4EB0996"/>
    <w:multiLevelType w:val="hybridMultilevel"/>
    <w:tmpl w:val="9E440984"/>
    <w:lvl w:ilvl="0" w:tplc="67E8B7CA">
      <w:start w:val="1"/>
      <w:numFmt w:val="bullet"/>
      <w:pStyle w:val="squarebullets"/>
      <w:lvlText w:val=""/>
      <w:lvlJc w:val="left"/>
      <w:pPr>
        <w:ind w:left="360" w:hanging="360"/>
      </w:pPr>
      <w:rPr>
        <w:rFonts w:ascii="Wingdings" w:hAnsi="Wingdings" w:hint="default"/>
        <w:color w:val="213563"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792E38DC"/>
    <w:multiLevelType w:val="hybridMultilevel"/>
    <w:tmpl w:val="14541888"/>
    <w:lvl w:ilvl="0" w:tplc="155CDFE2">
      <w:start w:val="1"/>
      <w:numFmt w:val="decimal"/>
      <w:pStyle w:val="ListParagraph"/>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1376293">
    <w:abstractNumId w:val="3"/>
  </w:num>
  <w:num w:numId="2" w16cid:durableId="2144686992">
    <w:abstractNumId w:val="6"/>
  </w:num>
  <w:num w:numId="3" w16cid:durableId="1050616544">
    <w:abstractNumId w:val="2"/>
  </w:num>
  <w:num w:numId="4" w16cid:durableId="319894111">
    <w:abstractNumId w:val="4"/>
  </w:num>
  <w:num w:numId="5" w16cid:durableId="1619142318">
    <w:abstractNumId w:val="1"/>
  </w:num>
  <w:num w:numId="6" w16cid:durableId="1793547573">
    <w:abstractNumId w:val="7"/>
  </w:num>
  <w:num w:numId="7" w16cid:durableId="1317807072">
    <w:abstractNumId w:val="0"/>
  </w:num>
  <w:num w:numId="8" w16cid:durableId="488403694">
    <w:abstractNumId w:val="5"/>
  </w:num>
  <w:num w:numId="9" w16cid:durableId="3132660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AA5"/>
    <w:rsid w:val="00002302"/>
    <w:rsid w:val="000069A0"/>
    <w:rsid w:val="00013A7F"/>
    <w:rsid w:val="00013BD7"/>
    <w:rsid w:val="00014785"/>
    <w:rsid w:val="000226F0"/>
    <w:rsid w:val="0002446C"/>
    <w:rsid w:val="000244E4"/>
    <w:rsid w:val="00031A61"/>
    <w:rsid w:val="000359D4"/>
    <w:rsid w:val="00054E22"/>
    <w:rsid w:val="0005741E"/>
    <w:rsid w:val="0006694A"/>
    <w:rsid w:val="00067A92"/>
    <w:rsid w:val="00071028"/>
    <w:rsid w:val="00072B1D"/>
    <w:rsid w:val="00087736"/>
    <w:rsid w:val="00093F29"/>
    <w:rsid w:val="00095A0B"/>
    <w:rsid w:val="000B1ABA"/>
    <w:rsid w:val="000C2375"/>
    <w:rsid w:val="000E02BE"/>
    <w:rsid w:val="00112FFE"/>
    <w:rsid w:val="00124038"/>
    <w:rsid w:val="00126E15"/>
    <w:rsid w:val="00145C57"/>
    <w:rsid w:val="00150898"/>
    <w:rsid w:val="00155AAB"/>
    <w:rsid w:val="0015716F"/>
    <w:rsid w:val="001709A4"/>
    <w:rsid w:val="00176938"/>
    <w:rsid w:val="001849C9"/>
    <w:rsid w:val="00191797"/>
    <w:rsid w:val="00193ADE"/>
    <w:rsid w:val="001C34F1"/>
    <w:rsid w:val="001C61B6"/>
    <w:rsid w:val="001C73EB"/>
    <w:rsid w:val="001D1A6C"/>
    <w:rsid w:val="001D56E5"/>
    <w:rsid w:val="001D5B91"/>
    <w:rsid w:val="001D7DAD"/>
    <w:rsid w:val="001E7484"/>
    <w:rsid w:val="001F2AA4"/>
    <w:rsid w:val="001F7843"/>
    <w:rsid w:val="00204B4B"/>
    <w:rsid w:val="00206AF1"/>
    <w:rsid w:val="00207CDA"/>
    <w:rsid w:val="00220881"/>
    <w:rsid w:val="00221060"/>
    <w:rsid w:val="002244FA"/>
    <w:rsid w:val="002341E4"/>
    <w:rsid w:val="00240ECD"/>
    <w:rsid w:val="00241636"/>
    <w:rsid w:val="002637E0"/>
    <w:rsid w:val="002D529E"/>
    <w:rsid w:val="002D7C88"/>
    <w:rsid w:val="002E6CDA"/>
    <w:rsid w:val="00300E1D"/>
    <w:rsid w:val="00302A83"/>
    <w:rsid w:val="00303834"/>
    <w:rsid w:val="00315EEE"/>
    <w:rsid w:val="00322E3A"/>
    <w:rsid w:val="00324433"/>
    <w:rsid w:val="00326CB9"/>
    <w:rsid w:val="00327247"/>
    <w:rsid w:val="003410BD"/>
    <w:rsid w:val="0034248E"/>
    <w:rsid w:val="003431EF"/>
    <w:rsid w:val="00347D59"/>
    <w:rsid w:val="00366F51"/>
    <w:rsid w:val="0037175D"/>
    <w:rsid w:val="00377DD9"/>
    <w:rsid w:val="00377E10"/>
    <w:rsid w:val="00380FCD"/>
    <w:rsid w:val="0038327A"/>
    <w:rsid w:val="00384A6A"/>
    <w:rsid w:val="00386AA5"/>
    <w:rsid w:val="00391ACB"/>
    <w:rsid w:val="00391E72"/>
    <w:rsid w:val="003A0329"/>
    <w:rsid w:val="003B0D74"/>
    <w:rsid w:val="003D033D"/>
    <w:rsid w:val="003D335F"/>
    <w:rsid w:val="003D4701"/>
    <w:rsid w:val="003E6358"/>
    <w:rsid w:val="003F3547"/>
    <w:rsid w:val="003F4201"/>
    <w:rsid w:val="004067A0"/>
    <w:rsid w:val="004069E6"/>
    <w:rsid w:val="004121BE"/>
    <w:rsid w:val="00414302"/>
    <w:rsid w:val="004228E3"/>
    <w:rsid w:val="004317D5"/>
    <w:rsid w:val="00433CA5"/>
    <w:rsid w:val="00436D69"/>
    <w:rsid w:val="004404F5"/>
    <w:rsid w:val="004443B0"/>
    <w:rsid w:val="00446D2C"/>
    <w:rsid w:val="004512B7"/>
    <w:rsid w:val="004636AB"/>
    <w:rsid w:val="00466134"/>
    <w:rsid w:val="00492E76"/>
    <w:rsid w:val="00497FAA"/>
    <w:rsid w:val="004A0F39"/>
    <w:rsid w:val="004B1BCD"/>
    <w:rsid w:val="004B75C5"/>
    <w:rsid w:val="004D04E4"/>
    <w:rsid w:val="004E7B5C"/>
    <w:rsid w:val="004F0324"/>
    <w:rsid w:val="005005F4"/>
    <w:rsid w:val="00500DA2"/>
    <w:rsid w:val="0050358E"/>
    <w:rsid w:val="0050409B"/>
    <w:rsid w:val="005120D0"/>
    <w:rsid w:val="00520C03"/>
    <w:rsid w:val="00527FC3"/>
    <w:rsid w:val="00535E8E"/>
    <w:rsid w:val="005510AE"/>
    <w:rsid w:val="0055426E"/>
    <w:rsid w:val="005667A8"/>
    <w:rsid w:val="00570466"/>
    <w:rsid w:val="005820B3"/>
    <w:rsid w:val="00585A11"/>
    <w:rsid w:val="00590524"/>
    <w:rsid w:val="005A2395"/>
    <w:rsid w:val="005B4B08"/>
    <w:rsid w:val="005B7B89"/>
    <w:rsid w:val="005D4BB4"/>
    <w:rsid w:val="005D5A65"/>
    <w:rsid w:val="005D63AB"/>
    <w:rsid w:val="005F0869"/>
    <w:rsid w:val="005F5FF0"/>
    <w:rsid w:val="00600BD0"/>
    <w:rsid w:val="00612FF4"/>
    <w:rsid w:val="00617B73"/>
    <w:rsid w:val="00621345"/>
    <w:rsid w:val="0062616D"/>
    <w:rsid w:val="00630FF7"/>
    <w:rsid w:val="00644A4C"/>
    <w:rsid w:val="0065240B"/>
    <w:rsid w:val="00662F30"/>
    <w:rsid w:val="006635D2"/>
    <w:rsid w:val="006654BD"/>
    <w:rsid w:val="00674635"/>
    <w:rsid w:val="0067621C"/>
    <w:rsid w:val="00682C97"/>
    <w:rsid w:val="00692ED1"/>
    <w:rsid w:val="006969E1"/>
    <w:rsid w:val="006B58DE"/>
    <w:rsid w:val="006B66AB"/>
    <w:rsid w:val="006B7603"/>
    <w:rsid w:val="006C1D25"/>
    <w:rsid w:val="006D4BDD"/>
    <w:rsid w:val="006D567D"/>
    <w:rsid w:val="006F5F3A"/>
    <w:rsid w:val="00701118"/>
    <w:rsid w:val="007070AA"/>
    <w:rsid w:val="007073AB"/>
    <w:rsid w:val="00726EA3"/>
    <w:rsid w:val="00745324"/>
    <w:rsid w:val="007455B3"/>
    <w:rsid w:val="00745B4E"/>
    <w:rsid w:val="00752386"/>
    <w:rsid w:val="00753494"/>
    <w:rsid w:val="007539F1"/>
    <w:rsid w:val="00760005"/>
    <w:rsid w:val="00777ED7"/>
    <w:rsid w:val="00780D92"/>
    <w:rsid w:val="00782F5D"/>
    <w:rsid w:val="00796938"/>
    <w:rsid w:val="007B1092"/>
    <w:rsid w:val="007B4402"/>
    <w:rsid w:val="007C339D"/>
    <w:rsid w:val="007D438D"/>
    <w:rsid w:val="007D7B95"/>
    <w:rsid w:val="007F08A1"/>
    <w:rsid w:val="008109EF"/>
    <w:rsid w:val="00810D94"/>
    <w:rsid w:val="0083385A"/>
    <w:rsid w:val="0083442C"/>
    <w:rsid w:val="00834E92"/>
    <w:rsid w:val="008458E7"/>
    <w:rsid w:val="00846D9A"/>
    <w:rsid w:val="00851133"/>
    <w:rsid w:val="00862D8F"/>
    <w:rsid w:val="008654C0"/>
    <w:rsid w:val="008815C3"/>
    <w:rsid w:val="00883BAA"/>
    <w:rsid w:val="00884869"/>
    <w:rsid w:val="0089247F"/>
    <w:rsid w:val="008952DF"/>
    <w:rsid w:val="008A0EB5"/>
    <w:rsid w:val="008D4182"/>
    <w:rsid w:val="0090378B"/>
    <w:rsid w:val="0090605D"/>
    <w:rsid w:val="00911E48"/>
    <w:rsid w:val="009128EF"/>
    <w:rsid w:val="009255E9"/>
    <w:rsid w:val="009415ED"/>
    <w:rsid w:val="00943B8A"/>
    <w:rsid w:val="009505A4"/>
    <w:rsid w:val="009532FB"/>
    <w:rsid w:val="009543F0"/>
    <w:rsid w:val="0095671A"/>
    <w:rsid w:val="00960686"/>
    <w:rsid w:val="00960E5B"/>
    <w:rsid w:val="0096779C"/>
    <w:rsid w:val="00982FB6"/>
    <w:rsid w:val="00984A59"/>
    <w:rsid w:val="009A7ED8"/>
    <w:rsid w:val="009B3252"/>
    <w:rsid w:val="009B41EF"/>
    <w:rsid w:val="009B49B1"/>
    <w:rsid w:val="009B4A5B"/>
    <w:rsid w:val="009B7341"/>
    <w:rsid w:val="009C2A2E"/>
    <w:rsid w:val="00A01973"/>
    <w:rsid w:val="00A02740"/>
    <w:rsid w:val="00A313B4"/>
    <w:rsid w:val="00A32BAD"/>
    <w:rsid w:val="00A501F4"/>
    <w:rsid w:val="00A508D9"/>
    <w:rsid w:val="00A64432"/>
    <w:rsid w:val="00A71B58"/>
    <w:rsid w:val="00A71EDD"/>
    <w:rsid w:val="00A81036"/>
    <w:rsid w:val="00A81D53"/>
    <w:rsid w:val="00AC1574"/>
    <w:rsid w:val="00AC2AC6"/>
    <w:rsid w:val="00AF451A"/>
    <w:rsid w:val="00AF592C"/>
    <w:rsid w:val="00AF79E3"/>
    <w:rsid w:val="00B04440"/>
    <w:rsid w:val="00B237C0"/>
    <w:rsid w:val="00B25BAA"/>
    <w:rsid w:val="00B377FC"/>
    <w:rsid w:val="00B41AA5"/>
    <w:rsid w:val="00B45394"/>
    <w:rsid w:val="00B4727C"/>
    <w:rsid w:val="00B47EF9"/>
    <w:rsid w:val="00B664EF"/>
    <w:rsid w:val="00B70716"/>
    <w:rsid w:val="00B70CC5"/>
    <w:rsid w:val="00B73962"/>
    <w:rsid w:val="00B8295D"/>
    <w:rsid w:val="00B83ED2"/>
    <w:rsid w:val="00B933CF"/>
    <w:rsid w:val="00B93979"/>
    <w:rsid w:val="00B93C85"/>
    <w:rsid w:val="00B972EB"/>
    <w:rsid w:val="00BC082C"/>
    <w:rsid w:val="00BD194F"/>
    <w:rsid w:val="00BE2B8F"/>
    <w:rsid w:val="00C00AB0"/>
    <w:rsid w:val="00C112E2"/>
    <w:rsid w:val="00C12EFB"/>
    <w:rsid w:val="00C175A9"/>
    <w:rsid w:val="00C221D8"/>
    <w:rsid w:val="00C31F04"/>
    <w:rsid w:val="00C41DF6"/>
    <w:rsid w:val="00C41E4F"/>
    <w:rsid w:val="00C44F7C"/>
    <w:rsid w:val="00C520E4"/>
    <w:rsid w:val="00C52D41"/>
    <w:rsid w:val="00C578F3"/>
    <w:rsid w:val="00C60EA7"/>
    <w:rsid w:val="00C829C8"/>
    <w:rsid w:val="00C83C1C"/>
    <w:rsid w:val="00CA3F60"/>
    <w:rsid w:val="00CA5832"/>
    <w:rsid w:val="00CB3654"/>
    <w:rsid w:val="00CB75F8"/>
    <w:rsid w:val="00CC5C77"/>
    <w:rsid w:val="00CC5CB0"/>
    <w:rsid w:val="00CF681A"/>
    <w:rsid w:val="00CF724A"/>
    <w:rsid w:val="00D026EA"/>
    <w:rsid w:val="00D05C2B"/>
    <w:rsid w:val="00D05EAE"/>
    <w:rsid w:val="00D12207"/>
    <w:rsid w:val="00D16A90"/>
    <w:rsid w:val="00D2132E"/>
    <w:rsid w:val="00D36950"/>
    <w:rsid w:val="00D430A8"/>
    <w:rsid w:val="00D443F1"/>
    <w:rsid w:val="00D50D29"/>
    <w:rsid w:val="00D61EF3"/>
    <w:rsid w:val="00DA3E4B"/>
    <w:rsid w:val="00DC0581"/>
    <w:rsid w:val="00DD041A"/>
    <w:rsid w:val="00DD1D8F"/>
    <w:rsid w:val="00DE5185"/>
    <w:rsid w:val="00DF4E52"/>
    <w:rsid w:val="00E06B74"/>
    <w:rsid w:val="00E078E6"/>
    <w:rsid w:val="00E13009"/>
    <w:rsid w:val="00E2151F"/>
    <w:rsid w:val="00E2544F"/>
    <w:rsid w:val="00E3111E"/>
    <w:rsid w:val="00E366B1"/>
    <w:rsid w:val="00E943EF"/>
    <w:rsid w:val="00EA5D06"/>
    <w:rsid w:val="00EB4EEC"/>
    <w:rsid w:val="00EB6BD0"/>
    <w:rsid w:val="00EC163F"/>
    <w:rsid w:val="00ED2E9F"/>
    <w:rsid w:val="00EE0261"/>
    <w:rsid w:val="00EE315B"/>
    <w:rsid w:val="00EF1BEB"/>
    <w:rsid w:val="00EF220D"/>
    <w:rsid w:val="00EF2756"/>
    <w:rsid w:val="00F03C34"/>
    <w:rsid w:val="00F0464B"/>
    <w:rsid w:val="00F32493"/>
    <w:rsid w:val="00F354E0"/>
    <w:rsid w:val="00F51006"/>
    <w:rsid w:val="00F734FD"/>
    <w:rsid w:val="00F8764E"/>
    <w:rsid w:val="00F87B8D"/>
    <w:rsid w:val="00F94170"/>
    <w:rsid w:val="00FA25EA"/>
    <w:rsid w:val="00FD221A"/>
    <w:rsid w:val="00FD3C40"/>
    <w:rsid w:val="00FD41B8"/>
    <w:rsid w:val="00FE1AAE"/>
    <w:rsid w:val="00FE6BD4"/>
    <w:rsid w:val="00FF49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CF1CB8"/>
  <w15:chartTrackingRefBased/>
  <w15:docId w15:val="{2608A19D-CB91-43E8-BC89-64260B6F7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175A9"/>
    <w:pPr>
      <w:spacing w:after="240" w:line="360" w:lineRule="auto"/>
    </w:pPr>
    <w:rPr>
      <w:sz w:val="24"/>
    </w:rPr>
  </w:style>
  <w:style w:type="paragraph" w:styleId="Heading1">
    <w:name w:val="heading 1"/>
    <w:basedOn w:val="Normal"/>
    <w:next w:val="Heading5"/>
    <w:link w:val="Heading1Char"/>
    <w:uiPriority w:val="9"/>
    <w:qFormat/>
    <w:rsid w:val="00112FFE"/>
    <w:pPr>
      <w:keepNext/>
      <w:keepLines/>
      <w:numPr>
        <w:numId w:val="8"/>
      </w:numPr>
      <w:pBdr>
        <w:bottom w:val="single" w:sz="12" w:space="1" w:color="FFBF3F" w:themeColor="accent4"/>
      </w:pBdr>
      <w:spacing w:before="480" w:after="120"/>
      <w:ind w:left="851" w:hanging="851"/>
      <w:outlineLvl w:val="0"/>
    </w:pPr>
    <w:rPr>
      <w:rFonts w:asciiTheme="majorHAnsi" w:eastAsiaTheme="majorEastAsia" w:hAnsiTheme="majorHAnsi" w:cstheme="majorBidi"/>
      <w:color w:val="213563" w:themeColor="text1"/>
      <w:sz w:val="48"/>
      <w:szCs w:val="36"/>
    </w:rPr>
  </w:style>
  <w:style w:type="paragraph" w:styleId="Heading2">
    <w:name w:val="heading 2"/>
    <w:basedOn w:val="Normal"/>
    <w:next w:val="Normal"/>
    <w:link w:val="Heading2Char"/>
    <w:uiPriority w:val="9"/>
    <w:qFormat/>
    <w:rsid w:val="00112FFE"/>
    <w:pPr>
      <w:keepNext/>
      <w:keepLines/>
      <w:numPr>
        <w:ilvl w:val="1"/>
        <w:numId w:val="8"/>
      </w:numPr>
      <w:spacing w:before="480" w:after="60"/>
      <w:outlineLvl w:val="1"/>
    </w:pPr>
    <w:rPr>
      <w:rFonts w:asciiTheme="majorHAnsi" w:eastAsiaTheme="majorEastAsia" w:hAnsiTheme="majorHAnsi" w:cstheme="majorBidi"/>
      <w:color w:val="213563" w:themeColor="text1"/>
      <w:sz w:val="36"/>
      <w:szCs w:val="28"/>
    </w:rPr>
  </w:style>
  <w:style w:type="paragraph" w:styleId="Heading3">
    <w:name w:val="heading 3"/>
    <w:basedOn w:val="Quote"/>
    <w:next w:val="Normal"/>
    <w:link w:val="Heading3Char"/>
    <w:uiPriority w:val="9"/>
    <w:qFormat/>
    <w:rsid w:val="0083442C"/>
    <w:pPr>
      <w:numPr>
        <w:ilvl w:val="2"/>
        <w:numId w:val="8"/>
      </w:numPr>
      <w:pBdr>
        <w:left w:val="none" w:sz="0" w:space="0" w:color="auto"/>
      </w:pBdr>
      <w:spacing w:after="360"/>
      <w:ind w:right="0"/>
      <w:outlineLvl w:val="2"/>
    </w:pPr>
    <w:rPr>
      <w:rFonts w:eastAsia="Arial"/>
      <w:b w:val="0"/>
      <w:color w:val="auto"/>
      <w:szCs w:val="24"/>
    </w:rPr>
  </w:style>
  <w:style w:type="paragraph" w:styleId="Heading4">
    <w:name w:val="heading 4"/>
    <w:basedOn w:val="Normal"/>
    <w:next w:val="Normal"/>
    <w:link w:val="Heading4Char"/>
    <w:uiPriority w:val="9"/>
    <w:unhideWhenUsed/>
    <w:qFormat/>
    <w:rsid w:val="00112FFE"/>
    <w:pPr>
      <w:keepNext/>
      <w:keepLines/>
      <w:spacing w:before="120" w:after="60"/>
      <w:outlineLvl w:val="3"/>
    </w:pPr>
    <w:rPr>
      <w:rFonts w:asciiTheme="majorHAnsi" w:eastAsia="Arial" w:hAnsiTheme="majorHAnsi" w:cstheme="majorBidi"/>
      <w:color w:val="213563" w:themeColor="text1"/>
      <w:sz w:val="28"/>
      <w:szCs w:val="24"/>
    </w:rPr>
  </w:style>
  <w:style w:type="paragraph" w:styleId="Heading5">
    <w:name w:val="heading 5"/>
    <w:basedOn w:val="Heading3"/>
    <w:link w:val="Heading5Char"/>
    <w:uiPriority w:val="9"/>
    <w:unhideWhenUsed/>
    <w:qFormat/>
    <w:locked/>
    <w:rsid w:val="0083442C"/>
    <w:pPr>
      <w:numPr>
        <w:ilvl w:val="0"/>
        <w:numId w:val="0"/>
      </w:numPr>
      <w:outlineLvl w:val="4"/>
    </w:pPr>
    <w:rPr>
      <w:color w:val="213563" w:themeColor="text1"/>
      <w:sz w:val="36"/>
      <w:szCs w:val="36"/>
    </w:rPr>
  </w:style>
  <w:style w:type="paragraph" w:styleId="Heading6">
    <w:name w:val="heading 6"/>
    <w:basedOn w:val="Normal"/>
    <w:next w:val="Normal"/>
    <w:link w:val="Heading6Char"/>
    <w:uiPriority w:val="9"/>
    <w:unhideWhenUsed/>
    <w:qFormat/>
    <w:locked/>
    <w:rsid w:val="008952DF"/>
    <w:pPr>
      <w:keepNext/>
      <w:keepLines/>
      <w:numPr>
        <w:ilvl w:val="5"/>
        <w:numId w:val="8"/>
      </w:numPr>
      <w:spacing w:before="80" w:after="0"/>
      <w:outlineLvl w:val="5"/>
    </w:pPr>
    <w:rPr>
      <w:rFonts w:asciiTheme="majorHAnsi" w:eastAsiaTheme="majorEastAsia" w:hAnsiTheme="majorHAnsi" w:cstheme="majorBidi"/>
      <w:color w:val="466BC1" w:themeColor="text1" w:themeTint="A6"/>
    </w:rPr>
  </w:style>
  <w:style w:type="paragraph" w:styleId="Heading7">
    <w:name w:val="heading 7"/>
    <w:basedOn w:val="Normal"/>
    <w:next w:val="Normal"/>
    <w:link w:val="Heading7Char"/>
    <w:uiPriority w:val="9"/>
    <w:unhideWhenUsed/>
    <w:qFormat/>
    <w:locked/>
    <w:rsid w:val="008952DF"/>
    <w:pPr>
      <w:keepNext/>
      <w:keepLines/>
      <w:numPr>
        <w:ilvl w:val="6"/>
        <w:numId w:val="8"/>
      </w:numPr>
      <w:spacing w:before="80" w:after="0"/>
      <w:outlineLvl w:val="6"/>
    </w:pPr>
    <w:rPr>
      <w:rFonts w:asciiTheme="majorHAnsi" w:eastAsiaTheme="majorEastAsia" w:hAnsiTheme="majorHAnsi" w:cstheme="majorBidi"/>
      <w:i/>
      <w:iCs/>
      <w:color w:val="466BC1" w:themeColor="text1" w:themeTint="A6"/>
    </w:rPr>
  </w:style>
  <w:style w:type="paragraph" w:styleId="Heading8">
    <w:name w:val="heading 8"/>
    <w:basedOn w:val="Normal"/>
    <w:next w:val="Normal"/>
    <w:link w:val="Heading8Char"/>
    <w:uiPriority w:val="9"/>
    <w:semiHidden/>
    <w:unhideWhenUsed/>
    <w:qFormat/>
    <w:locked/>
    <w:rsid w:val="008952DF"/>
    <w:pPr>
      <w:keepNext/>
      <w:keepLines/>
      <w:numPr>
        <w:ilvl w:val="7"/>
        <w:numId w:val="8"/>
      </w:numPr>
      <w:spacing w:before="80" w:after="0"/>
      <w:outlineLvl w:val="7"/>
    </w:pPr>
    <w:rPr>
      <w:rFonts w:asciiTheme="majorHAnsi" w:eastAsiaTheme="majorEastAsia" w:hAnsiTheme="majorHAnsi" w:cstheme="majorBidi"/>
      <w:smallCaps/>
      <w:color w:val="466BC1" w:themeColor="text1" w:themeTint="A6"/>
    </w:rPr>
  </w:style>
  <w:style w:type="paragraph" w:styleId="Heading9">
    <w:name w:val="heading 9"/>
    <w:basedOn w:val="Normal"/>
    <w:next w:val="Normal"/>
    <w:link w:val="Heading9Char"/>
    <w:uiPriority w:val="9"/>
    <w:semiHidden/>
    <w:unhideWhenUsed/>
    <w:qFormat/>
    <w:locked/>
    <w:rsid w:val="008952DF"/>
    <w:pPr>
      <w:keepNext/>
      <w:keepLines/>
      <w:numPr>
        <w:ilvl w:val="8"/>
        <w:numId w:val="8"/>
      </w:numPr>
      <w:spacing w:before="80" w:after="0"/>
      <w:outlineLvl w:val="8"/>
    </w:pPr>
    <w:rPr>
      <w:rFonts w:asciiTheme="majorHAnsi" w:eastAsiaTheme="majorEastAsia" w:hAnsiTheme="majorHAnsi" w:cstheme="majorBidi"/>
      <w:i/>
      <w:iCs/>
      <w:smallCaps/>
      <w:color w:val="466BC1"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7A8"/>
    <w:pPr>
      <w:numPr>
        <w:numId w:val="6"/>
      </w:numPr>
    </w:pPr>
    <w:rPr>
      <w:rFonts w:eastAsia="Arial"/>
    </w:rPr>
  </w:style>
  <w:style w:type="paragraph" w:customStyle="1" w:styleId="squarebullets">
    <w:name w:val="square bullets"/>
    <w:basedOn w:val="ListParagraph"/>
    <w:qFormat/>
    <w:rsid w:val="00414302"/>
    <w:pPr>
      <w:numPr>
        <w:numId w:val="2"/>
      </w:numPr>
      <w:ind w:left="993"/>
    </w:pPr>
  </w:style>
  <w:style w:type="paragraph" w:customStyle="1" w:styleId="numberedlist">
    <w:name w:val="numbered list"/>
    <w:basedOn w:val="squarebullets"/>
    <w:qFormat/>
    <w:rsid w:val="00F87B8D"/>
    <w:pPr>
      <w:numPr>
        <w:numId w:val="1"/>
      </w:numPr>
    </w:pPr>
  </w:style>
  <w:style w:type="paragraph" w:customStyle="1" w:styleId="footertext">
    <w:name w:val="footer text"/>
    <w:basedOn w:val="Normal"/>
    <w:rsid w:val="00C00AB0"/>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112FFE"/>
    <w:rPr>
      <w:rFonts w:asciiTheme="majorHAnsi" w:eastAsiaTheme="majorEastAsia" w:hAnsiTheme="majorHAnsi" w:cstheme="majorBidi"/>
      <w:color w:val="213563" w:themeColor="text1"/>
      <w:sz w:val="48"/>
      <w:szCs w:val="36"/>
    </w:rPr>
  </w:style>
  <w:style w:type="character" w:customStyle="1" w:styleId="Heading2Char">
    <w:name w:val="Heading 2 Char"/>
    <w:basedOn w:val="DefaultParagraphFont"/>
    <w:link w:val="Heading2"/>
    <w:uiPriority w:val="9"/>
    <w:rsid w:val="00112FFE"/>
    <w:rPr>
      <w:rFonts w:asciiTheme="majorHAnsi" w:eastAsiaTheme="majorEastAsia" w:hAnsiTheme="majorHAnsi" w:cstheme="majorBidi"/>
      <w:color w:val="213563" w:themeColor="text1"/>
      <w:sz w:val="36"/>
      <w:szCs w:val="28"/>
    </w:rPr>
  </w:style>
  <w:style w:type="character" w:customStyle="1" w:styleId="Heading3Char">
    <w:name w:val="Heading 3 Char"/>
    <w:basedOn w:val="DefaultParagraphFont"/>
    <w:link w:val="Heading3"/>
    <w:uiPriority w:val="9"/>
    <w:rsid w:val="0083442C"/>
    <w:rPr>
      <w:rFonts w:eastAsia="Arial"/>
      <w:iCs/>
      <w:sz w:val="24"/>
      <w:szCs w:val="24"/>
      <w:shd w:val="clear" w:color="FFBF3F" w:themeColor="accent4" w:fill="auto"/>
    </w:rPr>
  </w:style>
  <w:style w:type="character" w:customStyle="1" w:styleId="Heading4Char">
    <w:name w:val="Heading 4 Char"/>
    <w:basedOn w:val="DefaultParagraphFont"/>
    <w:link w:val="Heading4"/>
    <w:uiPriority w:val="9"/>
    <w:rsid w:val="00112FFE"/>
    <w:rPr>
      <w:rFonts w:asciiTheme="majorHAnsi" w:eastAsia="Arial" w:hAnsiTheme="majorHAnsi" w:cstheme="majorBidi"/>
      <w:color w:val="213563" w:themeColor="text1"/>
      <w:sz w:val="28"/>
      <w:szCs w:val="24"/>
    </w:rPr>
  </w:style>
  <w:style w:type="character" w:customStyle="1" w:styleId="Heading5Char">
    <w:name w:val="Heading 5 Char"/>
    <w:basedOn w:val="DefaultParagraphFont"/>
    <w:link w:val="Heading5"/>
    <w:uiPriority w:val="9"/>
    <w:rsid w:val="0083442C"/>
    <w:rPr>
      <w:rFonts w:eastAsia="Arial"/>
      <w:iCs/>
      <w:color w:val="213563" w:themeColor="text1"/>
      <w:sz w:val="36"/>
      <w:szCs w:val="36"/>
      <w:shd w:val="clear" w:color="FFBF3F" w:themeColor="accent4" w:fill="auto"/>
    </w:rPr>
  </w:style>
  <w:style w:type="character" w:customStyle="1" w:styleId="Heading6Char">
    <w:name w:val="Heading 6 Char"/>
    <w:basedOn w:val="DefaultParagraphFont"/>
    <w:link w:val="Heading6"/>
    <w:uiPriority w:val="9"/>
    <w:rsid w:val="008952DF"/>
    <w:rPr>
      <w:rFonts w:asciiTheme="majorHAnsi" w:eastAsiaTheme="majorEastAsia" w:hAnsiTheme="majorHAnsi" w:cstheme="majorBidi"/>
      <w:color w:val="466BC1" w:themeColor="text1" w:themeTint="A6"/>
      <w:sz w:val="24"/>
    </w:rPr>
  </w:style>
  <w:style w:type="character" w:customStyle="1" w:styleId="Heading7Char">
    <w:name w:val="Heading 7 Char"/>
    <w:basedOn w:val="DefaultParagraphFont"/>
    <w:link w:val="Heading7"/>
    <w:uiPriority w:val="9"/>
    <w:rsid w:val="008952DF"/>
    <w:rPr>
      <w:rFonts w:asciiTheme="majorHAnsi" w:eastAsiaTheme="majorEastAsia" w:hAnsiTheme="majorHAnsi" w:cstheme="majorBidi"/>
      <w:i/>
      <w:iCs/>
      <w:color w:val="466BC1" w:themeColor="text1" w:themeTint="A6"/>
      <w:sz w:val="24"/>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466BC1" w:themeColor="text1" w:themeTint="A6"/>
      <w:sz w:val="24"/>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466BC1" w:themeColor="text1" w:themeTint="A6"/>
      <w:sz w:val="24"/>
    </w:rPr>
  </w:style>
  <w:style w:type="paragraph" w:styleId="Caption">
    <w:name w:val="caption"/>
    <w:basedOn w:val="Normal"/>
    <w:next w:val="Normal"/>
    <w:uiPriority w:val="35"/>
    <w:unhideWhenUsed/>
    <w:qFormat/>
    <w:locked/>
    <w:rsid w:val="008952DF"/>
    <w:pPr>
      <w:spacing w:line="240" w:lineRule="auto"/>
    </w:pPr>
    <w:rPr>
      <w:b/>
      <w:bCs/>
      <w:color w:val="385AAA"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EAB5B7" w:themeColor="accent2" w:themeTint="66"/>
        <w:left w:val="single" w:sz="4" w:space="0" w:color="EAB5B7" w:themeColor="accent2" w:themeTint="66"/>
        <w:bottom w:val="single" w:sz="4" w:space="0" w:color="EAB5B7" w:themeColor="accent2" w:themeTint="66"/>
        <w:right w:val="single" w:sz="4" w:space="0" w:color="EAB5B7" w:themeColor="accent2" w:themeTint="66"/>
        <w:insideH w:val="single" w:sz="4" w:space="0" w:color="EAB5B7" w:themeColor="accent2" w:themeTint="66"/>
        <w:insideV w:val="single" w:sz="4" w:space="0" w:color="EAB5B7" w:themeColor="accent2" w:themeTint="66"/>
      </w:tblBorders>
    </w:tblPr>
    <w:tblStylePr w:type="firstRow">
      <w:rPr>
        <w:b/>
        <w:bCs/>
      </w:rPr>
      <w:tblPr/>
      <w:tcPr>
        <w:tcBorders>
          <w:bottom w:val="single" w:sz="12" w:space="0" w:color="E09093" w:themeColor="accent2" w:themeTint="99"/>
        </w:tcBorders>
      </w:tcPr>
    </w:tblStylePr>
    <w:tblStylePr w:type="lastRow">
      <w:rPr>
        <w:b/>
        <w:bCs/>
      </w:rPr>
      <w:tblPr/>
      <w:tcPr>
        <w:tcBorders>
          <w:top w:val="double" w:sz="2" w:space="0" w:color="E09093"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E09093" w:themeColor="accent2" w:themeTint="99"/>
        <w:left w:val="single" w:sz="4" w:space="0" w:color="E09093" w:themeColor="accent2" w:themeTint="99"/>
        <w:bottom w:val="single" w:sz="4" w:space="0" w:color="E09093" w:themeColor="accent2" w:themeTint="99"/>
        <w:right w:val="single" w:sz="4" w:space="0" w:color="E09093" w:themeColor="accent2" w:themeTint="99"/>
        <w:insideH w:val="single" w:sz="4" w:space="0" w:color="E09093" w:themeColor="accent2" w:themeTint="99"/>
        <w:insideV w:val="single" w:sz="4" w:space="0" w:color="E09093" w:themeColor="accent2" w:themeTint="99"/>
      </w:tblBorders>
      <w:tblCellMar>
        <w:top w:w="113" w:type="dxa"/>
        <w:bottom w:w="113" w:type="dxa"/>
      </w:tblCellMar>
    </w:tblPr>
    <w:tblStylePr w:type="firstRow">
      <w:rPr>
        <w:b/>
        <w:bCs/>
        <w:color w:val="FFFFFF" w:themeColor="background1"/>
      </w:rPr>
      <w:tblPr/>
      <w:tcPr>
        <w:tcBorders>
          <w:top w:val="single" w:sz="4" w:space="0" w:color="CC484C" w:themeColor="accent2"/>
          <w:left w:val="single" w:sz="4" w:space="0" w:color="CC484C" w:themeColor="accent2"/>
          <w:bottom w:val="single" w:sz="4" w:space="0" w:color="CC484C" w:themeColor="accent2"/>
          <w:right w:val="single" w:sz="4" w:space="0" w:color="CC484C" w:themeColor="accent2"/>
          <w:insideH w:val="nil"/>
          <w:insideV w:val="nil"/>
        </w:tcBorders>
        <w:shd w:val="clear" w:color="auto" w:fill="CC484C" w:themeFill="accent2"/>
      </w:tcPr>
    </w:tblStylePr>
    <w:tblStylePr w:type="lastRow">
      <w:rPr>
        <w:b/>
        <w:bCs/>
      </w:rPr>
      <w:tblPr/>
      <w:tcPr>
        <w:tcBorders>
          <w:top w:val="double" w:sz="4" w:space="0" w:color="CC484C" w:themeColor="accent2"/>
        </w:tcBorders>
      </w:tcPr>
    </w:tblStylePr>
    <w:tblStylePr w:type="firstCol">
      <w:rPr>
        <w:b/>
        <w:bCs/>
      </w:rPr>
    </w:tblStylePr>
    <w:tblStylePr w:type="lastCol">
      <w:rPr>
        <w:b/>
        <w:bCs/>
      </w:rPr>
    </w:tblStylePr>
    <w:tblStylePr w:type="band1Vert">
      <w:tblPr/>
      <w:tcPr>
        <w:shd w:val="clear" w:color="auto" w:fill="F4DADA" w:themeFill="accent2" w:themeFillTint="33"/>
      </w:tcPr>
    </w:tblStylePr>
    <w:tblStylePr w:type="band1Horz">
      <w:tblPr/>
      <w:tcPr>
        <w:shd w:val="clear" w:color="auto" w:fill="F4DADA"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4ABDF4" w:themeColor="accent1" w:themeTint="99"/>
        <w:left w:val="single" w:sz="4" w:space="0" w:color="4ABDF4" w:themeColor="accent1" w:themeTint="99"/>
        <w:bottom w:val="single" w:sz="4" w:space="0" w:color="4ABDF4" w:themeColor="accent1" w:themeTint="99"/>
        <w:right w:val="single" w:sz="4" w:space="0" w:color="4ABDF4" w:themeColor="accent1" w:themeTint="99"/>
        <w:insideH w:val="single" w:sz="4" w:space="0" w:color="4ABDF4" w:themeColor="accent1" w:themeTint="99"/>
        <w:insideV w:val="single" w:sz="4" w:space="0" w:color="4ABDF4" w:themeColor="accent1" w:themeTint="99"/>
      </w:tblBorders>
      <w:tblCellMar>
        <w:top w:w="113" w:type="dxa"/>
        <w:bottom w:w="113" w:type="dxa"/>
      </w:tblCellMar>
    </w:tblPr>
    <w:tblStylePr w:type="firstRow">
      <w:rPr>
        <w:rFonts w:ascii="Arial" w:hAnsi="Arial"/>
        <w:b/>
        <w:bCs/>
        <w:color w:val="213563" w:themeColor="text1"/>
      </w:rPr>
      <w:tblPr/>
      <w:tcPr>
        <w:tcBorders>
          <w:top w:val="single" w:sz="4" w:space="0" w:color="0B7EB4" w:themeColor="accent1"/>
          <w:left w:val="single" w:sz="4" w:space="0" w:color="0B7EB4" w:themeColor="accent1"/>
          <w:bottom w:val="single" w:sz="4" w:space="0" w:color="0B7EB4" w:themeColor="accent1"/>
          <w:right w:val="single" w:sz="4" w:space="0" w:color="0B7EB4" w:themeColor="accent1"/>
          <w:insideH w:val="nil"/>
          <w:insideV w:val="nil"/>
        </w:tcBorders>
        <w:shd w:val="clear" w:color="auto" w:fill="0B7EB4" w:themeFill="accent1"/>
      </w:tcPr>
    </w:tblStylePr>
    <w:tblStylePr w:type="lastRow">
      <w:rPr>
        <w:b/>
        <w:bCs/>
      </w:rPr>
      <w:tblPr/>
      <w:tcPr>
        <w:tcBorders>
          <w:top w:val="double" w:sz="4" w:space="0" w:color="0B7EB4" w:themeColor="accent1"/>
        </w:tcBorders>
      </w:tcPr>
    </w:tblStylePr>
    <w:tblStylePr w:type="firstCol">
      <w:rPr>
        <w:b/>
        <w:bCs/>
      </w:rPr>
    </w:tblStylePr>
    <w:tblStylePr w:type="lastCol">
      <w:rPr>
        <w:b/>
        <w:bCs/>
      </w:rPr>
    </w:tblStylePr>
    <w:tblStylePr w:type="band1Vert">
      <w:tblPr/>
      <w:tcPr>
        <w:shd w:val="clear" w:color="auto" w:fill="C2E9FB" w:themeFill="accent1" w:themeFillTint="33"/>
      </w:tcPr>
    </w:tblStylePr>
    <w:tblStylePr w:type="band1Horz">
      <w:tblPr/>
      <w:tcPr>
        <w:shd w:val="clear" w:color="auto" w:fill="C2E9FB"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C31F04"/>
    <w:pPr>
      <w:pBdr>
        <w:left w:val="single" w:sz="36" w:space="12" w:color="FFBF3F" w:themeColor="accent4"/>
      </w:pBdr>
      <w:shd w:val="clear" w:color="FFBF3F" w:themeColor="accent4" w:fill="auto"/>
      <w:spacing w:before="240" w:after="120"/>
      <w:ind w:left="340" w:right="862"/>
    </w:pPr>
    <w:rPr>
      <w:b/>
      <w:iCs/>
      <w:color w:val="213563" w:themeColor="text1"/>
    </w:rPr>
  </w:style>
  <w:style w:type="character" w:customStyle="1" w:styleId="QuoteChar">
    <w:name w:val="Quote Char"/>
    <w:basedOn w:val="DefaultParagraphFont"/>
    <w:link w:val="Quote"/>
    <w:uiPriority w:val="29"/>
    <w:rsid w:val="00C31F04"/>
    <w:rPr>
      <w:b/>
      <w:iCs/>
      <w:color w:val="213563" w:themeColor="text1"/>
      <w:sz w:val="24"/>
      <w:shd w:val="clear" w:color="FFBF3F" w:themeColor="accent4" w:fill="auto"/>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08DCF" w:themeColor="text1" w:themeTint="80"/>
        <w:bottom w:val="single" w:sz="4" w:space="0" w:color="708DCF" w:themeColor="text1" w:themeTint="80"/>
      </w:tblBorders>
      <w:tblCellMar>
        <w:top w:w="113" w:type="dxa"/>
        <w:bottom w:w="113" w:type="dxa"/>
      </w:tblCellMar>
    </w:tblPr>
    <w:tblStylePr w:type="firstRow">
      <w:rPr>
        <w:b/>
        <w:bCs/>
      </w:rPr>
      <w:tblPr/>
      <w:tcPr>
        <w:tcBorders>
          <w:bottom w:val="single" w:sz="4" w:space="0" w:color="708DCF" w:themeColor="text1" w:themeTint="80"/>
        </w:tcBorders>
      </w:tcPr>
    </w:tblStylePr>
    <w:tblStylePr w:type="lastRow">
      <w:rPr>
        <w:b/>
        <w:bCs/>
      </w:rPr>
      <w:tblPr/>
      <w:tcPr>
        <w:tcBorders>
          <w:top w:val="single" w:sz="4" w:space="0" w:color="708DCF" w:themeColor="text1" w:themeTint="80"/>
        </w:tcBorders>
      </w:tcPr>
    </w:tblStylePr>
    <w:tblStylePr w:type="firstCol">
      <w:rPr>
        <w:b/>
        <w:bCs/>
      </w:rPr>
    </w:tblStylePr>
    <w:tblStylePr w:type="lastCol">
      <w:rPr>
        <w:b/>
        <w:bCs/>
      </w:rPr>
    </w:tblStylePr>
    <w:tblStylePr w:type="band1Vert">
      <w:tblPr/>
      <w:tcPr>
        <w:tcBorders>
          <w:left w:val="single" w:sz="4" w:space="0" w:color="708DCF" w:themeColor="text1" w:themeTint="80"/>
          <w:right w:val="single" w:sz="4" w:space="0" w:color="708DCF" w:themeColor="text1" w:themeTint="80"/>
        </w:tcBorders>
      </w:tcPr>
    </w:tblStylePr>
    <w:tblStylePr w:type="band2Vert">
      <w:tblPr/>
      <w:tcPr>
        <w:tcBorders>
          <w:left w:val="single" w:sz="4" w:space="0" w:color="708DCF" w:themeColor="text1" w:themeTint="80"/>
          <w:right w:val="single" w:sz="4" w:space="0" w:color="708DCF" w:themeColor="text1" w:themeTint="80"/>
        </w:tcBorders>
      </w:tcPr>
    </w:tblStylePr>
    <w:tblStylePr w:type="band1Horz">
      <w:tblPr/>
      <w:tcPr>
        <w:tcBorders>
          <w:top w:val="single" w:sz="4" w:space="0" w:color="708DCF" w:themeColor="text1" w:themeTint="80"/>
          <w:bottom w:val="single" w:sz="4" w:space="0" w:color="708DC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5476C6" w:themeColor="text1" w:themeTint="99"/>
        <w:left w:val="single" w:sz="4" w:space="0" w:color="5476C6" w:themeColor="text1" w:themeTint="99"/>
        <w:bottom w:val="single" w:sz="4" w:space="0" w:color="5476C6" w:themeColor="text1" w:themeTint="99"/>
        <w:right w:val="single" w:sz="4" w:space="0" w:color="5476C6" w:themeColor="text1" w:themeTint="99"/>
        <w:insideH w:val="single" w:sz="4" w:space="0" w:color="5476C6" w:themeColor="text1" w:themeTint="99"/>
        <w:insideV w:val="single" w:sz="4" w:space="0" w:color="5476C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D1EC" w:themeFill="text1" w:themeFillTint="33"/>
      </w:tcPr>
    </w:tblStylePr>
    <w:tblStylePr w:type="band1Horz">
      <w:tblPr/>
      <w:tcPr>
        <w:shd w:val="clear" w:color="auto" w:fill="C6D1EC" w:themeFill="text1" w:themeFillTint="33"/>
      </w:tcPr>
    </w:tblStylePr>
    <w:tblStylePr w:type="neCell">
      <w:tblPr/>
      <w:tcPr>
        <w:tcBorders>
          <w:bottom w:val="single" w:sz="4" w:space="0" w:color="5476C6" w:themeColor="text1" w:themeTint="99"/>
        </w:tcBorders>
      </w:tcPr>
    </w:tblStylePr>
    <w:tblStylePr w:type="nwCell">
      <w:tblPr/>
      <w:tcPr>
        <w:tcBorders>
          <w:bottom w:val="single" w:sz="4" w:space="0" w:color="5476C6" w:themeColor="text1" w:themeTint="99"/>
        </w:tcBorders>
      </w:tcPr>
    </w:tblStylePr>
    <w:tblStylePr w:type="seCell">
      <w:tblPr/>
      <w:tcPr>
        <w:tcBorders>
          <w:top w:val="single" w:sz="4" w:space="0" w:color="5476C6" w:themeColor="text1" w:themeTint="99"/>
        </w:tcBorders>
      </w:tcPr>
    </w:tblStylePr>
    <w:tblStylePr w:type="swCell">
      <w:tblPr/>
      <w:tcPr>
        <w:tcBorders>
          <w:top w:val="single" w:sz="4" w:space="0" w:color="5476C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D04E4"/>
    <w:rPr>
      <w:b/>
      <w:color w:val="213563" w:themeColor="text1"/>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1">
    <w:name w:val="List Table 4 Accent 1"/>
    <w:basedOn w:val="TableNormal"/>
    <w:uiPriority w:val="49"/>
    <w:locked/>
    <w:rsid w:val="00C12EFB"/>
    <w:pPr>
      <w:spacing w:after="0" w:line="240" w:lineRule="auto"/>
    </w:pPr>
    <w:tblPr>
      <w:tblStyleRowBandSize w:val="1"/>
      <w:tblStyleColBandSize w:val="1"/>
      <w:tblBorders>
        <w:top w:val="single" w:sz="4" w:space="0" w:color="4ABDF4" w:themeColor="accent1" w:themeTint="99"/>
        <w:left w:val="single" w:sz="4" w:space="0" w:color="4ABDF4" w:themeColor="accent1" w:themeTint="99"/>
        <w:bottom w:val="single" w:sz="4" w:space="0" w:color="4ABDF4" w:themeColor="accent1" w:themeTint="99"/>
        <w:right w:val="single" w:sz="4" w:space="0" w:color="4ABDF4" w:themeColor="accent1" w:themeTint="99"/>
        <w:insideH w:val="single" w:sz="4" w:space="0" w:color="4ABDF4" w:themeColor="accent1" w:themeTint="99"/>
      </w:tblBorders>
      <w:tblCellMar>
        <w:top w:w="57" w:type="dxa"/>
        <w:bottom w:w="57" w:type="dxa"/>
      </w:tblCellMar>
    </w:tblPr>
    <w:tblStylePr w:type="firstRow">
      <w:rPr>
        <w:b/>
        <w:bCs/>
        <w:color w:val="FFFFFF" w:themeColor="background1"/>
      </w:rPr>
      <w:tblPr/>
      <w:tcPr>
        <w:tcBorders>
          <w:top w:val="single" w:sz="4" w:space="0" w:color="0B7EB4" w:themeColor="accent1"/>
          <w:left w:val="single" w:sz="4" w:space="0" w:color="0B7EB4" w:themeColor="accent1"/>
          <w:bottom w:val="single" w:sz="4" w:space="0" w:color="0B7EB4" w:themeColor="accent1"/>
          <w:right w:val="single" w:sz="4" w:space="0" w:color="0B7EB4" w:themeColor="accent1"/>
          <w:insideH w:val="nil"/>
        </w:tcBorders>
        <w:shd w:val="clear" w:color="auto" w:fill="0B7EB4" w:themeFill="accent1"/>
      </w:tcPr>
    </w:tblStylePr>
    <w:tblStylePr w:type="lastRow">
      <w:rPr>
        <w:b/>
        <w:bCs/>
      </w:rPr>
      <w:tblPr/>
      <w:tcPr>
        <w:tcBorders>
          <w:top w:val="double" w:sz="4" w:space="0" w:color="4ABDF4" w:themeColor="accent1" w:themeTint="99"/>
        </w:tcBorders>
      </w:tcPr>
    </w:tblStylePr>
    <w:tblStylePr w:type="firstCol">
      <w:rPr>
        <w:b/>
        <w:bCs/>
      </w:rPr>
    </w:tblStylePr>
    <w:tblStylePr w:type="lastCol">
      <w:rPr>
        <w:b/>
        <w:bCs/>
      </w:rPr>
    </w:tblStylePr>
    <w:tblStylePr w:type="band1Vert">
      <w:tblPr/>
      <w:tcPr>
        <w:shd w:val="clear" w:color="auto" w:fill="C2E9FB" w:themeFill="accent1" w:themeFillTint="33"/>
      </w:tcPr>
    </w:tblStylePr>
    <w:tblStylePr w:type="band1Horz">
      <w:tblPr/>
      <w:tcPr>
        <w:shd w:val="clear" w:color="auto" w:fill="C2E9FB" w:themeFill="accent1" w:themeFillTint="33"/>
      </w:tcPr>
    </w:tblStylePr>
  </w:style>
  <w:style w:type="table" w:styleId="PlainTable3">
    <w:name w:val="Plain Table 3"/>
    <w:basedOn w:val="TableNormal"/>
    <w:uiPriority w:val="43"/>
    <w:locked/>
    <w:rsid w:val="004D04E4"/>
    <w:pPr>
      <w:spacing w:after="0" w:line="240" w:lineRule="auto"/>
    </w:pPr>
    <w:tblPr>
      <w:tblStyleRowBandSize w:val="1"/>
      <w:tblStyleColBandSize w:val="1"/>
    </w:tblPr>
    <w:tblStylePr w:type="firstRow">
      <w:rPr>
        <w:b/>
        <w:bCs/>
        <w:caps/>
      </w:rPr>
      <w:tblPr/>
      <w:tcPr>
        <w:tcBorders>
          <w:bottom w:val="single" w:sz="4" w:space="0" w:color="708DC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08DC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5">
    <w:name w:val="Grid Table 4 Accent 5"/>
    <w:basedOn w:val="TableNormal"/>
    <w:uiPriority w:val="49"/>
    <w:locked/>
    <w:rsid w:val="004D04E4"/>
    <w:pPr>
      <w:spacing w:after="0" w:line="240" w:lineRule="auto"/>
    </w:pPr>
    <w:tblPr>
      <w:tblStyleRowBandSize w:val="1"/>
      <w:tblStyleColBandSize w:val="1"/>
      <w:tblBorders>
        <w:top w:val="single" w:sz="4" w:space="0" w:color="1CFFED" w:themeColor="accent5" w:themeTint="99"/>
        <w:left w:val="single" w:sz="4" w:space="0" w:color="1CFFED" w:themeColor="accent5" w:themeTint="99"/>
        <w:bottom w:val="single" w:sz="4" w:space="0" w:color="1CFFED" w:themeColor="accent5" w:themeTint="99"/>
        <w:right w:val="single" w:sz="4" w:space="0" w:color="1CFFED" w:themeColor="accent5" w:themeTint="99"/>
        <w:insideH w:val="single" w:sz="4" w:space="0" w:color="1CFFED" w:themeColor="accent5" w:themeTint="99"/>
        <w:insideV w:val="single" w:sz="4" w:space="0" w:color="1CFFED" w:themeColor="accent5" w:themeTint="99"/>
      </w:tblBorders>
    </w:tblPr>
    <w:tblStylePr w:type="firstRow">
      <w:rPr>
        <w:b/>
        <w:bCs/>
        <w:color w:val="FFFFFF" w:themeColor="background1"/>
      </w:rPr>
      <w:tblPr/>
      <w:tcPr>
        <w:tcBorders>
          <w:top w:val="single" w:sz="4" w:space="0" w:color="00857B" w:themeColor="accent5"/>
          <w:left w:val="single" w:sz="4" w:space="0" w:color="00857B" w:themeColor="accent5"/>
          <w:bottom w:val="single" w:sz="4" w:space="0" w:color="00857B" w:themeColor="accent5"/>
          <w:right w:val="single" w:sz="4" w:space="0" w:color="00857B" w:themeColor="accent5"/>
          <w:insideH w:val="nil"/>
          <w:insideV w:val="nil"/>
        </w:tcBorders>
        <w:shd w:val="clear" w:color="auto" w:fill="00857B" w:themeFill="accent5"/>
      </w:tcPr>
    </w:tblStylePr>
    <w:tblStylePr w:type="lastRow">
      <w:rPr>
        <w:b/>
        <w:bCs/>
      </w:rPr>
      <w:tblPr/>
      <w:tcPr>
        <w:tcBorders>
          <w:top w:val="double" w:sz="4" w:space="0" w:color="00857B" w:themeColor="accent5"/>
        </w:tcBorders>
      </w:tcPr>
    </w:tblStylePr>
    <w:tblStylePr w:type="firstCol">
      <w:rPr>
        <w:b/>
        <w:bCs/>
      </w:rPr>
    </w:tblStylePr>
    <w:tblStylePr w:type="lastCol">
      <w:rPr>
        <w:b/>
        <w:bCs/>
      </w:rPr>
    </w:tblStylePr>
    <w:tblStylePr w:type="band1Vert">
      <w:tblPr/>
      <w:tcPr>
        <w:shd w:val="clear" w:color="auto" w:fill="B3FFF9" w:themeFill="accent5" w:themeFillTint="33"/>
      </w:tcPr>
    </w:tblStylePr>
    <w:tblStylePr w:type="band1Horz">
      <w:tblPr/>
      <w:tcPr>
        <w:shd w:val="clear" w:color="auto" w:fill="B3FFF9" w:themeFill="accent5" w:themeFillTint="33"/>
      </w:tcPr>
    </w:tblStylePr>
  </w:style>
  <w:style w:type="paragraph" w:customStyle="1" w:styleId="Highlightedtext">
    <w:name w:val="Highlighted text"/>
    <w:basedOn w:val="Normal"/>
    <w:qFormat/>
    <w:rsid w:val="00C175A9"/>
    <w:pPr>
      <w:pBdr>
        <w:top w:val="single" w:sz="4" w:space="8" w:color="213563" w:themeColor="text1"/>
        <w:left w:val="single" w:sz="4" w:space="4" w:color="213563" w:themeColor="text1"/>
        <w:bottom w:val="single" w:sz="4" w:space="8" w:color="213563" w:themeColor="text1"/>
        <w:right w:val="single" w:sz="4" w:space="4" w:color="213563" w:themeColor="text1"/>
      </w:pBdr>
      <w:shd w:val="clear" w:color="auto" w:fill="FFE5B2" w:themeFill="accent4" w:themeFillTint="66"/>
      <w:ind w:left="170" w:right="170"/>
    </w:pPr>
    <w:rPr>
      <w:color w:val="213563" w:themeColor="text1"/>
    </w:rPr>
  </w:style>
  <w:style w:type="table" w:styleId="ListTable7Colorful-Accent3">
    <w:name w:val="List Table 7 Colorful Accent 3"/>
    <w:basedOn w:val="TableNormal"/>
    <w:uiPriority w:val="52"/>
    <w:locked/>
    <w:rsid w:val="004069E6"/>
    <w:pPr>
      <w:spacing w:after="0" w:line="240" w:lineRule="auto"/>
    </w:pPr>
    <w:rPr>
      <w:color w:val="01602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813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813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813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8137" w:themeColor="accent3"/>
        </w:tcBorders>
        <w:shd w:val="clear" w:color="auto" w:fill="FFFFFF" w:themeFill="background1"/>
      </w:tcPr>
    </w:tblStylePr>
    <w:tblStylePr w:type="band1Vert">
      <w:tblPr/>
      <w:tcPr>
        <w:shd w:val="clear" w:color="auto" w:fill="B4FDD2" w:themeFill="accent3" w:themeFillTint="33"/>
      </w:tcPr>
    </w:tblStylePr>
    <w:tblStylePr w:type="band1Horz">
      <w:tblPr/>
      <w:tcPr>
        <w:shd w:val="clear" w:color="auto" w:fill="B4FD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069E6"/>
    <w:pPr>
      <w:spacing w:after="0" w:line="240" w:lineRule="auto"/>
    </w:pPr>
    <w:tblPr>
      <w:tblStyleRowBandSize w:val="1"/>
      <w:tblStyleColBandSize w:val="1"/>
      <w:tblBorders>
        <w:top w:val="single" w:sz="4" w:space="0" w:color="8DA4D9" w:themeColor="text1" w:themeTint="66"/>
        <w:left w:val="single" w:sz="4" w:space="0" w:color="8DA4D9" w:themeColor="text1" w:themeTint="66"/>
        <w:bottom w:val="single" w:sz="4" w:space="0" w:color="8DA4D9" w:themeColor="text1" w:themeTint="66"/>
        <w:right w:val="single" w:sz="4" w:space="0" w:color="8DA4D9" w:themeColor="text1" w:themeTint="66"/>
        <w:insideH w:val="single" w:sz="4" w:space="0" w:color="8DA4D9" w:themeColor="text1" w:themeTint="66"/>
        <w:insideV w:val="single" w:sz="4" w:space="0" w:color="8DA4D9" w:themeColor="text1" w:themeTint="66"/>
      </w:tblBorders>
    </w:tblPr>
    <w:tblStylePr w:type="firstRow">
      <w:rPr>
        <w:b/>
        <w:bCs/>
      </w:rPr>
      <w:tblPr/>
      <w:tcPr>
        <w:tcBorders>
          <w:bottom w:val="single" w:sz="12" w:space="0" w:color="5476C6" w:themeColor="text1" w:themeTint="99"/>
        </w:tcBorders>
      </w:tcPr>
    </w:tblStylePr>
    <w:tblStylePr w:type="lastRow">
      <w:rPr>
        <w:b/>
        <w:bCs/>
      </w:rPr>
      <w:tblPr/>
      <w:tcPr>
        <w:tcBorders>
          <w:top w:val="double" w:sz="2" w:space="0" w:color="5476C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locked/>
    <w:rsid w:val="004069E6"/>
    <w:pPr>
      <w:spacing w:after="0" w:line="240" w:lineRule="auto"/>
    </w:pPr>
    <w:tblPr>
      <w:tblStyleRowBandSize w:val="1"/>
      <w:tblStyleColBandSize w:val="1"/>
      <w:tblBorders>
        <w:top w:val="single" w:sz="4" w:space="0" w:color="1EFB7A" w:themeColor="accent3" w:themeTint="99"/>
        <w:left w:val="single" w:sz="4" w:space="0" w:color="1EFB7A" w:themeColor="accent3" w:themeTint="99"/>
        <w:bottom w:val="single" w:sz="4" w:space="0" w:color="1EFB7A" w:themeColor="accent3" w:themeTint="99"/>
        <w:right w:val="single" w:sz="4" w:space="0" w:color="1EFB7A" w:themeColor="accent3" w:themeTint="99"/>
        <w:insideH w:val="single" w:sz="4" w:space="0" w:color="1EFB7A" w:themeColor="accent3" w:themeTint="99"/>
        <w:insideV w:val="single" w:sz="4" w:space="0" w:color="1EFB7A" w:themeColor="accent3" w:themeTint="99"/>
      </w:tblBorders>
    </w:tblPr>
    <w:tblStylePr w:type="firstRow">
      <w:rPr>
        <w:b/>
        <w:bCs/>
        <w:color w:val="E7E6E6" w:themeColor="background2"/>
      </w:rPr>
      <w:tblPr/>
      <w:tcPr>
        <w:tcBorders>
          <w:top w:val="single" w:sz="4" w:space="0" w:color="028137" w:themeColor="accent3"/>
          <w:left w:val="single" w:sz="4" w:space="0" w:color="028137" w:themeColor="accent3"/>
          <w:bottom w:val="single" w:sz="4" w:space="0" w:color="028137" w:themeColor="accent3"/>
          <w:right w:val="single" w:sz="4" w:space="0" w:color="028137" w:themeColor="accent3"/>
          <w:insideH w:val="nil"/>
          <w:insideV w:val="nil"/>
        </w:tcBorders>
        <w:shd w:val="clear" w:color="auto" w:fill="028137" w:themeFill="accent3"/>
      </w:tcPr>
    </w:tblStylePr>
    <w:tblStylePr w:type="lastRow">
      <w:rPr>
        <w:b/>
        <w:bCs/>
      </w:rPr>
      <w:tblPr/>
      <w:tcPr>
        <w:tcBorders>
          <w:top w:val="double" w:sz="4" w:space="0" w:color="028137" w:themeColor="accent3"/>
        </w:tcBorders>
      </w:tcPr>
    </w:tblStylePr>
    <w:tblStylePr w:type="firstCol">
      <w:rPr>
        <w:b/>
        <w:bCs/>
      </w:rPr>
    </w:tblStylePr>
    <w:tblStylePr w:type="lastCol">
      <w:rPr>
        <w:b/>
        <w:bCs/>
      </w:rPr>
    </w:tblStylePr>
    <w:tblStylePr w:type="band1Vert">
      <w:tblPr/>
      <w:tcPr>
        <w:shd w:val="clear" w:color="auto" w:fill="B4FDD2" w:themeFill="accent3" w:themeFillTint="33"/>
      </w:tcPr>
    </w:tblStylePr>
    <w:tblStylePr w:type="band1Horz">
      <w:tblPr/>
      <w:tcPr>
        <w:shd w:val="clear" w:color="auto" w:fill="B4FDD2" w:themeFill="accent3" w:themeFillTint="33"/>
      </w:tcPr>
    </w:tblStylePr>
  </w:style>
  <w:style w:type="table" w:customStyle="1" w:styleId="corptable">
    <w:name w:val="corp table"/>
    <w:basedOn w:val="TableNormal"/>
    <w:uiPriority w:val="99"/>
    <w:rsid w:val="004069E6"/>
    <w:pPr>
      <w:spacing w:after="0" w:line="240" w:lineRule="auto"/>
    </w:pPr>
    <w:rPr>
      <w:color w:val="213563" w:themeColor="text1"/>
    </w:rPr>
    <w:tblPr>
      <w:tblStyleRowBandSize w:val="1"/>
      <w:tblBorders>
        <w:top w:val="single" w:sz="4" w:space="0" w:color="213563" w:themeColor="text1"/>
        <w:left w:val="single" w:sz="4" w:space="0" w:color="213563" w:themeColor="text1"/>
        <w:bottom w:val="single" w:sz="4" w:space="0" w:color="213563" w:themeColor="text1"/>
        <w:right w:val="single" w:sz="4" w:space="0" w:color="213563" w:themeColor="text1"/>
        <w:insideH w:val="single" w:sz="4" w:space="0" w:color="213563" w:themeColor="text1"/>
        <w:insideV w:val="single" w:sz="4" w:space="0" w:color="213563" w:themeColor="text1"/>
      </w:tblBorders>
      <w:tblCellMar>
        <w:top w:w="113" w:type="dxa"/>
        <w:bottom w:w="113" w:type="dxa"/>
      </w:tblCellMar>
    </w:tblPr>
    <w:tblStylePr w:type="firstRow">
      <w:pPr>
        <w:jc w:val="left"/>
      </w:pPr>
      <w:rPr>
        <w:rFonts w:asciiTheme="minorHAnsi" w:hAnsiTheme="minorHAnsi"/>
        <w:color w:val="213563" w:themeColor="text1"/>
        <w:sz w:val="24"/>
      </w:rPr>
      <w:tblPr/>
      <w:tcPr>
        <w:shd w:val="clear" w:color="auto" w:fill="213563" w:themeFill="text1"/>
        <w:vAlign w:val="center"/>
      </w:tcPr>
    </w:tblStylePr>
    <w:tblStylePr w:type="band1Horz">
      <w:tblPr/>
      <w:tcPr>
        <w:shd w:val="clear" w:color="auto" w:fill="FFE5B2" w:themeFill="accent4" w:themeFillTint="66"/>
      </w:tcPr>
    </w:tblStylePr>
  </w:style>
  <w:style w:type="paragraph" w:styleId="Title">
    <w:name w:val="Title"/>
    <w:basedOn w:val="Normal"/>
    <w:next w:val="Normal"/>
    <w:link w:val="TitleChar"/>
    <w:uiPriority w:val="10"/>
    <w:qFormat/>
    <w:locked/>
    <w:rsid w:val="00753494"/>
    <w:pPr>
      <w:pBdr>
        <w:top w:val="single" w:sz="12" w:space="4" w:color="213563" w:themeColor="text1"/>
        <w:left w:val="single" w:sz="12" w:space="4" w:color="213563" w:themeColor="text1"/>
        <w:bottom w:val="single" w:sz="12" w:space="4" w:color="213563" w:themeColor="text1"/>
        <w:right w:val="single" w:sz="12" w:space="4" w:color="213563" w:themeColor="text1"/>
      </w:pBdr>
      <w:shd w:val="clear" w:color="auto" w:fill="213563" w:themeFill="text1"/>
      <w:spacing w:line="276" w:lineRule="auto"/>
      <w:ind w:left="170" w:right="96"/>
    </w:pPr>
    <w:rPr>
      <w:sz w:val="52"/>
      <w:szCs w:val="44"/>
    </w:rPr>
  </w:style>
  <w:style w:type="character" w:customStyle="1" w:styleId="TitleChar">
    <w:name w:val="Title Char"/>
    <w:basedOn w:val="DefaultParagraphFont"/>
    <w:link w:val="Title"/>
    <w:uiPriority w:val="10"/>
    <w:rsid w:val="00753494"/>
    <w:rPr>
      <w:sz w:val="52"/>
      <w:szCs w:val="44"/>
      <w:shd w:val="clear" w:color="auto" w:fill="213563" w:themeFill="text1"/>
    </w:rPr>
  </w:style>
  <w:style w:type="paragraph" w:styleId="Subtitle">
    <w:name w:val="Subtitle"/>
    <w:basedOn w:val="Normal"/>
    <w:next w:val="Normal"/>
    <w:link w:val="SubtitleChar"/>
    <w:uiPriority w:val="11"/>
    <w:qFormat/>
    <w:locked/>
    <w:rsid w:val="00753494"/>
    <w:pPr>
      <w:pBdr>
        <w:top w:val="single" w:sz="12" w:space="4" w:color="213563" w:themeColor="text1"/>
        <w:left w:val="single" w:sz="12" w:space="4" w:color="213563" w:themeColor="text1"/>
        <w:bottom w:val="single" w:sz="12" w:space="1" w:color="213563" w:themeColor="text1"/>
        <w:right w:val="single" w:sz="12" w:space="4" w:color="213563" w:themeColor="text1"/>
      </w:pBdr>
      <w:shd w:val="clear" w:color="auto" w:fill="213563" w:themeFill="text1"/>
      <w:spacing w:line="276" w:lineRule="auto"/>
      <w:ind w:left="227" w:right="96"/>
    </w:pPr>
    <w:rPr>
      <w:color w:val="FFBF3F" w:themeColor="accent4"/>
      <w:sz w:val="36"/>
      <w:szCs w:val="28"/>
    </w:rPr>
  </w:style>
  <w:style w:type="character" w:customStyle="1" w:styleId="SubtitleChar">
    <w:name w:val="Subtitle Char"/>
    <w:basedOn w:val="DefaultParagraphFont"/>
    <w:link w:val="Subtitle"/>
    <w:uiPriority w:val="11"/>
    <w:rsid w:val="00753494"/>
    <w:rPr>
      <w:color w:val="FFBF3F" w:themeColor="accent4"/>
      <w:sz w:val="36"/>
      <w:szCs w:val="28"/>
      <w:shd w:val="clear" w:color="auto" w:fill="213563" w:themeFill="text1"/>
    </w:rPr>
  </w:style>
  <w:style w:type="character" w:styleId="CommentReference">
    <w:name w:val="annotation reference"/>
    <w:basedOn w:val="DefaultParagraphFont"/>
    <w:uiPriority w:val="99"/>
    <w:semiHidden/>
    <w:unhideWhenUsed/>
    <w:locked/>
    <w:rsid w:val="00753494"/>
    <w:rPr>
      <w:sz w:val="16"/>
      <w:szCs w:val="16"/>
    </w:rPr>
  </w:style>
  <w:style w:type="paragraph" w:styleId="CommentText">
    <w:name w:val="annotation text"/>
    <w:basedOn w:val="Normal"/>
    <w:link w:val="CommentTextChar"/>
    <w:uiPriority w:val="99"/>
    <w:unhideWhenUsed/>
    <w:locked/>
    <w:rsid w:val="00753494"/>
    <w:pPr>
      <w:spacing w:line="240" w:lineRule="auto"/>
    </w:pPr>
    <w:rPr>
      <w:sz w:val="20"/>
      <w:szCs w:val="20"/>
    </w:rPr>
  </w:style>
  <w:style w:type="character" w:customStyle="1" w:styleId="CommentTextChar">
    <w:name w:val="Comment Text Char"/>
    <w:basedOn w:val="DefaultParagraphFont"/>
    <w:link w:val="CommentText"/>
    <w:uiPriority w:val="99"/>
    <w:rsid w:val="00753494"/>
    <w:rPr>
      <w:sz w:val="20"/>
      <w:szCs w:val="20"/>
    </w:rPr>
  </w:style>
  <w:style w:type="paragraph" w:styleId="TOC1">
    <w:name w:val="toc 1"/>
    <w:basedOn w:val="Normal"/>
    <w:next w:val="Normal"/>
    <w:autoRedefine/>
    <w:uiPriority w:val="39"/>
    <w:unhideWhenUsed/>
    <w:rsid w:val="001C34F1"/>
    <w:pPr>
      <w:spacing w:after="100" w:line="276" w:lineRule="auto"/>
    </w:pPr>
    <w:rPr>
      <w:b/>
    </w:rPr>
  </w:style>
  <w:style w:type="paragraph" w:styleId="TOC2">
    <w:name w:val="toc 2"/>
    <w:basedOn w:val="Normal"/>
    <w:next w:val="Normal"/>
    <w:autoRedefine/>
    <w:uiPriority w:val="39"/>
    <w:unhideWhenUsed/>
    <w:rsid w:val="00433CA5"/>
    <w:pPr>
      <w:tabs>
        <w:tab w:val="left" w:pos="960"/>
        <w:tab w:val="right" w:leader="dot" w:pos="10456"/>
      </w:tabs>
      <w:spacing w:after="100" w:line="276" w:lineRule="auto"/>
      <w:ind w:left="240"/>
    </w:pPr>
  </w:style>
  <w:style w:type="paragraph" w:styleId="TOC3">
    <w:name w:val="toc 3"/>
    <w:basedOn w:val="Normal"/>
    <w:next w:val="Normal"/>
    <w:autoRedefine/>
    <w:uiPriority w:val="39"/>
    <w:unhideWhenUsed/>
    <w:rsid w:val="00753494"/>
    <w:pPr>
      <w:spacing w:after="100" w:line="276" w:lineRule="auto"/>
      <w:ind w:left="480"/>
    </w:pPr>
  </w:style>
  <w:style w:type="paragraph" w:styleId="FootnoteText">
    <w:name w:val="footnote text"/>
    <w:basedOn w:val="Normal"/>
    <w:link w:val="FootnoteTextChar"/>
    <w:uiPriority w:val="99"/>
    <w:semiHidden/>
    <w:unhideWhenUsed/>
    <w:locked/>
    <w:rsid w:val="007073AB"/>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7073AB"/>
    <w:rPr>
      <w:rFonts w:eastAsiaTheme="minorHAnsi"/>
      <w:sz w:val="20"/>
      <w:szCs w:val="20"/>
    </w:rPr>
  </w:style>
  <w:style w:type="character" w:styleId="FootnoteReference">
    <w:name w:val="footnote reference"/>
    <w:basedOn w:val="DefaultParagraphFont"/>
    <w:uiPriority w:val="99"/>
    <w:locked/>
    <w:rsid w:val="007073AB"/>
    <w:rPr>
      <w:vertAlign w:val="superscript"/>
    </w:rPr>
  </w:style>
  <w:style w:type="paragraph" w:customStyle="1" w:styleId="paragraph">
    <w:name w:val="paragraph"/>
    <w:basedOn w:val="Normal"/>
    <w:rsid w:val="00D05C2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olicyName">
    <w:name w:val="Policy Name"/>
    <w:basedOn w:val="Normal"/>
    <w:link w:val="PolicyNameChar"/>
    <w:autoRedefine/>
    <w:uiPriority w:val="1"/>
    <w:qFormat/>
    <w:rsid w:val="001849C9"/>
    <w:pPr>
      <w:pBdr>
        <w:left w:val="single" w:sz="18" w:space="14" w:color="FFBF3F" w:themeColor="accent4"/>
      </w:pBdr>
      <w:spacing w:after="480" w:line="240" w:lineRule="auto"/>
      <w:ind w:left="680" w:right="686"/>
    </w:pPr>
    <w:rPr>
      <w:rFonts w:ascii="Arial" w:eastAsia="Arial" w:hAnsi="Arial" w:cs="Arial"/>
      <w:b/>
      <w:bCs/>
      <w:color w:val="213563" w:themeColor="text1"/>
      <w:sz w:val="32"/>
      <w:szCs w:val="32"/>
      <w:lang w:eastAsia="ja-JP"/>
    </w:rPr>
  </w:style>
  <w:style w:type="character" w:customStyle="1" w:styleId="PolicyNameChar">
    <w:name w:val="Policy Name Char"/>
    <w:basedOn w:val="DefaultParagraphFont"/>
    <w:link w:val="PolicyName"/>
    <w:uiPriority w:val="1"/>
    <w:rsid w:val="001849C9"/>
    <w:rPr>
      <w:rFonts w:ascii="Arial" w:eastAsia="Arial" w:hAnsi="Arial" w:cs="Arial"/>
      <w:b/>
      <w:bCs/>
      <w:color w:val="213563" w:themeColor="text1"/>
      <w:sz w:val="32"/>
      <w:szCs w:val="32"/>
      <w:lang w:eastAsia="ja-JP"/>
    </w:rPr>
  </w:style>
  <w:style w:type="character" w:styleId="FollowedHyperlink">
    <w:name w:val="FollowedHyperlink"/>
    <w:basedOn w:val="DefaultParagraphFont"/>
    <w:uiPriority w:val="99"/>
    <w:rsid w:val="00ED2E9F"/>
    <w:rPr>
      <w:color w:val="002F6C" w:themeColor="followedHyperlink"/>
      <w:u w:val="single"/>
    </w:rPr>
  </w:style>
  <w:style w:type="character" w:styleId="UnresolvedMention">
    <w:name w:val="Unresolved Mention"/>
    <w:basedOn w:val="DefaultParagraphFont"/>
    <w:uiPriority w:val="99"/>
    <w:semiHidden/>
    <w:unhideWhenUsed/>
    <w:rsid w:val="009505A4"/>
    <w:rPr>
      <w:color w:val="605E5C"/>
      <w:shd w:val="clear" w:color="auto" w:fill="E1DFDD"/>
    </w:rPr>
  </w:style>
  <w:style w:type="paragraph" w:customStyle="1" w:styleId="Heading1nonumber">
    <w:name w:val="Heading 1 no number"/>
    <w:basedOn w:val="Heading1"/>
    <w:qFormat/>
    <w:rsid w:val="00112FFE"/>
    <w:pPr>
      <w:numPr>
        <w:numId w:val="0"/>
      </w:numPr>
    </w:pPr>
  </w:style>
  <w:style w:type="paragraph" w:styleId="Revision">
    <w:name w:val="Revision"/>
    <w:hidden/>
    <w:uiPriority w:val="99"/>
    <w:semiHidden/>
    <w:rsid w:val="005667A8"/>
    <w:pPr>
      <w:spacing w:after="0" w:line="240" w:lineRule="auto"/>
    </w:pPr>
    <w:rPr>
      <w:sz w:val="24"/>
    </w:rPr>
  </w:style>
  <w:style w:type="numbering" w:customStyle="1" w:styleId="SAparatext">
    <w:name w:val="SA para text"/>
    <w:uiPriority w:val="99"/>
    <w:rsid w:val="00617B73"/>
    <w:pPr>
      <w:numPr>
        <w:numId w:val="7"/>
      </w:numPr>
    </w:pPr>
  </w:style>
  <w:style w:type="paragraph" w:styleId="TOC4">
    <w:name w:val="toc 4"/>
    <w:basedOn w:val="Normal"/>
    <w:next w:val="Normal"/>
    <w:autoRedefine/>
    <w:uiPriority w:val="39"/>
    <w:unhideWhenUsed/>
    <w:locked/>
    <w:rsid w:val="00C112E2"/>
    <w:pPr>
      <w:spacing w:after="100" w:line="278" w:lineRule="auto"/>
      <w:ind w:left="720"/>
    </w:pPr>
    <w:rPr>
      <w:kern w:val="2"/>
      <w:szCs w:val="24"/>
      <w:lang w:eastAsia="en-GB"/>
      <w14:ligatures w14:val="standardContextual"/>
    </w:rPr>
  </w:style>
  <w:style w:type="paragraph" w:styleId="TOC5">
    <w:name w:val="toc 5"/>
    <w:basedOn w:val="Normal"/>
    <w:next w:val="Normal"/>
    <w:autoRedefine/>
    <w:uiPriority w:val="39"/>
    <w:unhideWhenUsed/>
    <w:locked/>
    <w:rsid w:val="00C112E2"/>
    <w:pPr>
      <w:spacing w:after="100" w:line="278" w:lineRule="auto"/>
      <w:ind w:left="960"/>
    </w:pPr>
    <w:rPr>
      <w:kern w:val="2"/>
      <w:szCs w:val="24"/>
      <w:lang w:eastAsia="en-GB"/>
      <w14:ligatures w14:val="standardContextual"/>
    </w:rPr>
  </w:style>
  <w:style w:type="paragraph" w:styleId="TOC6">
    <w:name w:val="toc 6"/>
    <w:basedOn w:val="Normal"/>
    <w:next w:val="Normal"/>
    <w:autoRedefine/>
    <w:uiPriority w:val="39"/>
    <w:unhideWhenUsed/>
    <w:locked/>
    <w:rsid w:val="00C112E2"/>
    <w:pPr>
      <w:spacing w:after="100" w:line="278" w:lineRule="auto"/>
      <w:ind w:left="1200"/>
    </w:pPr>
    <w:rPr>
      <w:kern w:val="2"/>
      <w:szCs w:val="24"/>
      <w:lang w:eastAsia="en-GB"/>
      <w14:ligatures w14:val="standardContextual"/>
    </w:rPr>
  </w:style>
  <w:style w:type="paragraph" w:styleId="TOC7">
    <w:name w:val="toc 7"/>
    <w:basedOn w:val="Normal"/>
    <w:next w:val="Normal"/>
    <w:autoRedefine/>
    <w:uiPriority w:val="39"/>
    <w:unhideWhenUsed/>
    <w:locked/>
    <w:rsid w:val="00C112E2"/>
    <w:pPr>
      <w:spacing w:after="100" w:line="278" w:lineRule="auto"/>
      <w:ind w:left="1440"/>
    </w:pPr>
    <w:rPr>
      <w:kern w:val="2"/>
      <w:szCs w:val="24"/>
      <w:lang w:eastAsia="en-GB"/>
      <w14:ligatures w14:val="standardContextual"/>
    </w:rPr>
  </w:style>
  <w:style w:type="paragraph" w:styleId="TOC8">
    <w:name w:val="toc 8"/>
    <w:basedOn w:val="Normal"/>
    <w:next w:val="Normal"/>
    <w:autoRedefine/>
    <w:uiPriority w:val="39"/>
    <w:unhideWhenUsed/>
    <w:locked/>
    <w:rsid w:val="00C112E2"/>
    <w:pPr>
      <w:spacing w:after="100" w:line="278" w:lineRule="auto"/>
      <w:ind w:left="1680"/>
    </w:pPr>
    <w:rPr>
      <w:kern w:val="2"/>
      <w:szCs w:val="24"/>
      <w:lang w:eastAsia="en-GB"/>
      <w14:ligatures w14:val="standardContextual"/>
    </w:rPr>
  </w:style>
  <w:style w:type="paragraph" w:styleId="TOC9">
    <w:name w:val="toc 9"/>
    <w:basedOn w:val="Normal"/>
    <w:next w:val="Normal"/>
    <w:autoRedefine/>
    <w:uiPriority w:val="39"/>
    <w:unhideWhenUsed/>
    <w:locked/>
    <w:rsid w:val="00C112E2"/>
    <w:pPr>
      <w:spacing w:after="100" w:line="278" w:lineRule="auto"/>
      <w:ind w:left="1920"/>
    </w:pPr>
    <w:rPr>
      <w:kern w:val="2"/>
      <w:szCs w:val="24"/>
      <w:lang w:eastAsia="en-GB"/>
      <w14:ligatures w14:val="standardContextual"/>
    </w:rPr>
  </w:style>
  <w:style w:type="character" w:customStyle="1" w:styleId="normaltextrun">
    <w:name w:val="normaltextrun"/>
    <w:basedOn w:val="DefaultParagraphFont"/>
    <w:rsid w:val="00600B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torbay.oc2.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orbay.oc2.uk/"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planningguidance.planningportal.gov.uk/blog/guidance/strategic-environmental-assessment-and-sustainability-appraisal/" TargetMode="External"/><Relationship Id="rId7" Type="http://schemas.openxmlformats.org/officeDocument/2006/relationships/hyperlink" Target="https://www.torbay.gov.uk/council/policies/planning-policies/local-plan-update/" TargetMode="External"/><Relationship Id="rId2" Type="http://schemas.openxmlformats.org/officeDocument/2006/relationships/hyperlink" Target="https://www.torbay.gov.uk/council/policies/planning-policies/evidence-base-and-monitoring-2022-2040/" TargetMode="External"/><Relationship Id="rId1" Type="http://schemas.openxmlformats.org/officeDocument/2006/relationships/hyperlink" Target="https://www.legislation.gov.uk/uksi/2004/1633/contents/made" TargetMode="External"/><Relationship Id="rId6" Type="http://schemas.openxmlformats.org/officeDocument/2006/relationships/hyperlink" Target="https://www.torbay.gov.uk/media/17082/sa-of-issues-and-options.pdf" TargetMode="External"/><Relationship Id="rId5" Type="http://schemas.openxmlformats.org/officeDocument/2006/relationships/hyperlink" Target="https://www.torbay.gov.uk/council/policies/planning-policies/local-plan-update/" TargetMode="External"/><Relationship Id="rId4" Type="http://schemas.openxmlformats.org/officeDocument/2006/relationships/hyperlink" Target="https://www.torbay.gov.uk/media/15949/sustainability-appraisal-scoping-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eb600\OneDrive%20-%20Torbay%20Council\Documents\SALocalPlanNovember25.dotx" TargetMode="External"/></Relationships>
</file>

<file path=word/theme/theme1.xml><?xml version="1.0" encoding="utf-8"?>
<a:theme xmlns:a="http://schemas.openxmlformats.org/drawingml/2006/main" name="council_2020">
  <a:themeElements>
    <a:clrScheme name="Accessible council">
      <a:dk1>
        <a:srgbClr val="213563"/>
      </a:dk1>
      <a:lt1>
        <a:sysClr val="window" lastClr="FFFFFF"/>
      </a:lt1>
      <a:dk2>
        <a:srgbClr val="673A8E"/>
      </a:dk2>
      <a:lt2>
        <a:srgbClr val="E7E6E6"/>
      </a:lt2>
      <a:accent1>
        <a:srgbClr val="0B7EB4"/>
      </a:accent1>
      <a:accent2>
        <a:srgbClr val="CC484C"/>
      </a:accent2>
      <a:accent3>
        <a:srgbClr val="028137"/>
      </a:accent3>
      <a:accent4>
        <a:srgbClr val="FFBF3F"/>
      </a:accent4>
      <a:accent5>
        <a:srgbClr val="00857B"/>
      </a:accent5>
      <a:accent6>
        <a:srgbClr val="B74492"/>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ouncil_2020" id="{ACF5379F-5862-47AE-A443-4F862642E85B}" vid="{2995192D-550C-4411-BE3C-AE0C4C2F9C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62abe85533500d2ecfa3fee6c2e023a9">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595f04f21b4bf02f84347cf834fa2071"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6be0e3-fb59-44d6-9a08-5c3bad261b2e">
      <Terms xmlns="http://schemas.microsoft.com/office/infopath/2007/PartnerControls"/>
    </lcf76f155ced4ddcb4097134ff3c332f>
    <TaxCatchAll xmlns="21e08795-e594-43a2-9ea7-16e3644ae68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C5EEA2-BDB9-4777-893D-FE6FC1964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A81C4E-CBBE-41BA-8D74-0E5EF8CE6C08}">
  <ds:schemaRefs>
    <ds:schemaRef ds:uri="http://schemas.openxmlformats.org/officeDocument/2006/bibliography"/>
  </ds:schemaRefs>
</ds:datastoreItem>
</file>

<file path=customXml/itemProps3.xml><?xml version="1.0" encoding="utf-8"?>
<ds:datastoreItem xmlns:ds="http://schemas.openxmlformats.org/officeDocument/2006/customXml" ds:itemID="{2227C40E-46B8-468A-AFBB-229B8CD4D0D2}">
  <ds:schemaRefs>
    <ds:schemaRef ds:uri="http://schemas.microsoft.com/office/2006/metadata/properties"/>
    <ds:schemaRef ds:uri="http://schemas.microsoft.com/office/infopath/2007/PartnerControls"/>
    <ds:schemaRef ds:uri="216be0e3-fb59-44d6-9a08-5c3bad261b2e"/>
    <ds:schemaRef ds:uri="21e08795-e594-43a2-9ea7-16e3644ae68e"/>
  </ds:schemaRefs>
</ds:datastoreItem>
</file>

<file path=customXml/itemProps4.xml><?xml version="1.0" encoding="utf-8"?>
<ds:datastoreItem xmlns:ds="http://schemas.openxmlformats.org/officeDocument/2006/customXml" ds:itemID="{3A6B4C5C-2170-488A-98DF-B14D5D23F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SALocalPlanNovember25</Template>
  <TotalTime>1</TotalTime>
  <Pages>70</Pages>
  <Words>19768</Words>
  <Characters>112683</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132187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Mack, Janna</dc:creator>
  <cp:keywords/>
  <dc:description/>
  <cp:lastModifiedBy>Mack, Janna</cp:lastModifiedBy>
  <cp:revision>1</cp:revision>
  <dcterms:created xsi:type="dcterms:W3CDTF">2025-11-27T16:44:00Z</dcterms:created>
  <dcterms:modified xsi:type="dcterms:W3CDTF">2025-11-27T16:45:00Z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31000</vt:r8>
  </property>
  <property fmtid="{D5CDD505-2E9C-101B-9397-08002B2CF9AE}" pid="4" name="MediaServiceImageTags">
    <vt:lpwstr/>
  </property>
</Properties>
</file>