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bottomFromText="284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single" w:sz="24" w:space="0" w:color="00A74A" w:themeColor="accent3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9"/>
        <w:gridCol w:w="3797"/>
      </w:tblGrid>
      <w:tr w:rsidR="00FB23DF" w:rsidRPr="008952DF" w14:paraId="54CFA59B" w14:textId="77777777" w:rsidTr="00FB23DF">
        <w:trPr>
          <w:trHeight w:val="711"/>
        </w:trPr>
        <w:tc>
          <w:tcPr>
            <w:tcW w:w="6669" w:type="dxa"/>
            <w:shd w:val="clear" w:color="auto" w:fill="auto"/>
          </w:tcPr>
          <w:p w14:paraId="54CFA599" w14:textId="77777777" w:rsidR="00FB23DF" w:rsidRPr="008952DF" w:rsidRDefault="00FB23DF" w:rsidP="00A27B38"/>
        </w:tc>
        <w:tc>
          <w:tcPr>
            <w:tcW w:w="3797" w:type="dxa"/>
            <w:shd w:val="clear" w:color="auto" w:fill="auto"/>
          </w:tcPr>
          <w:p w14:paraId="54CFA59A" w14:textId="77777777" w:rsidR="00FB23DF" w:rsidRPr="008952DF" w:rsidRDefault="00FB23DF" w:rsidP="00A27B38">
            <w:pPr>
              <w:jc w:val="right"/>
            </w:pPr>
            <w:r w:rsidRPr="008952DF">
              <w:rPr>
                <w:noProof/>
                <w:lang w:eastAsia="en-GB"/>
              </w:rPr>
              <w:drawing>
                <wp:inline distT="0" distB="0" distL="0" distR="0" wp14:anchorId="54CFA5DD" wp14:editId="54CFA5DE">
                  <wp:extent cx="2159991" cy="277894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torbay_1line_black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991" cy="27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3DF" w:rsidRPr="008952DF" w14:paraId="54CFA59D" w14:textId="77777777" w:rsidTr="00FB23DF">
        <w:trPr>
          <w:trHeight w:val="711"/>
        </w:trPr>
        <w:tc>
          <w:tcPr>
            <w:tcW w:w="10466" w:type="dxa"/>
            <w:gridSpan w:val="2"/>
            <w:tcBorders>
              <w:bottom w:val="nil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54CFA59C" w14:textId="16F90DB6" w:rsidR="00FB23DF" w:rsidRPr="008952DF" w:rsidRDefault="0086262D" w:rsidP="00A27B38">
            <w:pPr>
              <w:pStyle w:val="Title"/>
              <w:rPr>
                <w:noProof/>
                <w:lang w:eastAsia="en-GB"/>
              </w:rPr>
            </w:pPr>
            <w:r>
              <w:t>Cabinet’s Response to Consultation</w:t>
            </w:r>
          </w:p>
        </w:tc>
      </w:tr>
      <w:tr w:rsidR="00FB23DF" w:rsidRPr="008952DF" w14:paraId="54CFA59F" w14:textId="77777777" w:rsidTr="00A27B38">
        <w:trPr>
          <w:trHeight w:val="711"/>
        </w:trPr>
        <w:tc>
          <w:tcPr>
            <w:tcW w:w="10466" w:type="dxa"/>
            <w:gridSpan w:val="2"/>
            <w:tcBorders>
              <w:bottom w:val="nil"/>
            </w:tcBorders>
            <w:shd w:val="clear" w:color="auto" w:fill="auto"/>
            <w:tcMar>
              <w:left w:w="170" w:type="dxa"/>
              <w:right w:w="170" w:type="dxa"/>
            </w:tcMar>
          </w:tcPr>
          <w:p w14:paraId="54CFA59E" w14:textId="5A257DCF" w:rsidR="00FB23DF" w:rsidRPr="008952DF" w:rsidRDefault="0086262D" w:rsidP="006A6520">
            <w:pPr>
              <w:pStyle w:val="Subtitle"/>
              <w:rPr>
                <w:noProof/>
                <w:lang w:eastAsia="en-GB"/>
              </w:rPr>
            </w:pPr>
            <w:r>
              <w:t>February 202</w:t>
            </w:r>
            <w:r w:rsidR="00F52C4C">
              <w:t>3</w:t>
            </w:r>
          </w:p>
        </w:tc>
      </w:tr>
    </w:tbl>
    <w:p w14:paraId="54CFA5A0" w14:textId="122A04C2" w:rsidR="00B7722C" w:rsidRPr="00B7722C" w:rsidRDefault="00B7722C" w:rsidP="00B7722C"/>
    <w:p w14:paraId="54CFA5A1" w14:textId="710537ED" w:rsidR="003E72CE" w:rsidRPr="00140ADD" w:rsidRDefault="00145B97" w:rsidP="00140ADD">
      <w:pPr>
        <w:spacing w:line="264" w:lineRule="auto"/>
        <w:ind w:left="3240"/>
        <w:rPr>
          <w:rFonts w:asciiTheme="majorHAnsi" w:eastAsiaTheme="majorEastAsia" w:hAnsiTheme="majorHAnsi" w:cstheme="majorBidi"/>
          <w:color w:val="006AF8" w:themeColor="text1" w:themeTint="A6"/>
          <w:sz w:val="40"/>
          <w:szCs w:val="36"/>
        </w:rPr>
      </w:pPr>
      <w:r w:rsidRPr="00145B9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9279B18" wp14:editId="0B65F723">
                <wp:simplePos x="0" y="0"/>
                <wp:positionH relativeFrom="margin">
                  <wp:posOffset>0</wp:posOffset>
                </wp:positionH>
                <wp:positionV relativeFrom="paragraph">
                  <wp:posOffset>483870</wp:posOffset>
                </wp:positionV>
                <wp:extent cx="4286250" cy="62420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624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5E9CA" w14:textId="4CA37459" w:rsidR="00145B97" w:rsidRPr="00145B97" w:rsidRDefault="00145B97" w:rsidP="00145B9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52"/>
                              </w:rPr>
                            </w:pPr>
                            <w:r w:rsidRPr="00145B97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52"/>
                              </w:rPr>
                              <w:t>Budget 202</w:t>
                            </w:r>
                            <w:r w:rsidR="00F52C4C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52"/>
                              </w:rPr>
                              <w:t>3</w:t>
                            </w:r>
                            <w:r w:rsidRPr="00145B97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52"/>
                              </w:rPr>
                              <w:t>-202</w:t>
                            </w:r>
                            <w:r w:rsidR="00F52C4C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279B1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38.1pt;width:337.5pt;height:49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" filled="f" stroked="f">
                <v:textbox style="mso-fit-shape-to-text:t">
                  <w:txbxContent>
                    <w:p w14:paraId="7F75E9CA" w14:textId="4CA37459" w:rsidR="00145B97" w:rsidRPr="00145B97" w:rsidRDefault="00145B97" w:rsidP="00145B97">
                      <w:pPr>
                        <w:rPr>
                          <w:b/>
                          <w:bCs/>
                          <w:color w:val="FFFFFF" w:themeColor="background1"/>
                          <w:sz w:val="72"/>
                          <w:szCs w:val="52"/>
                        </w:rPr>
                      </w:pPr>
                      <w:r w:rsidRPr="00145B97">
                        <w:rPr>
                          <w:b/>
                          <w:bCs/>
                          <w:color w:val="FFFFFF" w:themeColor="background1"/>
                          <w:sz w:val="72"/>
                          <w:szCs w:val="52"/>
                        </w:rPr>
                        <w:t>Budget 202</w:t>
                      </w:r>
                      <w:r w:rsidR="00F52C4C">
                        <w:rPr>
                          <w:b/>
                          <w:bCs/>
                          <w:color w:val="FFFFFF" w:themeColor="background1"/>
                          <w:sz w:val="72"/>
                          <w:szCs w:val="52"/>
                        </w:rPr>
                        <w:t>3</w:t>
                      </w:r>
                      <w:r w:rsidRPr="00145B97">
                        <w:rPr>
                          <w:b/>
                          <w:bCs/>
                          <w:color w:val="FFFFFF" w:themeColor="background1"/>
                          <w:sz w:val="72"/>
                          <w:szCs w:val="52"/>
                        </w:rPr>
                        <w:t>-202</w:t>
                      </w:r>
                      <w:r w:rsidR="00F52C4C">
                        <w:rPr>
                          <w:b/>
                          <w:bCs/>
                          <w:color w:val="FFFFFF" w:themeColor="background1"/>
                          <w:sz w:val="72"/>
                          <w:szCs w:val="5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2CE">
        <w:br w:type="page"/>
      </w:r>
    </w:p>
    <w:bookmarkStart w:id="0" w:name="_Toc33020989" w:displacedByCustomXml="next"/>
    <w:sdt>
      <w:sdtPr>
        <w:rPr>
          <w:rFonts w:asciiTheme="minorHAnsi" w:eastAsiaTheme="minorEastAsia" w:hAnsiTheme="minorHAnsi" w:cstheme="minorBidi"/>
          <w:color w:val="auto"/>
          <w:sz w:val="24"/>
          <w:szCs w:val="21"/>
        </w:rPr>
        <w:id w:val="-192086126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4CFA5A2" w14:textId="77777777" w:rsidR="00B42D56" w:rsidRDefault="00B42D56">
          <w:pPr>
            <w:pStyle w:val="TOCHeading"/>
          </w:pPr>
          <w:r>
            <w:t>Contents</w:t>
          </w:r>
        </w:p>
        <w:p w14:paraId="51FC5B7A" w14:textId="31BFF206" w:rsidR="00F72583" w:rsidRDefault="00B42D56">
          <w:pPr>
            <w:pStyle w:val="TOC1"/>
            <w:rPr>
              <w:b w:val="0"/>
              <w:sz w:val="22"/>
              <w:szCs w:val="22"/>
              <w:lang w:eastAsia="en-GB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127951258" w:history="1">
            <w:r w:rsidR="00F72583" w:rsidRPr="007C6048">
              <w:rPr>
                <w:rStyle w:val="Hyperlink"/>
              </w:rPr>
              <w:t>Statement from the Leader and Deputy Leader of the Council</w:t>
            </w:r>
            <w:r w:rsidR="00F72583">
              <w:rPr>
                <w:webHidden/>
              </w:rPr>
              <w:tab/>
            </w:r>
            <w:r w:rsidR="00F72583">
              <w:rPr>
                <w:webHidden/>
              </w:rPr>
              <w:fldChar w:fldCharType="begin"/>
            </w:r>
            <w:r w:rsidR="00F72583">
              <w:rPr>
                <w:webHidden/>
              </w:rPr>
              <w:instrText xml:space="preserve"> PAGEREF _Toc127951258 \h </w:instrText>
            </w:r>
            <w:r w:rsidR="00F72583">
              <w:rPr>
                <w:webHidden/>
              </w:rPr>
            </w:r>
            <w:r w:rsidR="00F72583">
              <w:rPr>
                <w:webHidden/>
              </w:rPr>
              <w:fldChar w:fldCharType="separate"/>
            </w:r>
            <w:r w:rsidR="00F72583">
              <w:rPr>
                <w:webHidden/>
              </w:rPr>
              <w:t>3</w:t>
            </w:r>
            <w:r w:rsidR="00F72583">
              <w:rPr>
                <w:webHidden/>
              </w:rPr>
              <w:fldChar w:fldCharType="end"/>
            </w:r>
          </w:hyperlink>
        </w:p>
        <w:p w14:paraId="594E4A42" w14:textId="4089C1B5" w:rsidR="00F72583" w:rsidRDefault="00000000">
          <w:pPr>
            <w:pStyle w:val="TOC1"/>
            <w:rPr>
              <w:b w:val="0"/>
              <w:sz w:val="22"/>
              <w:szCs w:val="22"/>
              <w:lang w:eastAsia="en-GB"/>
            </w:rPr>
          </w:pPr>
          <w:hyperlink w:anchor="_Toc127951259" w:history="1">
            <w:r w:rsidR="00F72583" w:rsidRPr="007C6048">
              <w:rPr>
                <w:rStyle w:val="Hyperlink"/>
              </w:rPr>
              <w:t>Introduction</w:t>
            </w:r>
            <w:r w:rsidR="00F72583">
              <w:rPr>
                <w:webHidden/>
              </w:rPr>
              <w:tab/>
            </w:r>
            <w:r w:rsidR="00F72583">
              <w:rPr>
                <w:webHidden/>
              </w:rPr>
              <w:fldChar w:fldCharType="begin"/>
            </w:r>
            <w:r w:rsidR="00F72583">
              <w:rPr>
                <w:webHidden/>
              </w:rPr>
              <w:instrText xml:space="preserve"> PAGEREF _Toc127951259 \h </w:instrText>
            </w:r>
            <w:r w:rsidR="00F72583">
              <w:rPr>
                <w:webHidden/>
              </w:rPr>
            </w:r>
            <w:r w:rsidR="00F72583">
              <w:rPr>
                <w:webHidden/>
              </w:rPr>
              <w:fldChar w:fldCharType="separate"/>
            </w:r>
            <w:r w:rsidR="00F72583">
              <w:rPr>
                <w:webHidden/>
              </w:rPr>
              <w:t>6</w:t>
            </w:r>
            <w:r w:rsidR="00F72583">
              <w:rPr>
                <w:webHidden/>
              </w:rPr>
              <w:fldChar w:fldCharType="end"/>
            </w:r>
          </w:hyperlink>
        </w:p>
        <w:p w14:paraId="2B83B83E" w14:textId="1B11A2EF" w:rsidR="00F72583" w:rsidRDefault="00000000">
          <w:pPr>
            <w:pStyle w:val="TOC1"/>
            <w:rPr>
              <w:b w:val="0"/>
              <w:sz w:val="22"/>
              <w:szCs w:val="22"/>
              <w:lang w:eastAsia="en-GB"/>
            </w:rPr>
          </w:pPr>
          <w:hyperlink w:anchor="_Toc127951260" w:history="1">
            <w:r w:rsidR="00F72583" w:rsidRPr="007C6048">
              <w:rPr>
                <w:rStyle w:val="Hyperlink"/>
              </w:rPr>
              <w:t>Revenue Budget 2023/2024</w:t>
            </w:r>
            <w:r w:rsidR="00F72583">
              <w:rPr>
                <w:webHidden/>
              </w:rPr>
              <w:tab/>
            </w:r>
            <w:r w:rsidR="00F72583">
              <w:rPr>
                <w:webHidden/>
              </w:rPr>
              <w:fldChar w:fldCharType="begin"/>
            </w:r>
            <w:r w:rsidR="00F72583">
              <w:rPr>
                <w:webHidden/>
              </w:rPr>
              <w:instrText xml:space="preserve"> PAGEREF _Toc127951260 \h </w:instrText>
            </w:r>
            <w:r w:rsidR="00F72583">
              <w:rPr>
                <w:webHidden/>
              </w:rPr>
            </w:r>
            <w:r w:rsidR="00F72583">
              <w:rPr>
                <w:webHidden/>
              </w:rPr>
              <w:fldChar w:fldCharType="separate"/>
            </w:r>
            <w:r w:rsidR="00F72583">
              <w:rPr>
                <w:webHidden/>
              </w:rPr>
              <w:t>7</w:t>
            </w:r>
            <w:r w:rsidR="00F72583">
              <w:rPr>
                <w:webHidden/>
              </w:rPr>
              <w:fldChar w:fldCharType="end"/>
            </w:r>
          </w:hyperlink>
        </w:p>
        <w:p w14:paraId="773FFC6F" w14:textId="5AFFE5C4" w:rsidR="00F72583" w:rsidRDefault="00000000">
          <w:pPr>
            <w:pStyle w:val="TOC2"/>
            <w:tabs>
              <w:tab w:val="right" w:leader="dot" w:pos="10456"/>
            </w:tabs>
            <w:rPr>
              <w:noProof/>
              <w:sz w:val="22"/>
              <w:szCs w:val="22"/>
              <w:lang w:eastAsia="en-GB"/>
            </w:rPr>
          </w:pPr>
          <w:hyperlink w:anchor="_Toc127951261" w:history="1">
            <w:r w:rsidR="00F72583" w:rsidRPr="007C6048">
              <w:rPr>
                <w:rStyle w:val="Hyperlink"/>
                <w:noProof/>
              </w:rPr>
              <w:t>Proposed Changes to the 2023/2024 Revenue Budget</w:t>
            </w:r>
            <w:r w:rsidR="00F72583">
              <w:rPr>
                <w:noProof/>
                <w:webHidden/>
              </w:rPr>
              <w:tab/>
            </w:r>
            <w:r w:rsidR="00F72583">
              <w:rPr>
                <w:noProof/>
                <w:webHidden/>
              </w:rPr>
              <w:fldChar w:fldCharType="begin"/>
            </w:r>
            <w:r w:rsidR="00F72583">
              <w:rPr>
                <w:noProof/>
                <w:webHidden/>
              </w:rPr>
              <w:instrText xml:space="preserve"> PAGEREF _Toc127951261 \h </w:instrText>
            </w:r>
            <w:r w:rsidR="00F72583">
              <w:rPr>
                <w:noProof/>
                <w:webHidden/>
              </w:rPr>
            </w:r>
            <w:r w:rsidR="00F72583">
              <w:rPr>
                <w:noProof/>
                <w:webHidden/>
              </w:rPr>
              <w:fldChar w:fldCharType="separate"/>
            </w:r>
            <w:r w:rsidR="00F72583">
              <w:rPr>
                <w:noProof/>
                <w:webHidden/>
              </w:rPr>
              <w:t>7</w:t>
            </w:r>
            <w:r w:rsidR="00F72583">
              <w:rPr>
                <w:noProof/>
                <w:webHidden/>
              </w:rPr>
              <w:fldChar w:fldCharType="end"/>
            </w:r>
          </w:hyperlink>
        </w:p>
        <w:p w14:paraId="6CC42D53" w14:textId="3250C495" w:rsidR="00F72583" w:rsidRDefault="00000000">
          <w:pPr>
            <w:pStyle w:val="TOC2"/>
            <w:tabs>
              <w:tab w:val="right" w:leader="dot" w:pos="10456"/>
            </w:tabs>
            <w:rPr>
              <w:noProof/>
              <w:sz w:val="22"/>
              <w:szCs w:val="22"/>
              <w:lang w:eastAsia="en-GB"/>
            </w:rPr>
          </w:pPr>
          <w:hyperlink w:anchor="_Toc127951262" w:history="1">
            <w:r w:rsidR="00F72583" w:rsidRPr="007C6048">
              <w:rPr>
                <w:rStyle w:val="Hyperlink"/>
                <w:noProof/>
              </w:rPr>
              <w:t>Revenue Budget 2023/2024</w:t>
            </w:r>
            <w:r w:rsidR="00F72583">
              <w:rPr>
                <w:noProof/>
                <w:webHidden/>
              </w:rPr>
              <w:tab/>
            </w:r>
            <w:r w:rsidR="00F72583">
              <w:rPr>
                <w:noProof/>
                <w:webHidden/>
              </w:rPr>
              <w:fldChar w:fldCharType="begin"/>
            </w:r>
            <w:r w:rsidR="00F72583">
              <w:rPr>
                <w:noProof/>
                <w:webHidden/>
              </w:rPr>
              <w:instrText xml:space="preserve"> PAGEREF _Toc127951262 \h </w:instrText>
            </w:r>
            <w:r w:rsidR="00F72583">
              <w:rPr>
                <w:noProof/>
                <w:webHidden/>
              </w:rPr>
            </w:r>
            <w:r w:rsidR="00F72583">
              <w:rPr>
                <w:noProof/>
                <w:webHidden/>
              </w:rPr>
              <w:fldChar w:fldCharType="separate"/>
            </w:r>
            <w:r w:rsidR="00F72583">
              <w:rPr>
                <w:noProof/>
                <w:webHidden/>
              </w:rPr>
              <w:t>8</w:t>
            </w:r>
            <w:r w:rsidR="00F72583">
              <w:rPr>
                <w:noProof/>
                <w:webHidden/>
              </w:rPr>
              <w:fldChar w:fldCharType="end"/>
            </w:r>
          </w:hyperlink>
        </w:p>
        <w:p w14:paraId="3D0BC4DC" w14:textId="2BA77BBD" w:rsidR="00F72583" w:rsidRDefault="00000000">
          <w:pPr>
            <w:pStyle w:val="TOC1"/>
            <w:rPr>
              <w:b w:val="0"/>
              <w:sz w:val="22"/>
              <w:szCs w:val="22"/>
              <w:lang w:eastAsia="en-GB"/>
            </w:rPr>
          </w:pPr>
          <w:hyperlink w:anchor="_Toc127951263" w:history="1">
            <w:r w:rsidR="00F72583" w:rsidRPr="007C6048">
              <w:rPr>
                <w:rStyle w:val="Hyperlink"/>
              </w:rPr>
              <w:t>Capital Plan 2023/2024</w:t>
            </w:r>
            <w:r w:rsidR="00F72583">
              <w:rPr>
                <w:webHidden/>
              </w:rPr>
              <w:tab/>
            </w:r>
            <w:r w:rsidR="00F72583">
              <w:rPr>
                <w:webHidden/>
              </w:rPr>
              <w:fldChar w:fldCharType="begin"/>
            </w:r>
            <w:r w:rsidR="00F72583">
              <w:rPr>
                <w:webHidden/>
              </w:rPr>
              <w:instrText xml:space="preserve"> PAGEREF _Toc127951263 \h </w:instrText>
            </w:r>
            <w:r w:rsidR="00F72583">
              <w:rPr>
                <w:webHidden/>
              </w:rPr>
            </w:r>
            <w:r w:rsidR="00F72583">
              <w:rPr>
                <w:webHidden/>
              </w:rPr>
              <w:fldChar w:fldCharType="separate"/>
            </w:r>
            <w:r w:rsidR="00F72583">
              <w:rPr>
                <w:webHidden/>
              </w:rPr>
              <w:t>11</w:t>
            </w:r>
            <w:r w:rsidR="00F72583">
              <w:rPr>
                <w:webHidden/>
              </w:rPr>
              <w:fldChar w:fldCharType="end"/>
            </w:r>
          </w:hyperlink>
        </w:p>
        <w:p w14:paraId="54CFA5AB" w14:textId="078C0192" w:rsidR="00B42D56" w:rsidRDefault="00B42D56">
          <w:r>
            <w:rPr>
              <w:b/>
              <w:bCs/>
              <w:noProof/>
            </w:rPr>
            <w:fldChar w:fldCharType="end"/>
          </w:r>
        </w:p>
      </w:sdtContent>
    </w:sdt>
    <w:bookmarkEnd w:id="0"/>
    <w:p w14:paraId="7430B1E7" w14:textId="77777777" w:rsidR="007B7706" w:rsidRDefault="007B7706" w:rsidP="007B7706">
      <w:r w:rsidRPr="007B770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309513" wp14:editId="38D3EB1F">
                <wp:simplePos x="0" y="0"/>
                <wp:positionH relativeFrom="margin">
                  <wp:align>center</wp:align>
                </wp:positionH>
                <wp:positionV relativeFrom="page">
                  <wp:posOffset>8023377</wp:posOffset>
                </wp:positionV>
                <wp:extent cx="6626860" cy="982345"/>
                <wp:effectExtent l="0" t="0" r="21590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1D083" w14:textId="579B4D11" w:rsidR="007B7706" w:rsidRDefault="007B7706" w:rsidP="007B7706">
                            <w:r w:rsidRPr="00C8035B">
                              <w:rPr>
                                <w:sz w:val="32"/>
                              </w:rPr>
                              <w:t>This document can be made available in other languages, on tape, in Braille, large print and in other formats.  For more information</w:t>
                            </w:r>
                            <w:r w:rsidR="008C5568" w:rsidRPr="00C8035B">
                              <w:rPr>
                                <w:sz w:val="32"/>
                              </w:rPr>
                              <w:t>,</w:t>
                            </w:r>
                            <w:r w:rsidRPr="00C8035B">
                              <w:rPr>
                                <w:sz w:val="32"/>
                              </w:rPr>
                              <w:t xml:space="preserve"> please contact 01803 </w:t>
                            </w:r>
                            <w:r>
                              <w:rPr>
                                <w:sz w:val="32"/>
                              </w:rPr>
                              <w:t>207014.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09513" id="Text Box 3" o:spid="_x0000_s1027" type="#_x0000_t202" style="position:absolute;margin-left:0;margin-top:631.75pt;width:521.8pt;height:77.3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">
                <v:textbox>
                  <w:txbxContent>
                    <w:p w14:paraId="4E31D083" w14:textId="579B4D11" w:rsidR="007B7706" w:rsidRDefault="007B7706" w:rsidP="007B7706">
                      <w:r w:rsidRPr="00C8035B">
                        <w:rPr>
                          <w:sz w:val="32"/>
                        </w:rPr>
                        <w:t>This document can be made available in other languages, on tape, in Braille, large print and in other formats.  For more information</w:t>
                      </w:r>
                      <w:r w:rsidR="008C5568" w:rsidRPr="00C8035B">
                        <w:rPr>
                          <w:sz w:val="32"/>
                        </w:rPr>
                        <w:t>,</w:t>
                      </w:r>
                      <w:r w:rsidRPr="00C8035B">
                        <w:rPr>
                          <w:sz w:val="32"/>
                        </w:rPr>
                        <w:t xml:space="preserve"> please contact 01803 </w:t>
                      </w:r>
                      <w:r>
                        <w:rPr>
                          <w:sz w:val="32"/>
                        </w:rPr>
                        <w:t>207014.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br w:type="page"/>
      </w:r>
    </w:p>
    <w:p w14:paraId="0B25F17E" w14:textId="77777777" w:rsidR="007B7706" w:rsidRPr="004C1C65" w:rsidRDefault="007B7706" w:rsidP="007B7706">
      <w:pPr>
        <w:pStyle w:val="Heading1"/>
      </w:pPr>
      <w:bookmarkStart w:id="1" w:name="_Toc21087823"/>
      <w:bookmarkStart w:id="2" w:name="_Toc21608723"/>
      <w:bookmarkStart w:id="3" w:name="_Toc81995888"/>
      <w:bookmarkStart w:id="4" w:name="_Toc127951258"/>
      <w:r w:rsidRPr="004C1C65">
        <w:lastRenderedPageBreak/>
        <w:t>Statement from the Leader and Deputy Leader of the Council</w:t>
      </w:r>
      <w:bookmarkEnd w:id="1"/>
      <w:bookmarkEnd w:id="2"/>
      <w:bookmarkEnd w:id="3"/>
      <w:bookmarkEnd w:id="4"/>
    </w:p>
    <w:p w14:paraId="13143443" w14:textId="6B26C7F6" w:rsidR="006C4A2F" w:rsidRPr="000F1381" w:rsidRDefault="006C4A2F" w:rsidP="00511661">
      <w:pPr>
        <w:spacing w:after="240"/>
        <w:rPr>
          <w:rFonts w:eastAsia="Times New Roman"/>
        </w:rPr>
      </w:pPr>
      <w:r w:rsidRPr="000F1381">
        <w:rPr>
          <w:rFonts w:eastAsia="Times New Roman"/>
        </w:rPr>
        <w:t xml:space="preserve">In accordance with the Council’s Constitution, the Cabinet is proposing </w:t>
      </w:r>
      <w:r w:rsidR="00026C02" w:rsidRPr="000F1381">
        <w:t>a balanced Revenue Budget of £</w:t>
      </w:r>
      <w:r w:rsidR="00026C02">
        <w:t>1</w:t>
      </w:r>
      <w:r w:rsidR="50A3F39C">
        <w:t>31</w:t>
      </w:r>
      <w:r w:rsidR="00026C02" w:rsidRPr="000F1381">
        <w:t xml:space="preserve"> million for 202</w:t>
      </w:r>
      <w:r w:rsidR="000F1381">
        <w:t>3/2024</w:t>
      </w:r>
      <w:r w:rsidR="00026C02" w:rsidRPr="000F1381">
        <w:t xml:space="preserve"> and a 202</w:t>
      </w:r>
      <w:r w:rsidR="000F1381">
        <w:t>3/2024</w:t>
      </w:r>
      <w:r w:rsidR="00026C02" w:rsidRPr="000F1381">
        <w:t xml:space="preserve"> Capital Plan of £</w:t>
      </w:r>
      <w:r w:rsidR="013042FD">
        <w:t>90</w:t>
      </w:r>
      <w:r w:rsidR="003B6FBC" w:rsidRPr="000F1381">
        <w:t xml:space="preserve"> </w:t>
      </w:r>
      <w:r w:rsidR="00026C02" w:rsidRPr="000F1381">
        <w:t>m</w:t>
      </w:r>
      <w:r w:rsidR="003B6FBC" w:rsidRPr="000F1381">
        <w:t>illion</w:t>
      </w:r>
      <w:r w:rsidR="00026C02" w:rsidRPr="000F1381">
        <w:t xml:space="preserve"> </w:t>
      </w:r>
      <w:r w:rsidRPr="000F1381">
        <w:rPr>
          <w:rFonts w:eastAsia="Times New Roman"/>
        </w:rPr>
        <w:t>for the Council’s consideration.</w:t>
      </w:r>
      <w:r w:rsidR="002E65C2" w:rsidRPr="000F1381">
        <w:rPr>
          <w:rFonts w:eastAsia="Times New Roman"/>
        </w:rPr>
        <w:t xml:space="preserve"> </w:t>
      </w:r>
    </w:p>
    <w:p w14:paraId="6C295913" w14:textId="653AB917" w:rsidR="00763155" w:rsidRDefault="00352195" w:rsidP="00763155">
      <w:r w:rsidRPr="00DC5220">
        <w:rPr>
          <w:rFonts w:eastAsia="Times New Roman"/>
        </w:rPr>
        <w:t xml:space="preserve">As we said when we launched the consultation, </w:t>
      </w:r>
      <w:r w:rsidR="00763155" w:rsidRPr="00DC5220">
        <w:t xml:space="preserve">at the front of our minds in proposing this budget </w:t>
      </w:r>
      <w:r w:rsidR="00763155">
        <w:t xml:space="preserve">is </w:t>
      </w:r>
      <w:r w:rsidR="00763155" w:rsidRPr="00E82EC9">
        <w:t>the need for the Council to serve its communities and to make Torbay a good place to live, learn, work and enjoy life.  We want to deliver cost-effective services which wi</w:t>
      </w:r>
      <w:r w:rsidR="00763155">
        <w:t>ll</w:t>
      </w:r>
      <w:r w:rsidR="00763155" w:rsidRPr="00E82EC9">
        <w:t xml:space="preserve"> help Torbay and its residents to thrive.  </w:t>
      </w:r>
    </w:p>
    <w:p w14:paraId="40F52B9B" w14:textId="420D0008" w:rsidR="00BC2339" w:rsidRPr="001E384F" w:rsidRDefault="00BC2339" w:rsidP="00511661">
      <w:pPr>
        <w:spacing w:after="240"/>
        <w:rPr>
          <w:rFonts w:eastAsia="Times New Roman"/>
        </w:rPr>
      </w:pPr>
      <w:r w:rsidRPr="001E384F">
        <w:rPr>
          <w:rFonts w:eastAsia="Times New Roman"/>
        </w:rPr>
        <w:t xml:space="preserve">We’d like to thank </w:t>
      </w:r>
      <w:r w:rsidR="00B92D60" w:rsidRPr="001E384F">
        <w:rPr>
          <w:rFonts w:eastAsia="Times New Roman"/>
        </w:rPr>
        <w:t xml:space="preserve">all of </w:t>
      </w:r>
      <w:r w:rsidR="006D4D91" w:rsidRPr="001E384F">
        <w:rPr>
          <w:rFonts w:eastAsia="Times New Roman"/>
        </w:rPr>
        <w:t xml:space="preserve">those who provided feedback to the draft proposals either through completing our questionnaire, participating in our Ask Us Facebook Live session </w:t>
      </w:r>
      <w:r w:rsidR="001853B5" w:rsidRPr="001E384F">
        <w:rPr>
          <w:rFonts w:eastAsia="Times New Roman"/>
        </w:rPr>
        <w:t xml:space="preserve">or by responding and commenting to our social media posts.  We’d also like to thank the Overview and Scrutiny Board for its </w:t>
      </w:r>
      <w:r w:rsidR="00DE6B50" w:rsidRPr="001E384F">
        <w:rPr>
          <w:rFonts w:eastAsia="Times New Roman"/>
        </w:rPr>
        <w:t>time in reviewing our proposals.</w:t>
      </w:r>
    </w:p>
    <w:p w14:paraId="07C717D7" w14:textId="7512D494" w:rsidR="00DE6B50" w:rsidRDefault="00DE6B50" w:rsidP="00511661">
      <w:pPr>
        <w:spacing w:after="240"/>
        <w:rPr>
          <w:rFonts w:eastAsia="Times New Roman"/>
        </w:rPr>
      </w:pPr>
      <w:r w:rsidRPr="00C43854">
        <w:rPr>
          <w:rFonts w:eastAsia="Times New Roman"/>
        </w:rPr>
        <w:t>It was pleasing to see that</w:t>
      </w:r>
      <w:r w:rsidR="001E384F" w:rsidRPr="00C43854">
        <w:rPr>
          <w:rFonts w:eastAsia="Times New Roman"/>
        </w:rPr>
        <w:t xml:space="preserve"> the community supported the </w:t>
      </w:r>
      <w:r w:rsidR="002B0791" w:rsidRPr="00C43854">
        <w:rPr>
          <w:rFonts w:eastAsia="Times New Roman"/>
        </w:rPr>
        <w:t xml:space="preserve">majority of </w:t>
      </w:r>
      <w:r w:rsidR="00C43854" w:rsidRPr="00C43854">
        <w:rPr>
          <w:rFonts w:eastAsia="Times New Roman"/>
        </w:rPr>
        <w:t>the proposals put forward</w:t>
      </w:r>
      <w:r w:rsidR="002F63C2" w:rsidRPr="00C43854">
        <w:rPr>
          <w:rFonts w:eastAsia="Times New Roman"/>
        </w:rPr>
        <w:t>,</w:t>
      </w:r>
      <w:r w:rsidR="002B0791" w:rsidRPr="00C43854">
        <w:rPr>
          <w:rFonts w:eastAsia="Times New Roman"/>
        </w:rPr>
        <w:t xml:space="preserve"> but we have considered </w:t>
      </w:r>
      <w:r w:rsidR="00CD6CD3" w:rsidRPr="00C43854">
        <w:rPr>
          <w:rFonts w:eastAsia="Times New Roman"/>
        </w:rPr>
        <w:t>all</w:t>
      </w:r>
      <w:r w:rsidR="002B0791" w:rsidRPr="00C43854">
        <w:rPr>
          <w:rFonts w:eastAsia="Times New Roman"/>
        </w:rPr>
        <w:t xml:space="preserve"> the responses and suggestions and have made </w:t>
      </w:r>
      <w:r w:rsidR="00913CDB">
        <w:rPr>
          <w:rFonts w:eastAsia="Times New Roman"/>
        </w:rPr>
        <w:t xml:space="preserve">some </w:t>
      </w:r>
      <w:r w:rsidR="002B0791" w:rsidRPr="00C43854">
        <w:rPr>
          <w:rFonts w:eastAsia="Times New Roman"/>
        </w:rPr>
        <w:t>changes to our proposals in response to th</w:t>
      </w:r>
      <w:r w:rsidR="002F63C2" w:rsidRPr="00C43854">
        <w:rPr>
          <w:rFonts w:eastAsia="Times New Roman"/>
        </w:rPr>
        <w:t>ese.</w:t>
      </w:r>
    </w:p>
    <w:p w14:paraId="6E721F4F" w14:textId="64EE24E0" w:rsidR="00913CDB" w:rsidRDefault="00100B04" w:rsidP="00511661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Our budget proposals are </w:t>
      </w:r>
      <w:r w:rsidR="003458FC">
        <w:rPr>
          <w:rFonts w:eastAsia="Times New Roman"/>
        </w:rPr>
        <w:t>more wide</w:t>
      </w:r>
      <w:r w:rsidR="00012265">
        <w:rPr>
          <w:rFonts w:eastAsia="Times New Roman"/>
        </w:rPr>
        <w:t>-</w:t>
      </w:r>
      <w:r w:rsidR="003458FC">
        <w:rPr>
          <w:rFonts w:eastAsia="Times New Roman"/>
        </w:rPr>
        <w:t>ranging tha</w:t>
      </w:r>
      <w:r w:rsidR="00CE6DDB">
        <w:rPr>
          <w:rFonts w:eastAsia="Times New Roman"/>
        </w:rPr>
        <w:t xml:space="preserve">n the sixteen </w:t>
      </w:r>
      <w:r w:rsidR="00012265">
        <w:rPr>
          <w:rFonts w:eastAsia="Times New Roman"/>
        </w:rPr>
        <w:t xml:space="preserve">proposals for efficiencies, income generation and service change.  </w:t>
      </w:r>
      <w:r w:rsidR="00181EEB">
        <w:rPr>
          <w:rFonts w:eastAsia="Times New Roman"/>
        </w:rPr>
        <w:t xml:space="preserve">Our revenue budget of </w:t>
      </w:r>
      <w:r w:rsidR="00181EEB" w:rsidRPr="0057088B">
        <w:rPr>
          <w:rFonts w:eastAsia="Times New Roman"/>
        </w:rPr>
        <w:t>£</w:t>
      </w:r>
      <w:r w:rsidR="0057088B" w:rsidRPr="0057088B">
        <w:rPr>
          <w:rFonts w:eastAsia="Times New Roman"/>
        </w:rPr>
        <w:t>131</w:t>
      </w:r>
      <w:r w:rsidR="00181EEB" w:rsidRPr="0057088B">
        <w:rPr>
          <w:rFonts w:eastAsia="Times New Roman"/>
        </w:rPr>
        <w:t xml:space="preserve"> million</w:t>
      </w:r>
      <w:r w:rsidR="00181EEB">
        <w:rPr>
          <w:rFonts w:eastAsia="Times New Roman"/>
        </w:rPr>
        <w:t xml:space="preserve"> and our capital plan of </w:t>
      </w:r>
      <w:r w:rsidR="00181EEB" w:rsidRPr="0057088B">
        <w:rPr>
          <w:rFonts w:eastAsia="Times New Roman"/>
        </w:rPr>
        <w:t>£</w:t>
      </w:r>
      <w:r w:rsidR="0057088B" w:rsidRPr="0057088B">
        <w:rPr>
          <w:rFonts w:eastAsia="Times New Roman"/>
        </w:rPr>
        <w:t>90</w:t>
      </w:r>
      <w:r w:rsidR="00181EEB" w:rsidRPr="0057088B">
        <w:rPr>
          <w:rFonts w:eastAsia="Times New Roman"/>
        </w:rPr>
        <w:t xml:space="preserve"> million</w:t>
      </w:r>
      <w:r w:rsidR="00181EEB">
        <w:rPr>
          <w:rFonts w:eastAsia="Times New Roman"/>
        </w:rPr>
        <w:t xml:space="preserve"> for next year</w:t>
      </w:r>
      <w:r w:rsidR="008263C4">
        <w:rPr>
          <w:rFonts w:eastAsia="Times New Roman"/>
        </w:rPr>
        <w:t xml:space="preserve"> will all be used to deliver our ambition of a thriving Torbay.</w:t>
      </w:r>
    </w:p>
    <w:p w14:paraId="3202D1E8" w14:textId="3B48C410" w:rsidR="006E617C" w:rsidRDefault="004F3384" w:rsidP="00511661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The financial management of the organisation over recent years </w:t>
      </w:r>
      <w:r w:rsidR="00870BAA">
        <w:rPr>
          <w:rFonts w:eastAsia="Times New Roman"/>
        </w:rPr>
        <w:t xml:space="preserve">has meant that this budget contains no reductions in services.  Our investment into Children’s Services is paying dividends with recognition that </w:t>
      </w:r>
      <w:r w:rsidR="00006D57">
        <w:rPr>
          <w:rFonts w:eastAsia="Times New Roman"/>
        </w:rPr>
        <w:t>we are now achieving good outcomes for our children and young people.</w:t>
      </w:r>
      <w:r w:rsidR="00AD02DE">
        <w:rPr>
          <w:rFonts w:eastAsia="Times New Roman"/>
        </w:rPr>
        <w:t xml:space="preserve">  Our improvement journey continues, with a concentrated focus on services for children and young people with special educational needs and/or disabilities.</w:t>
      </w:r>
      <w:r w:rsidR="008B78A5">
        <w:rPr>
          <w:rFonts w:eastAsia="Times New Roman"/>
        </w:rPr>
        <w:t xml:space="preserve">  The creation of Family Hubs in each of our towns will</w:t>
      </w:r>
      <w:r w:rsidR="00EA4E0F">
        <w:rPr>
          <w:rFonts w:eastAsia="Times New Roman"/>
        </w:rPr>
        <w:t xml:space="preserve"> make it easier for families to access the services they need.</w:t>
      </w:r>
    </w:p>
    <w:p w14:paraId="281C9DB1" w14:textId="006C8460" w:rsidR="000D6845" w:rsidRDefault="00AD2D42" w:rsidP="00AD2D42">
      <w:pPr>
        <w:spacing w:after="240"/>
        <w:rPr>
          <w:rFonts w:eastAsia="Times New Roman"/>
        </w:rPr>
      </w:pPr>
      <w:bookmarkStart w:id="5" w:name="_Int_18CQFECD"/>
      <w:r w:rsidRPr="00AD2D42">
        <w:rPr>
          <w:rFonts w:eastAsia="Times New Roman"/>
        </w:rPr>
        <w:t xml:space="preserve">In </w:t>
      </w:r>
      <w:r w:rsidR="00F70723">
        <w:rPr>
          <w:rFonts w:eastAsia="Times New Roman"/>
        </w:rPr>
        <w:t>a</w:t>
      </w:r>
      <w:r w:rsidRPr="00AD2D42">
        <w:rPr>
          <w:rFonts w:eastAsia="Times New Roman"/>
        </w:rPr>
        <w:t xml:space="preserve">dult </w:t>
      </w:r>
      <w:r w:rsidR="00F70723">
        <w:rPr>
          <w:rFonts w:eastAsia="Times New Roman"/>
        </w:rPr>
        <w:t>s</w:t>
      </w:r>
      <w:r w:rsidRPr="00AD2D42">
        <w:rPr>
          <w:rFonts w:eastAsia="Times New Roman"/>
        </w:rPr>
        <w:t xml:space="preserve">ocial </w:t>
      </w:r>
      <w:r w:rsidR="00F70723">
        <w:rPr>
          <w:rFonts w:eastAsia="Times New Roman"/>
        </w:rPr>
        <w:t>c</w:t>
      </w:r>
      <w:r w:rsidRPr="00AD2D42">
        <w:rPr>
          <w:rFonts w:eastAsia="Times New Roman"/>
        </w:rPr>
        <w:t xml:space="preserve">are, we have a long and proud history of integration which continues with the </w:t>
      </w:r>
      <w:r w:rsidR="002C6D05">
        <w:rPr>
          <w:rFonts w:eastAsia="Times New Roman"/>
        </w:rPr>
        <w:t xml:space="preserve">Torbay and South Devon NHS Foundation </w:t>
      </w:r>
      <w:r w:rsidRPr="00AD2D42">
        <w:rPr>
          <w:rFonts w:eastAsia="Times New Roman"/>
        </w:rPr>
        <w:t>Trust delivering the service on our behalf.</w:t>
      </w:r>
      <w:bookmarkEnd w:id="5"/>
      <w:r w:rsidRPr="00AD2D42">
        <w:rPr>
          <w:rFonts w:eastAsia="Times New Roman"/>
        </w:rPr>
        <w:t xml:space="preserve"> </w:t>
      </w:r>
      <w:r w:rsidR="002C6D05">
        <w:rPr>
          <w:rFonts w:eastAsia="Times New Roman"/>
        </w:rPr>
        <w:t xml:space="preserve"> The </w:t>
      </w:r>
      <w:r w:rsidRPr="00AD2D42">
        <w:rPr>
          <w:rFonts w:eastAsia="Times New Roman"/>
        </w:rPr>
        <w:t>extension to the</w:t>
      </w:r>
      <w:r w:rsidR="000D6845">
        <w:rPr>
          <w:rFonts w:eastAsia="Times New Roman"/>
        </w:rPr>
        <w:t xml:space="preserve"> contract</w:t>
      </w:r>
      <w:r w:rsidRPr="00AD2D42">
        <w:rPr>
          <w:rFonts w:eastAsia="Times New Roman"/>
        </w:rPr>
        <w:t xml:space="preserve"> provid</w:t>
      </w:r>
      <w:r w:rsidR="000D6845">
        <w:rPr>
          <w:rFonts w:eastAsia="Times New Roman"/>
        </w:rPr>
        <w:t>es</w:t>
      </w:r>
      <w:r w:rsidRPr="00AD2D42">
        <w:rPr>
          <w:rFonts w:eastAsia="Times New Roman"/>
        </w:rPr>
        <w:t xml:space="preserve"> the Council with a fixed cost </w:t>
      </w:r>
      <w:r w:rsidR="000D6845">
        <w:rPr>
          <w:rFonts w:eastAsia="Times New Roman"/>
        </w:rPr>
        <w:t xml:space="preserve">for these integrated </w:t>
      </w:r>
      <w:r w:rsidRPr="00AD2D42">
        <w:rPr>
          <w:rFonts w:eastAsia="Times New Roman"/>
        </w:rPr>
        <w:t>arrangement</w:t>
      </w:r>
      <w:r w:rsidR="000D6845">
        <w:rPr>
          <w:rFonts w:eastAsia="Times New Roman"/>
        </w:rPr>
        <w:t>s</w:t>
      </w:r>
      <w:r w:rsidRPr="00AD2D42">
        <w:rPr>
          <w:rFonts w:eastAsia="Times New Roman"/>
        </w:rPr>
        <w:t xml:space="preserve"> for a further t</w:t>
      </w:r>
      <w:r w:rsidR="00F72583">
        <w:rPr>
          <w:rFonts w:eastAsia="Times New Roman"/>
        </w:rPr>
        <w:t>wo</w:t>
      </w:r>
      <w:r w:rsidRPr="00AD2D42">
        <w:rPr>
          <w:rFonts w:eastAsia="Times New Roman"/>
        </w:rPr>
        <w:t xml:space="preserve"> years. </w:t>
      </w:r>
    </w:p>
    <w:p w14:paraId="5A5E7891" w14:textId="77229EBB" w:rsidR="00AA5449" w:rsidRDefault="00AD2D42" w:rsidP="00511661">
      <w:pPr>
        <w:spacing w:after="240"/>
        <w:rPr>
          <w:rFonts w:eastAsia="Times New Roman"/>
        </w:rPr>
      </w:pPr>
      <w:r w:rsidRPr="00AD2D42">
        <w:rPr>
          <w:rFonts w:eastAsia="Times New Roman"/>
        </w:rPr>
        <w:t xml:space="preserve">With </w:t>
      </w:r>
      <w:r w:rsidR="00580F39">
        <w:rPr>
          <w:rFonts w:eastAsia="Times New Roman"/>
        </w:rPr>
        <w:t xml:space="preserve">our </w:t>
      </w:r>
      <w:r w:rsidRPr="00AD2D42">
        <w:rPr>
          <w:rFonts w:eastAsia="Times New Roman"/>
        </w:rPr>
        <w:t xml:space="preserve">partners we continue to be at the forefront of innovation, focusing on a co-designed asset-based approach.  A radically re-designed front door is being delivered by the Community and Voluntary Sector through </w:t>
      </w:r>
      <w:r w:rsidR="00A91673">
        <w:rPr>
          <w:rFonts w:eastAsia="Times New Roman"/>
        </w:rPr>
        <w:t>the C</w:t>
      </w:r>
      <w:r w:rsidRPr="00AD2D42">
        <w:rPr>
          <w:rFonts w:eastAsia="Times New Roman"/>
        </w:rPr>
        <w:t xml:space="preserve">ommunity </w:t>
      </w:r>
      <w:r w:rsidR="00A91673">
        <w:rPr>
          <w:rFonts w:eastAsia="Times New Roman"/>
        </w:rPr>
        <w:t>H</w:t>
      </w:r>
      <w:r w:rsidRPr="00AD2D42">
        <w:rPr>
          <w:rFonts w:eastAsia="Times New Roman"/>
        </w:rPr>
        <w:t>elpline</w:t>
      </w:r>
      <w:r w:rsidR="00AA5449">
        <w:rPr>
          <w:rFonts w:eastAsia="Times New Roman"/>
        </w:rPr>
        <w:t xml:space="preserve">.  This </w:t>
      </w:r>
      <w:r w:rsidR="009B4391">
        <w:rPr>
          <w:rFonts w:eastAsia="Times New Roman"/>
        </w:rPr>
        <w:t xml:space="preserve">is </w:t>
      </w:r>
      <w:r w:rsidR="00CE32E8">
        <w:rPr>
          <w:rFonts w:eastAsia="Times New Roman"/>
        </w:rPr>
        <w:t>reducing th</w:t>
      </w:r>
      <w:r w:rsidR="009B4391">
        <w:rPr>
          <w:rFonts w:eastAsia="Times New Roman"/>
        </w:rPr>
        <w:t xml:space="preserve">e number of people who need </w:t>
      </w:r>
      <w:r w:rsidR="00AA5449">
        <w:rPr>
          <w:rFonts w:eastAsia="Times New Roman"/>
        </w:rPr>
        <w:t xml:space="preserve">statutory </w:t>
      </w:r>
      <w:r w:rsidR="00CE32E8">
        <w:rPr>
          <w:rFonts w:eastAsia="Times New Roman"/>
        </w:rPr>
        <w:t>services</w:t>
      </w:r>
      <w:r w:rsidR="00AA5449">
        <w:rPr>
          <w:rFonts w:eastAsia="Times New Roman"/>
        </w:rPr>
        <w:t xml:space="preserve">, whilst </w:t>
      </w:r>
      <w:r w:rsidR="00CE32E8">
        <w:rPr>
          <w:rFonts w:eastAsia="Times New Roman"/>
        </w:rPr>
        <w:t>improving services for those who do need them.  </w:t>
      </w:r>
    </w:p>
    <w:p w14:paraId="177DF42F" w14:textId="77777777" w:rsidR="004B0CD1" w:rsidRDefault="00F70723" w:rsidP="00511661">
      <w:pPr>
        <w:spacing w:after="240"/>
        <w:rPr>
          <w:rFonts w:eastAsia="Times New Roman"/>
        </w:rPr>
      </w:pPr>
      <w:r>
        <w:rPr>
          <w:rFonts w:eastAsia="Times New Roman"/>
        </w:rPr>
        <w:t>Our proposals include the appointment of an Inclusion Officer</w:t>
      </w:r>
      <w:r w:rsidR="00693B40">
        <w:rPr>
          <w:rFonts w:eastAsia="Times New Roman"/>
        </w:rPr>
        <w:t xml:space="preserve">.  They will have a </w:t>
      </w:r>
      <w:r w:rsidR="00D63FC6">
        <w:rPr>
          <w:rFonts w:eastAsia="Times New Roman"/>
        </w:rPr>
        <w:t xml:space="preserve">role </w:t>
      </w:r>
      <w:r w:rsidR="000B5ABB">
        <w:rPr>
          <w:rFonts w:eastAsia="Times New Roman"/>
        </w:rPr>
        <w:t xml:space="preserve">which takes in the full breadth of inclusion, not just the issues identified in the Torbay Racism Review.  They </w:t>
      </w:r>
      <w:r w:rsidR="000B5ABB">
        <w:rPr>
          <w:rFonts w:eastAsia="Times New Roman"/>
        </w:rPr>
        <w:lastRenderedPageBreak/>
        <w:t>will work to ensure that</w:t>
      </w:r>
      <w:r w:rsidR="00070244">
        <w:rPr>
          <w:rFonts w:eastAsia="Times New Roman"/>
        </w:rPr>
        <w:t xml:space="preserve"> </w:t>
      </w:r>
      <w:r w:rsidR="00206982">
        <w:rPr>
          <w:rFonts w:eastAsia="Times New Roman"/>
        </w:rPr>
        <w:t>we embed what has been s</w:t>
      </w:r>
      <w:r w:rsidR="006D30E5">
        <w:rPr>
          <w:rFonts w:eastAsia="Times New Roman"/>
        </w:rPr>
        <w:t>tarted on turning the tide on poverty in Torbay</w:t>
      </w:r>
      <w:r w:rsidR="001A63B0">
        <w:rPr>
          <w:rFonts w:eastAsia="Times New Roman"/>
        </w:rPr>
        <w:t xml:space="preserve">, making sure that </w:t>
      </w:r>
      <w:r w:rsidR="00B649AE">
        <w:rPr>
          <w:rFonts w:eastAsia="Times New Roman"/>
        </w:rPr>
        <w:t xml:space="preserve">all parts of the community have access to the </w:t>
      </w:r>
      <w:r w:rsidR="004B0CD1">
        <w:rPr>
          <w:rFonts w:eastAsia="Times New Roman"/>
        </w:rPr>
        <w:t>opportunities and advantages that are available.</w:t>
      </w:r>
    </w:p>
    <w:p w14:paraId="26B1B912" w14:textId="033FFFB2" w:rsidR="009769E3" w:rsidRDefault="00921F52" w:rsidP="00511661">
      <w:pPr>
        <w:spacing w:after="240"/>
        <w:rPr>
          <w:rFonts w:eastAsia="Times New Roman"/>
        </w:rPr>
      </w:pPr>
      <w:r>
        <w:rPr>
          <w:rFonts w:eastAsia="Times New Roman"/>
        </w:rPr>
        <w:t>We will continue to promote wellbeing and good mental health</w:t>
      </w:r>
      <w:r w:rsidR="00C86DD6">
        <w:rPr>
          <w:rFonts w:eastAsia="Times New Roman"/>
        </w:rPr>
        <w:t xml:space="preserve">.  </w:t>
      </w:r>
      <w:r w:rsidR="001807C8">
        <w:rPr>
          <w:rFonts w:eastAsia="Times New Roman"/>
        </w:rPr>
        <w:t xml:space="preserve">To this end, sport and physical activity is vital.  </w:t>
      </w:r>
      <w:bookmarkStart w:id="6" w:name="_Hlk127951307"/>
      <w:r w:rsidR="004E5260">
        <w:rPr>
          <w:rFonts w:eastAsia="Times New Roman"/>
        </w:rPr>
        <w:t xml:space="preserve">Our </w:t>
      </w:r>
      <w:r w:rsidR="008C6002">
        <w:rPr>
          <w:rFonts w:eastAsia="Times New Roman"/>
        </w:rPr>
        <w:t>initial proposals included an additional £25,000 for Torbay on the Move</w:t>
      </w:r>
      <w:r w:rsidR="00BD4E2F">
        <w:rPr>
          <w:rFonts w:eastAsia="Times New Roman"/>
        </w:rPr>
        <w:t>.  This brings the</w:t>
      </w:r>
      <w:r w:rsidR="00BD4E2F" w:rsidRPr="00E22915">
        <w:rPr>
          <w:rFonts w:eastAsia="Times New Roman"/>
        </w:rPr>
        <w:t xml:space="preserve"> funding</w:t>
      </w:r>
      <w:r w:rsidR="00BD4E2F">
        <w:rPr>
          <w:rFonts w:eastAsia="Times New Roman"/>
        </w:rPr>
        <w:t xml:space="preserve"> for this initiative to </w:t>
      </w:r>
      <w:r w:rsidR="00BD4E2F" w:rsidRPr="00E22915">
        <w:rPr>
          <w:rFonts w:eastAsia="Times New Roman"/>
        </w:rPr>
        <w:t>£75,000</w:t>
      </w:r>
      <w:r w:rsidR="0065455F">
        <w:rPr>
          <w:rFonts w:eastAsia="Times New Roman"/>
        </w:rPr>
        <w:t xml:space="preserve">.  </w:t>
      </w:r>
      <w:bookmarkEnd w:id="6"/>
      <w:r w:rsidR="00780E23">
        <w:rPr>
          <w:rFonts w:eastAsia="Times New Roman"/>
        </w:rPr>
        <w:t>We are c</w:t>
      </w:r>
      <w:r w:rsidR="00780E23" w:rsidRPr="00780E23">
        <w:rPr>
          <w:rFonts w:eastAsia="Times New Roman"/>
        </w:rPr>
        <w:t>oncerned that the Government ha</w:t>
      </w:r>
      <w:r w:rsidR="00780E23">
        <w:rPr>
          <w:rFonts w:eastAsia="Times New Roman"/>
        </w:rPr>
        <w:t>s</w:t>
      </w:r>
      <w:r w:rsidR="00780E23" w:rsidRPr="00780E23">
        <w:rPr>
          <w:rFonts w:eastAsia="Times New Roman"/>
        </w:rPr>
        <w:t xml:space="preserve"> failed to acknowledge that swimming pools and leisure centres </w:t>
      </w:r>
      <w:r w:rsidR="00101D94">
        <w:rPr>
          <w:rFonts w:eastAsia="Times New Roman"/>
        </w:rPr>
        <w:t xml:space="preserve">should be </w:t>
      </w:r>
      <w:r w:rsidR="00780E23" w:rsidRPr="00780E23">
        <w:rPr>
          <w:rFonts w:eastAsia="Times New Roman"/>
        </w:rPr>
        <w:t>deemed as eligible for extra support from the Energy and Trade Intensive Industries scheme</w:t>
      </w:r>
      <w:r w:rsidR="00101D94">
        <w:rPr>
          <w:rFonts w:eastAsia="Times New Roman"/>
        </w:rPr>
        <w:t xml:space="preserve">.  </w:t>
      </w:r>
      <w:proofErr w:type="gramStart"/>
      <w:r w:rsidR="00101D94">
        <w:rPr>
          <w:rFonts w:eastAsia="Times New Roman"/>
        </w:rPr>
        <w:t>Therefore</w:t>
      </w:r>
      <w:proofErr w:type="gramEnd"/>
      <w:r w:rsidR="00101D94">
        <w:rPr>
          <w:rFonts w:eastAsia="Times New Roman"/>
        </w:rPr>
        <w:t xml:space="preserve"> we are proposing that the </w:t>
      </w:r>
      <w:r w:rsidR="00780E23" w:rsidRPr="00780E23">
        <w:rPr>
          <w:rFonts w:eastAsia="Times New Roman"/>
        </w:rPr>
        <w:t xml:space="preserve">Council </w:t>
      </w:r>
      <w:r w:rsidR="00101D94">
        <w:rPr>
          <w:rFonts w:eastAsia="Times New Roman"/>
        </w:rPr>
        <w:t>s</w:t>
      </w:r>
      <w:r w:rsidR="00780E23" w:rsidRPr="00780E23">
        <w:rPr>
          <w:rFonts w:eastAsia="Times New Roman"/>
        </w:rPr>
        <w:t xml:space="preserve">tep in to give </w:t>
      </w:r>
      <w:r w:rsidR="00101D94">
        <w:rPr>
          <w:rFonts w:eastAsia="Times New Roman"/>
        </w:rPr>
        <w:t xml:space="preserve">£12,000 per </w:t>
      </w:r>
      <w:r w:rsidR="00B07A04">
        <w:rPr>
          <w:rFonts w:eastAsia="Times New Roman"/>
        </w:rPr>
        <w:t xml:space="preserve">year to </w:t>
      </w:r>
      <w:r w:rsidR="00AE7CC3">
        <w:rPr>
          <w:rFonts w:eastAsia="Times New Roman"/>
        </w:rPr>
        <w:t xml:space="preserve">both </w:t>
      </w:r>
      <w:r w:rsidR="006F7D50">
        <w:rPr>
          <w:rFonts w:eastAsia="Times New Roman"/>
        </w:rPr>
        <w:t xml:space="preserve">Swim Torquay and Admiral Swimming Pool.  </w:t>
      </w:r>
      <w:r w:rsidR="00042F2F">
        <w:rPr>
          <w:rFonts w:eastAsia="Times New Roman"/>
        </w:rPr>
        <w:t xml:space="preserve">We recognise that this is </w:t>
      </w:r>
      <w:r w:rsidR="008D103F">
        <w:rPr>
          <w:rFonts w:eastAsia="Times New Roman"/>
        </w:rPr>
        <w:t xml:space="preserve">short term support and will be working with them </w:t>
      </w:r>
      <w:r w:rsidR="009769E3">
        <w:rPr>
          <w:rFonts w:eastAsia="Times New Roman"/>
        </w:rPr>
        <w:t>towards a sustainable future.</w:t>
      </w:r>
    </w:p>
    <w:p w14:paraId="581AC1C2" w14:textId="50A87456" w:rsidR="002D02D3" w:rsidRDefault="00E55B0B" w:rsidP="00511661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We are making positive strides in </w:t>
      </w:r>
      <w:r w:rsidR="00137118">
        <w:rPr>
          <w:rFonts w:eastAsia="Times New Roman"/>
        </w:rPr>
        <w:t>addressing the housing crisis within Torbay.</w:t>
      </w:r>
      <w:r w:rsidR="00534744">
        <w:rPr>
          <w:rFonts w:eastAsia="Times New Roman"/>
        </w:rPr>
        <w:t xml:space="preserve">  The </w:t>
      </w:r>
      <w:r w:rsidR="00BE04C3">
        <w:rPr>
          <w:rFonts w:eastAsia="Times New Roman"/>
        </w:rPr>
        <w:t>draft</w:t>
      </w:r>
      <w:r w:rsidR="00534744">
        <w:rPr>
          <w:rFonts w:eastAsia="Times New Roman"/>
        </w:rPr>
        <w:t xml:space="preserve"> budget includes </w:t>
      </w:r>
      <w:r w:rsidR="00F72981">
        <w:rPr>
          <w:rFonts w:eastAsia="Times New Roman"/>
        </w:rPr>
        <w:t xml:space="preserve">funding for </w:t>
      </w:r>
      <w:r w:rsidR="00534744">
        <w:rPr>
          <w:rFonts w:eastAsia="Times New Roman"/>
        </w:rPr>
        <w:t>both housing and temp</w:t>
      </w:r>
      <w:r w:rsidR="00F72981">
        <w:rPr>
          <w:rFonts w:eastAsia="Times New Roman"/>
        </w:rPr>
        <w:t xml:space="preserve">orary accommodation.  </w:t>
      </w:r>
      <w:r w:rsidR="00740108">
        <w:rPr>
          <w:rFonts w:eastAsia="Times New Roman"/>
        </w:rPr>
        <w:t xml:space="preserve">We are now proposing that a £3 million borrowing facility is included within our capital plan for next year.  </w:t>
      </w:r>
      <w:r w:rsidR="00D82CFA">
        <w:rPr>
          <w:rFonts w:eastAsia="Times New Roman"/>
        </w:rPr>
        <w:t>We know that there are organisations such as YES Brixham and Growing Home</w:t>
      </w:r>
      <w:r w:rsidR="0016713A">
        <w:rPr>
          <w:rFonts w:eastAsia="Times New Roman"/>
        </w:rPr>
        <w:t>s</w:t>
      </w:r>
      <w:r w:rsidR="00D82CFA">
        <w:rPr>
          <w:rFonts w:eastAsia="Times New Roman"/>
        </w:rPr>
        <w:t xml:space="preserve"> Torbay who are working to </w:t>
      </w:r>
      <w:r w:rsidR="00E70561">
        <w:rPr>
          <w:rFonts w:eastAsia="Times New Roman"/>
        </w:rPr>
        <w:t>create affordable community housing</w:t>
      </w:r>
      <w:r w:rsidR="007A3703">
        <w:rPr>
          <w:rFonts w:eastAsia="Times New Roman"/>
        </w:rPr>
        <w:t xml:space="preserve"> and it is hoped that this </w:t>
      </w:r>
      <w:r w:rsidR="00E22915">
        <w:rPr>
          <w:rFonts w:eastAsia="Times New Roman"/>
        </w:rPr>
        <w:t>loan facility</w:t>
      </w:r>
      <w:r w:rsidR="00352BE5">
        <w:rPr>
          <w:rFonts w:eastAsia="Times New Roman"/>
        </w:rPr>
        <w:t xml:space="preserve"> </w:t>
      </w:r>
      <w:r w:rsidR="007903BB">
        <w:rPr>
          <w:rFonts w:eastAsia="Times New Roman"/>
        </w:rPr>
        <w:t>will enable them to progress their plans.</w:t>
      </w:r>
    </w:p>
    <w:p w14:paraId="4A7D073F" w14:textId="62948CA2" w:rsidR="000726DD" w:rsidRDefault="000726DD" w:rsidP="00F06522">
      <w:r>
        <w:t xml:space="preserve">We are committed to </w:t>
      </w:r>
      <w:r w:rsidRPr="000726DD">
        <w:t>improving our economy</w:t>
      </w:r>
      <w:r>
        <w:t xml:space="preserve"> and one of our ambitions is to be the UK’s premier tourist resort.  </w:t>
      </w:r>
      <w:r w:rsidR="00B72C62">
        <w:t>We recognise that</w:t>
      </w:r>
      <w:r w:rsidR="00DA45E0">
        <w:t>,</w:t>
      </w:r>
      <w:r w:rsidR="00B72C62">
        <w:t xml:space="preserve"> </w:t>
      </w:r>
      <w:r w:rsidR="00DA45E0">
        <w:t>in the current economic climate, the increased sponsorship target we had proposed</w:t>
      </w:r>
      <w:r w:rsidR="00277220">
        <w:t xml:space="preserve"> for the Air Show</w:t>
      </w:r>
      <w:r w:rsidR="00DA45E0">
        <w:t xml:space="preserve"> may not be met.  We are recommending that this proposal is removed from the budget and that</w:t>
      </w:r>
      <w:r w:rsidR="00771032">
        <w:t xml:space="preserve"> further funding be identified to support the 2023 English Riviera Air Show.</w:t>
      </w:r>
    </w:p>
    <w:p w14:paraId="601A10A9" w14:textId="77777777" w:rsidR="005029F8" w:rsidRDefault="009B54AC" w:rsidP="000726DD">
      <w:r>
        <w:t xml:space="preserve">Funding has been </w:t>
      </w:r>
      <w:r w:rsidR="000726DD" w:rsidRPr="009540C2">
        <w:t>allocate</w:t>
      </w:r>
      <w:r>
        <w:t>d</w:t>
      </w:r>
      <w:r w:rsidR="000726DD" w:rsidRPr="009540C2">
        <w:t xml:space="preserve"> towards implementing our Economic Strategy, in particular supporting the improvement in skills in the local area.</w:t>
      </w:r>
      <w:r>
        <w:t xml:space="preserve">  </w:t>
      </w:r>
      <w:r w:rsidR="00745881">
        <w:t xml:space="preserve">We are also recommending that the proposal </w:t>
      </w:r>
      <w:r w:rsidR="00107085">
        <w:t>for TDA to fund the borrowing costs of</w:t>
      </w:r>
      <w:r w:rsidR="00603DB6">
        <w:t xml:space="preserve"> some regeneration schemes</w:t>
      </w:r>
      <w:r w:rsidR="00612C10">
        <w:t xml:space="preserve"> is not taken forward.  This will enable </w:t>
      </w:r>
      <w:r w:rsidR="0060649D">
        <w:t xml:space="preserve">TDA to </w:t>
      </w:r>
      <w:r w:rsidR="005029F8">
        <w:t>appropriately fund its work on economic development.</w:t>
      </w:r>
    </w:p>
    <w:p w14:paraId="0B69245E" w14:textId="77777777" w:rsidR="00C11F8B" w:rsidRDefault="000726DD" w:rsidP="000726DD">
      <w:r>
        <w:t xml:space="preserve">We </w:t>
      </w:r>
      <w:r w:rsidR="00BF5A3D">
        <w:t xml:space="preserve">welcomed the views </w:t>
      </w:r>
      <w:r w:rsidR="00C67B19">
        <w:t xml:space="preserve">put forward by the community on </w:t>
      </w:r>
      <w:r w:rsidR="00EE7ED1">
        <w:t xml:space="preserve">how the </w:t>
      </w:r>
      <w:r>
        <w:t>£100,000 identified for initiatives to keep the Bay clean, tidy and attractive</w:t>
      </w:r>
      <w:r w:rsidR="008D4C9D">
        <w:t xml:space="preserve"> should be spent.  We will be working with partners over the coming weeks </w:t>
      </w:r>
      <w:r w:rsidR="000375EE">
        <w:t xml:space="preserve">to </w:t>
      </w:r>
      <w:r w:rsidR="00370CCB">
        <w:t xml:space="preserve">prepare for the coming summer season and will take these views into account.  </w:t>
      </w:r>
    </w:p>
    <w:p w14:paraId="100AB894" w14:textId="2EB823AA" w:rsidR="00ED47F3" w:rsidRDefault="00E07C9C" w:rsidP="000726DD">
      <w:pPr>
        <w:rPr>
          <w:rStyle w:val="ui-provider"/>
        </w:rPr>
      </w:pPr>
      <w:r>
        <w:t>We are</w:t>
      </w:r>
      <w:r w:rsidR="00140518">
        <w:t xml:space="preserve"> also proposing that a further £100,000 is allocated to </w:t>
      </w:r>
      <w:r w:rsidR="004C1E1D">
        <w:t>i</w:t>
      </w:r>
      <w:r w:rsidR="004C1E1D">
        <w:rPr>
          <w:rStyle w:val="ui-provider"/>
        </w:rPr>
        <w:t xml:space="preserve">ntroduce of a new role within the Council </w:t>
      </w:r>
      <w:r w:rsidR="00A27CD5">
        <w:rPr>
          <w:rStyle w:val="ui-provider"/>
        </w:rPr>
        <w:t>to act as a force of positive change in our town centres</w:t>
      </w:r>
      <w:r w:rsidR="00293A4D">
        <w:rPr>
          <w:rStyle w:val="ui-provider"/>
        </w:rPr>
        <w:t xml:space="preserve">.  </w:t>
      </w:r>
      <w:r w:rsidR="004C1E1D">
        <w:rPr>
          <w:rStyle w:val="ui-provider"/>
        </w:rPr>
        <w:t xml:space="preserve"> </w:t>
      </w:r>
      <w:r w:rsidR="00293A4D">
        <w:rPr>
          <w:rStyle w:val="ui-provider"/>
        </w:rPr>
        <w:t xml:space="preserve">We will consider how this type of role </w:t>
      </w:r>
      <w:r w:rsidR="0028770B">
        <w:rPr>
          <w:rStyle w:val="ui-provider"/>
        </w:rPr>
        <w:t xml:space="preserve">operates </w:t>
      </w:r>
      <w:r w:rsidR="00293A4D">
        <w:rPr>
          <w:rStyle w:val="ui-provider"/>
        </w:rPr>
        <w:t xml:space="preserve">in other areas and, </w:t>
      </w:r>
      <w:r w:rsidR="004C1E1D">
        <w:rPr>
          <w:rStyle w:val="ui-provider"/>
        </w:rPr>
        <w:t>working alongside stakeholders</w:t>
      </w:r>
      <w:r w:rsidR="00293A4D">
        <w:rPr>
          <w:rStyle w:val="ui-provider"/>
        </w:rPr>
        <w:t xml:space="preserve">, </w:t>
      </w:r>
      <w:r w:rsidR="0028770B">
        <w:rPr>
          <w:rStyle w:val="ui-provider"/>
        </w:rPr>
        <w:t xml:space="preserve">bring about </w:t>
      </w:r>
      <w:r w:rsidR="00A23BD8">
        <w:rPr>
          <w:rStyle w:val="ui-provider"/>
        </w:rPr>
        <w:t xml:space="preserve">our </w:t>
      </w:r>
      <w:r w:rsidR="004C1E1D">
        <w:rPr>
          <w:rStyle w:val="ui-provider"/>
        </w:rPr>
        <w:t xml:space="preserve">ambition </w:t>
      </w:r>
      <w:r w:rsidR="00341E8F">
        <w:rPr>
          <w:rStyle w:val="ui-provider"/>
        </w:rPr>
        <w:t xml:space="preserve">of vibrant </w:t>
      </w:r>
      <w:r w:rsidR="004C1E1D">
        <w:rPr>
          <w:rStyle w:val="ui-provider"/>
        </w:rPr>
        <w:t>town centres</w:t>
      </w:r>
      <w:r w:rsidR="00385B79">
        <w:rPr>
          <w:rStyle w:val="ui-provider"/>
        </w:rPr>
        <w:t xml:space="preserve"> across the Bay.</w:t>
      </w:r>
      <w:r w:rsidR="003B0E4C">
        <w:rPr>
          <w:rStyle w:val="ui-provider"/>
        </w:rPr>
        <w:t xml:space="preserve">  This work w</w:t>
      </w:r>
      <w:r w:rsidR="00A56397">
        <w:rPr>
          <w:rStyle w:val="ui-provider"/>
        </w:rPr>
        <w:t xml:space="preserve">ill run alongside </w:t>
      </w:r>
      <w:r w:rsidR="00E22D5B">
        <w:rPr>
          <w:rStyle w:val="ui-provider"/>
        </w:rPr>
        <w:t xml:space="preserve">what we are already </w:t>
      </w:r>
      <w:r w:rsidR="00D035CB">
        <w:rPr>
          <w:rStyle w:val="ui-provider"/>
        </w:rPr>
        <w:t xml:space="preserve">doing with the Police and </w:t>
      </w:r>
      <w:r w:rsidR="00214F0C">
        <w:rPr>
          <w:rStyle w:val="ui-provider"/>
        </w:rPr>
        <w:t>Office of the Police and Crime Commissioner</w:t>
      </w:r>
      <w:r w:rsidR="00D50379">
        <w:rPr>
          <w:rStyle w:val="ui-provider"/>
        </w:rPr>
        <w:t xml:space="preserve"> </w:t>
      </w:r>
      <w:r w:rsidR="00712D9E">
        <w:rPr>
          <w:rStyle w:val="ui-provider"/>
        </w:rPr>
        <w:t>as a multi-agency response to the substance misuse and anti-social behaviour challenges in Castle Circus and town centre areas of Torquay.</w:t>
      </w:r>
    </w:p>
    <w:p w14:paraId="02FBE124" w14:textId="693A26E9" w:rsidR="00391359" w:rsidRPr="00EA7137" w:rsidRDefault="00391359" w:rsidP="000726DD">
      <w:pPr>
        <w:rPr>
          <w:rFonts w:eastAsia="Times New Roman"/>
        </w:rPr>
      </w:pPr>
      <w:r>
        <w:rPr>
          <w:rStyle w:val="ui-provider"/>
        </w:rPr>
        <w:t xml:space="preserve">Our capital plan </w:t>
      </w:r>
      <w:r w:rsidR="0062251A">
        <w:rPr>
          <w:rStyle w:val="ui-provider"/>
        </w:rPr>
        <w:t>includes several schemes which will help meet this ambition</w:t>
      </w:r>
      <w:r w:rsidR="00CE7FB4">
        <w:rPr>
          <w:rStyle w:val="ui-provider"/>
        </w:rPr>
        <w:t xml:space="preserve"> and these projects will start to take shape in the coming financial year.  </w:t>
      </w:r>
      <w:r w:rsidR="007D38DA">
        <w:rPr>
          <w:rStyle w:val="ui-provider"/>
        </w:rPr>
        <w:t xml:space="preserve">We share the frustration of the community </w:t>
      </w:r>
      <w:r w:rsidR="007D38DA">
        <w:rPr>
          <w:rStyle w:val="ui-provider"/>
        </w:rPr>
        <w:lastRenderedPageBreak/>
        <w:t xml:space="preserve">that </w:t>
      </w:r>
      <w:r w:rsidR="00E040C4">
        <w:rPr>
          <w:rStyle w:val="ui-provider"/>
        </w:rPr>
        <w:t>some of these schemes have been slow to get off the ground</w:t>
      </w:r>
      <w:r w:rsidR="009D53C7">
        <w:rPr>
          <w:rStyle w:val="ui-provider"/>
        </w:rPr>
        <w:t xml:space="preserve">.  However, </w:t>
      </w:r>
      <w:r w:rsidR="00E95E5C">
        <w:rPr>
          <w:rStyle w:val="ui-provider"/>
        </w:rPr>
        <w:t xml:space="preserve">like councils across the country, </w:t>
      </w:r>
      <w:r w:rsidR="00C3677E">
        <w:rPr>
          <w:rStyle w:val="ui-provider"/>
        </w:rPr>
        <w:t>the increases in inflation have had a knock</w:t>
      </w:r>
      <w:r w:rsidR="00EA7137">
        <w:rPr>
          <w:rStyle w:val="ui-provider"/>
        </w:rPr>
        <w:t>-</w:t>
      </w:r>
      <w:r w:rsidR="00C3677E">
        <w:rPr>
          <w:rStyle w:val="ui-provider"/>
        </w:rPr>
        <w:t xml:space="preserve">on effect </w:t>
      </w:r>
      <w:r w:rsidR="00EA7137">
        <w:rPr>
          <w:rStyle w:val="ui-provider"/>
        </w:rPr>
        <w:t>on</w:t>
      </w:r>
      <w:r w:rsidR="00C3677E">
        <w:rPr>
          <w:rStyle w:val="ui-provider"/>
        </w:rPr>
        <w:t xml:space="preserve"> construction costs and we have had to ensure that each scheme </w:t>
      </w:r>
      <w:r w:rsidR="00AD60A1">
        <w:rPr>
          <w:rStyle w:val="ui-provider"/>
        </w:rPr>
        <w:t xml:space="preserve">was affordable </w:t>
      </w:r>
      <w:r w:rsidR="00E95E5C">
        <w:rPr>
          <w:rStyle w:val="ui-provider"/>
        </w:rPr>
        <w:t xml:space="preserve">before being started.  </w:t>
      </w:r>
      <w:r w:rsidR="00071C70">
        <w:rPr>
          <w:rStyle w:val="ui-provider"/>
        </w:rPr>
        <w:t xml:space="preserve">As part of the </w:t>
      </w:r>
      <w:r w:rsidR="006B443A">
        <w:rPr>
          <w:rStyle w:val="ui-provider"/>
        </w:rPr>
        <w:t>announcements on local government fund</w:t>
      </w:r>
      <w:r w:rsidR="00F7785F">
        <w:rPr>
          <w:rStyle w:val="ui-provider"/>
        </w:rPr>
        <w:t>ing</w:t>
      </w:r>
      <w:r w:rsidR="006B443A">
        <w:rPr>
          <w:rStyle w:val="ui-provider"/>
        </w:rPr>
        <w:t xml:space="preserve">, a contingency held </w:t>
      </w:r>
      <w:r w:rsidR="002B3320">
        <w:rPr>
          <w:rStyle w:val="ui-provider"/>
        </w:rPr>
        <w:t>for National</w:t>
      </w:r>
      <w:r w:rsidR="00873C8E">
        <w:rPr>
          <w:rStyle w:val="ui-provider"/>
        </w:rPr>
        <w:t xml:space="preserve"> </w:t>
      </w:r>
      <w:r w:rsidR="002B3320">
        <w:rPr>
          <w:rStyle w:val="ui-provider"/>
        </w:rPr>
        <w:t>Non</w:t>
      </w:r>
      <w:r w:rsidR="00873C8E">
        <w:rPr>
          <w:rStyle w:val="ui-provider"/>
        </w:rPr>
        <w:t>-</w:t>
      </w:r>
      <w:r w:rsidR="002B3320">
        <w:rPr>
          <w:rStyle w:val="ui-provider"/>
        </w:rPr>
        <w:t xml:space="preserve">Domestic Rates </w:t>
      </w:r>
      <w:r w:rsidR="005C72BF">
        <w:rPr>
          <w:rStyle w:val="ui-provider"/>
        </w:rPr>
        <w:t xml:space="preserve">has been released with the Council receiving £274,000.  It is proposed that this is held in a </w:t>
      </w:r>
      <w:r w:rsidR="00CF66BE">
        <w:rPr>
          <w:rStyle w:val="ui-provider"/>
        </w:rPr>
        <w:t xml:space="preserve">Capital Projects Contingency Fund </w:t>
      </w:r>
      <w:r w:rsidR="00673E44">
        <w:rPr>
          <w:rStyle w:val="ui-provider"/>
        </w:rPr>
        <w:t xml:space="preserve">to mitigate the ongoing </w:t>
      </w:r>
      <w:r w:rsidR="004A3188">
        <w:rPr>
          <w:rStyle w:val="ui-provider"/>
        </w:rPr>
        <w:t xml:space="preserve">national </w:t>
      </w:r>
      <w:r w:rsidR="00673E44">
        <w:rPr>
          <w:rStyle w:val="ui-provider"/>
        </w:rPr>
        <w:t xml:space="preserve">risks of </w:t>
      </w:r>
      <w:r w:rsidR="004A3188">
        <w:rPr>
          <w:rStyle w:val="ui-provider"/>
        </w:rPr>
        <w:t>increased capital costs.</w:t>
      </w:r>
    </w:p>
    <w:p w14:paraId="7643C62E" w14:textId="3D1E9D09" w:rsidR="00E71382" w:rsidRDefault="00691451" w:rsidP="00511661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The Council’s Carbon Neutral Action Plan </w:t>
      </w:r>
      <w:r w:rsidR="00167C2C">
        <w:rPr>
          <w:rFonts w:eastAsia="Times New Roman"/>
        </w:rPr>
        <w:t xml:space="preserve">continues to be delivered with the projects that are being put in place, </w:t>
      </w:r>
      <w:r w:rsidR="00FC0A0B">
        <w:rPr>
          <w:rFonts w:eastAsia="Times New Roman"/>
        </w:rPr>
        <w:t xml:space="preserve">funded by the </w:t>
      </w:r>
      <w:r w:rsidR="005A4682">
        <w:rPr>
          <w:rFonts w:eastAsia="Times New Roman"/>
        </w:rPr>
        <w:t xml:space="preserve">investment </w:t>
      </w:r>
      <w:r w:rsidR="001D77D4">
        <w:rPr>
          <w:rFonts w:eastAsia="Times New Roman"/>
        </w:rPr>
        <w:t>which was identi</w:t>
      </w:r>
      <w:r w:rsidR="00523F2A">
        <w:rPr>
          <w:rFonts w:eastAsia="Times New Roman"/>
        </w:rPr>
        <w:t xml:space="preserve">fied in the current year’s budget.  These projects will not only </w:t>
      </w:r>
      <w:r w:rsidR="005C7D87">
        <w:rPr>
          <w:rFonts w:eastAsia="Times New Roman"/>
        </w:rPr>
        <w:t xml:space="preserve">help us to tackle climate </w:t>
      </w:r>
      <w:proofErr w:type="gramStart"/>
      <w:r w:rsidR="005C7D87">
        <w:rPr>
          <w:rFonts w:eastAsia="Times New Roman"/>
        </w:rPr>
        <w:t>change</w:t>
      </w:r>
      <w:proofErr w:type="gramEnd"/>
      <w:r w:rsidR="005C7D87">
        <w:rPr>
          <w:rFonts w:eastAsia="Times New Roman"/>
        </w:rPr>
        <w:t xml:space="preserve"> but they will create savings </w:t>
      </w:r>
      <w:r w:rsidR="00F778F8">
        <w:rPr>
          <w:rFonts w:eastAsia="Times New Roman"/>
        </w:rPr>
        <w:t>for our future budgets.</w:t>
      </w:r>
    </w:p>
    <w:p w14:paraId="48265FE2" w14:textId="77777777" w:rsidR="00125421" w:rsidRDefault="00125421" w:rsidP="00125421">
      <w:pPr>
        <w:spacing w:after="240"/>
        <w:rPr>
          <w:rFonts w:eastAsia="Times New Roman"/>
        </w:rPr>
      </w:pPr>
      <w:r>
        <w:rPr>
          <w:rFonts w:eastAsia="Times New Roman"/>
        </w:rPr>
        <w:t>The improvements that we are making to our planning service will be supplemented by additional funding of £50,000 so that we can place more focus on enforcement and heritage issues.</w:t>
      </w:r>
    </w:p>
    <w:p w14:paraId="225B11C0" w14:textId="3B70481D" w:rsidR="002D02D3" w:rsidRDefault="00C43A97" w:rsidP="00511661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Our aim of </w:t>
      </w:r>
      <w:r w:rsidR="0047218D">
        <w:rPr>
          <w:rFonts w:eastAsia="Times New Roman"/>
        </w:rPr>
        <w:t>creat</w:t>
      </w:r>
      <w:r>
        <w:rPr>
          <w:rFonts w:eastAsia="Times New Roman"/>
        </w:rPr>
        <w:t xml:space="preserve">ing </w:t>
      </w:r>
      <w:r w:rsidR="0047218D">
        <w:rPr>
          <w:rFonts w:eastAsia="Times New Roman"/>
        </w:rPr>
        <w:t>a Council fit for the future</w:t>
      </w:r>
      <w:r w:rsidR="00613D77">
        <w:rPr>
          <w:rFonts w:eastAsia="Times New Roman"/>
        </w:rPr>
        <w:t xml:space="preserve"> </w:t>
      </w:r>
      <w:r>
        <w:rPr>
          <w:rFonts w:eastAsia="Times New Roman"/>
        </w:rPr>
        <w:t xml:space="preserve">has </w:t>
      </w:r>
      <w:r w:rsidR="00613D77">
        <w:rPr>
          <w:rFonts w:eastAsia="Times New Roman"/>
        </w:rPr>
        <w:t>openness and transparency at its heart.  W</w:t>
      </w:r>
      <w:r w:rsidR="007D1C7B">
        <w:rPr>
          <w:rFonts w:eastAsia="Times New Roman"/>
        </w:rPr>
        <w:t xml:space="preserve">e will </w:t>
      </w:r>
      <w:r>
        <w:rPr>
          <w:rFonts w:eastAsia="Times New Roman"/>
        </w:rPr>
        <w:t xml:space="preserve">continue to </w:t>
      </w:r>
      <w:r w:rsidR="00346390">
        <w:rPr>
          <w:rFonts w:eastAsia="Times New Roman"/>
        </w:rPr>
        <w:t>provide our One Torbay updates in community magazines across Torbay</w:t>
      </w:r>
      <w:r w:rsidR="00B346BA">
        <w:rPr>
          <w:rFonts w:eastAsia="Times New Roman"/>
        </w:rPr>
        <w:t>, widening the audience as far as we can.  Our Cabinet, Council and Planning Committee meetings will be live streamed and promoted more widely</w:t>
      </w:r>
      <w:r w:rsidR="00C55AFE">
        <w:rPr>
          <w:rFonts w:eastAsia="Times New Roman"/>
        </w:rPr>
        <w:t xml:space="preserve">.  </w:t>
      </w:r>
    </w:p>
    <w:p w14:paraId="32A89C32" w14:textId="799F2BEA" w:rsidR="00CC1A03" w:rsidRPr="00196DFA" w:rsidRDefault="003E2F71" w:rsidP="007B3F33">
      <w:pPr>
        <w:rPr>
          <w:rFonts w:eastAsia="Times New Roman"/>
        </w:rPr>
      </w:pPr>
      <w:r w:rsidRPr="00196DFA">
        <w:rPr>
          <w:rFonts w:eastAsia="Times New Roman"/>
        </w:rPr>
        <w:t>We recognise that by raising Council Tax by 4.99% this year th</w:t>
      </w:r>
      <w:r w:rsidR="008151C5" w:rsidRPr="00196DFA">
        <w:rPr>
          <w:rFonts w:eastAsia="Times New Roman"/>
        </w:rPr>
        <w:t xml:space="preserve">is </w:t>
      </w:r>
      <w:r w:rsidRPr="00196DFA">
        <w:rPr>
          <w:rFonts w:eastAsia="Times New Roman"/>
        </w:rPr>
        <w:t>may add additional pressure on some household budgets</w:t>
      </w:r>
      <w:r w:rsidR="008151C5" w:rsidRPr="00196DFA">
        <w:rPr>
          <w:rFonts w:eastAsia="Times New Roman"/>
        </w:rPr>
        <w:t xml:space="preserve">.  We are </w:t>
      </w:r>
      <w:r w:rsidRPr="00196DFA">
        <w:rPr>
          <w:rFonts w:eastAsia="Times New Roman"/>
        </w:rPr>
        <w:t>therefore</w:t>
      </w:r>
      <w:r w:rsidR="00AC38EE" w:rsidRPr="00196DFA">
        <w:rPr>
          <w:rFonts w:eastAsia="Times New Roman"/>
        </w:rPr>
        <w:t xml:space="preserve">, in addition to the 2023/24 government </w:t>
      </w:r>
      <w:r w:rsidR="00196DFA" w:rsidRPr="00196DFA">
        <w:rPr>
          <w:rFonts w:eastAsia="Times New Roman"/>
        </w:rPr>
        <w:t xml:space="preserve">funded </w:t>
      </w:r>
      <w:r w:rsidR="00AC38EE" w:rsidRPr="00196DFA">
        <w:rPr>
          <w:rFonts w:eastAsia="Times New Roman"/>
        </w:rPr>
        <w:t>council tax support scheme of £25,</w:t>
      </w:r>
      <w:r w:rsidRPr="00196DFA">
        <w:rPr>
          <w:rFonts w:eastAsia="Times New Roman"/>
        </w:rPr>
        <w:t xml:space="preserve"> allocating </w:t>
      </w:r>
      <w:r w:rsidR="00C65E39">
        <w:rPr>
          <w:rFonts w:eastAsia="Times New Roman"/>
        </w:rPr>
        <w:t xml:space="preserve">a </w:t>
      </w:r>
      <w:r w:rsidR="00186D7A">
        <w:rPr>
          <w:rFonts w:eastAsia="Times New Roman"/>
        </w:rPr>
        <w:t xml:space="preserve">reduction </w:t>
      </w:r>
      <w:r w:rsidR="00C65E39">
        <w:rPr>
          <w:rFonts w:eastAsia="Times New Roman"/>
        </w:rPr>
        <w:t xml:space="preserve">of up to </w:t>
      </w:r>
      <w:r>
        <w:rPr>
          <w:rFonts w:eastAsia="Times New Roman"/>
        </w:rPr>
        <w:t xml:space="preserve">£75 </w:t>
      </w:r>
      <w:r w:rsidRPr="00196DFA">
        <w:rPr>
          <w:rFonts w:eastAsia="Times New Roman"/>
        </w:rPr>
        <w:t xml:space="preserve">for </w:t>
      </w:r>
      <w:r w:rsidR="008151C5" w:rsidRPr="00196DFA">
        <w:rPr>
          <w:rFonts w:eastAsia="Times New Roman"/>
        </w:rPr>
        <w:t xml:space="preserve">each </w:t>
      </w:r>
      <w:r w:rsidRPr="00196DFA">
        <w:rPr>
          <w:rFonts w:eastAsia="Times New Roman"/>
        </w:rPr>
        <w:t>working age household in receipt of Council Tax Support</w:t>
      </w:r>
      <w:r w:rsidR="007539AD" w:rsidRPr="00196DFA">
        <w:rPr>
          <w:rFonts w:eastAsia="Times New Roman"/>
        </w:rPr>
        <w:t xml:space="preserve">.  At the same time, we are </w:t>
      </w:r>
      <w:r w:rsidR="00C94FCF" w:rsidRPr="00196DFA">
        <w:rPr>
          <w:rFonts w:eastAsia="Times New Roman"/>
        </w:rPr>
        <w:t>consulting o</w:t>
      </w:r>
      <w:r w:rsidRPr="00196DFA">
        <w:rPr>
          <w:rFonts w:eastAsia="Times New Roman"/>
        </w:rPr>
        <w:t xml:space="preserve">n </w:t>
      </w:r>
      <w:r w:rsidR="00C94FCF" w:rsidRPr="00196DFA">
        <w:rPr>
          <w:rFonts w:eastAsia="Times New Roman"/>
        </w:rPr>
        <w:t xml:space="preserve">changes to the level of Council Tax Support </w:t>
      </w:r>
      <w:r w:rsidR="000A391F" w:rsidRPr="00196DFA">
        <w:rPr>
          <w:rFonts w:eastAsia="Times New Roman"/>
        </w:rPr>
        <w:t xml:space="preserve">– reducing the amount that working age households will need to pay from 1 April 2024. </w:t>
      </w:r>
      <w:r w:rsidRPr="00196DFA">
        <w:rPr>
          <w:rFonts w:eastAsia="Times New Roman"/>
        </w:rPr>
        <w:t xml:space="preserve"> </w:t>
      </w:r>
    </w:p>
    <w:p w14:paraId="5D8B4C10" w14:textId="7000BAF6" w:rsidR="003E2F71" w:rsidRDefault="007B3F33" w:rsidP="00665807">
      <w:pPr>
        <w:rPr>
          <w:rFonts w:eastAsia="Times New Roman"/>
        </w:rPr>
      </w:pPr>
      <w:r w:rsidRPr="00196DFA">
        <w:rPr>
          <w:rFonts w:eastAsia="Times New Roman"/>
        </w:rPr>
        <w:t xml:space="preserve">As we said when we published our budget proposals, </w:t>
      </w:r>
      <w:r w:rsidRPr="00196DFA">
        <w:t xml:space="preserve">it is disappointing that the Government has failed to address the national funding pressures which are facing adult social care.  </w:t>
      </w:r>
      <w:r w:rsidR="003E53C2" w:rsidRPr="00196DFA">
        <w:t xml:space="preserve">Council tax is also now the main source of </w:t>
      </w:r>
      <w:r w:rsidR="00483ECE" w:rsidRPr="00196DFA">
        <w:t>funding our place-based services.  The Government, in setting ou</w:t>
      </w:r>
      <w:r w:rsidR="00665807" w:rsidRPr="00196DFA">
        <w:t>r spending levels, assumes that we will increase council tax by the full amount allowed.</w:t>
      </w:r>
    </w:p>
    <w:p w14:paraId="5ECE5897" w14:textId="3FD2A844" w:rsidR="00511661" w:rsidRPr="006C6FA3" w:rsidRDefault="00572563" w:rsidP="00511661">
      <w:r w:rsidRPr="006C6FA3">
        <w:t>We hope that the Council will approve this budget so that we can contin</w:t>
      </w:r>
      <w:r w:rsidR="00A6669A" w:rsidRPr="006C6FA3">
        <w:t xml:space="preserve">ue to </w:t>
      </w:r>
      <w:r w:rsidR="00511661" w:rsidRPr="006C6FA3">
        <w:t xml:space="preserve">deliver our ambition of a thriving Torbay, turning the tide on poverty </w:t>
      </w:r>
      <w:r w:rsidR="00A6669A" w:rsidRPr="006C6FA3">
        <w:t xml:space="preserve">and </w:t>
      </w:r>
      <w:r w:rsidR="00C829DC">
        <w:t>build a stronger, safer, fairer Torbay.</w:t>
      </w:r>
    </w:p>
    <w:p w14:paraId="6C465A91" w14:textId="77777777" w:rsidR="004E5C77" w:rsidRDefault="004E5C77" w:rsidP="007B7706"/>
    <w:p w14:paraId="14F25F68" w14:textId="5F5F7633" w:rsidR="007B7706" w:rsidRPr="007B7706" w:rsidRDefault="007B7706" w:rsidP="007B7706">
      <w:r w:rsidRPr="007B7706">
        <w:rPr>
          <w:noProof/>
        </w:rPr>
        <w:drawing>
          <wp:anchor distT="0" distB="0" distL="114300" distR="114300" simplePos="0" relativeHeight="251658243" behindDoc="0" locked="0" layoutInCell="1" allowOverlap="1" wp14:anchorId="34EFC959" wp14:editId="6E0C20F0">
            <wp:simplePos x="0" y="0"/>
            <wp:positionH relativeFrom="margin">
              <wp:align>center</wp:align>
            </wp:positionH>
            <wp:positionV relativeFrom="paragraph">
              <wp:posOffset>12558</wp:posOffset>
            </wp:positionV>
            <wp:extent cx="889000" cy="1184275"/>
            <wp:effectExtent l="0" t="0" r="6350" b="0"/>
            <wp:wrapSquare wrapText="bothSides"/>
            <wp:docPr id="4" name="Picture 4" descr="A person in a suit smil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in a suit smiling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7706">
        <w:rPr>
          <w:noProof/>
        </w:rPr>
        <w:drawing>
          <wp:anchor distT="0" distB="0" distL="114300" distR="114300" simplePos="0" relativeHeight="251658242" behindDoc="0" locked="0" layoutInCell="1" allowOverlap="1" wp14:anchorId="62588D93" wp14:editId="7A3C19F0">
            <wp:simplePos x="0" y="0"/>
            <wp:positionH relativeFrom="margin">
              <wp:align>left</wp:align>
            </wp:positionH>
            <wp:positionV relativeFrom="paragraph">
              <wp:posOffset>5355</wp:posOffset>
            </wp:positionV>
            <wp:extent cx="943375" cy="1172840"/>
            <wp:effectExtent l="0" t="0" r="0" b="8890"/>
            <wp:wrapSquare wrapText="bothSides"/>
            <wp:docPr id="2" name="Picture 2" descr="A person in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suit and ti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375" cy="117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2DAA5" w14:textId="77777777" w:rsidR="007B7706" w:rsidRPr="007B7706" w:rsidRDefault="007B7706" w:rsidP="00B91B9E">
      <w:pPr>
        <w:tabs>
          <w:tab w:val="left" w:pos="1701"/>
          <w:tab w:val="left" w:pos="6096"/>
        </w:tabs>
      </w:pPr>
      <w:r w:rsidRPr="004C1C65">
        <w:t>Councillor Steve Darling</w:t>
      </w:r>
      <w:r w:rsidRPr="007B7706">
        <w:t xml:space="preserve"> Councillor Darren Cowell</w:t>
      </w:r>
    </w:p>
    <w:p w14:paraId="382111B4" w14:textId="4E541A03" w:rsidR="007B7706" w:rsidRPr="007B7706" w:rsidRDefault="007B7706" w:rsidP="004E191F">
      <w:pPr>
        <w:tabs>
          <w:tab w:val="left" w:pos="1701"/>
          <w:tab w:val="left" w:pos="6096"/>
        </w:tabs>
        <w:ind w:left="3600" w:hanging="3600"/>
      </w:pPr>
      <w:r w:rsidRPr="004C1C65">
        <w:t>Leader of Torbay Council</w:t>
      </w:r>
      <w:r w:rsidRPr="007B7706">
        <w:t xml:space="preserve"> Deputy Leader</w:t>
      </w:r>
      <w:r w:rsidR="00B91B9E">
        <w:t xml:space="preserve"> </w:t>
      </w:r>
      <w:r w:rsidR="00140ADD">
        <w:tab/>
      </w:r>
      <w:r w:rsidRPr="007B7706">
        <w:t>and Cabinet Member for</w:t>
      </w:r>
      <w:r w:rsidR="004E191F">
        <w:t xml:space="preserve"> </w:t>
      </w:r>
      <w:r w:rsidRPr="004C1C65">
        <w:t>Finance</w:t>
      </w:r>
    </w:p>
    <w:p w14:paraId="67B0EFE5" w14:textId="77777777" w:rsidR="007B7706" w:rsidRPr="004C1C65" w:rsidRDefault="007B7706" w:rsidP="007B7706"/>
    <w:p w14:paraId="130407BA" w14:textId="77777777" w:rsidR="006C6FA3" w:rsidRDefault="006C6FA3">
      <w:pPr>
        <w:spacing w:line="264" w:lineRule="auto"/>
        <w:rPr>
          <w:rFonts w:asciiTheme="majorHAnsi" w:eastAsiaTheme="majorEastAsia" w:hAnsiTheme="majorHAnsi" w:cstheme="majorBidi"/>
          <w:color w:val="002F6C" w:themeColor="text1"/>
          <w:sz w:val="40"/>
          <w:szCs w:val="36"/>
        </w:rPr>
      </w:pPr>
      <w:bookmarkStart w:id="7" w:name="_Toc21087824"/>
      <w:bookmarkStart w:id="8" w:name="_Toc21608724"/>
      <w:bookmarkStart w:id="9" w:name="_Toc81995889"/>
      <w:r>
        <w:br w:type="page"/>
      </w:r>
    </w:p>
    <w:p w14:paraId="58081E08" w14:textId="7FAFB6C8" w:rsidR="007B7706" w:rsidRPr="004C1C65" w:rsidRDefault="007B7706" w:rsidP="007B7706">
      <w:pPr>
        <w:pStyle w:val="Heading1"/>
      </w:pPr>
      <w:bookmarkStart w:id="10" w:name="_Toc127951259"/>
      <w:r w:rsidRPr="004C1C65">
        <w:lastRenderedPageBreak/>
        <w:t>Introduction</w:t>
      </w:r>
      <w:bookmarkEnd w:id="7"/>
      <w:bookmarkEnd w:id="8"/>
      <w:bookmarkEnd w:id="9"/>
      <w:bookmarkEnd w:id="10"/>
    </w:p>
    <w:p w14:paraId="191D2A15" w14:textId="57186A94" w:rsidR="006526DF" w:rsidRDefault="006526DF" w:rsidP="006526DF">
      <w:r w:rsidRPr="00B86C51">
        <w:t>This document and the papers which support it set out the Cabinet’s final proposals for the Revenue and Capital Budgets for 202</w:t>
      </w:r>
      <w:r w:rsidR="00A33957">
        <w:t>3/2</w:t>
      </w:r>
      <w:r w:rsidR="006328B1">
        <w:t>024</w:t>
      </w:r>
      <w:r w:rsidRPr="00B86C51">
        <w:t xml:space="preserve">.  </w:t>
      </w:r>
    </w:p>
    <w:p w14:paraId="0EE4168A" w14:textId="26F0A6DD" w:rsidR="006526DF" w:rsidRPr="008742E8" w:rsidRDefault="006526DF" w:rsidP="006526DF">
      <w:r w:rsidRPr="008742E8">
        <w:t xml:space="preserve">The Cabinet published its draft budget proposals in </w:t>
      </w:r>
      <w:r w:rsidR="00D84364" w:rsidRPr="008742E8">
        <w:t>January 202</w:t>
      </w:r>
      <w:r w:rsidR="006328B1">
        <w:t>3</w:t>
      </w:r>
      <w:r w:rsidRPr="008742E8">
        <w:t xml:space="preserve"> for consultation.  During the consultation period, feedback </w:t>
      </w:r>
      <w:r w:rsidR="006328B1">
        <w:t xml:space="preserve">was </w:t>
      </w:r>
      <w:r w:rsidRPr="008742E8">
        <w:t xml:space="preserve">gathered through </w:t>
      </w:r>
      <w:r w:rsidR="006328B1">
        <w:t xml:space="preserve">an </w:t>
      </w:r>
      <w:r w:rsidRPr="008742E8">
        <w:t>online questionnaire</w:t>
      </w:r>
      <w:r w:rsidR="006328B1">
        <w:t xml:space="preserve"> and disc</w:t>
      </w:r>
      <w:r w:rsidR="00640054">
        <w:t>ussion forum</w:t>
      </w:r>
      <w:r w:rsidRPr="008742E8">
        <w:t xml:space="preserve"> as well as from Torbay Council’s social media channels (including responses to the Ask Us Facebook Live panel held in </w:t>
      </w:r>
      <w:r w:rsidR="00E555D3" w:rsidRPr="00E555D3">
        <w:t xml:space="preserve">January </w:t>
      </w:r>
      <w:r w:rsidRPr="00E555D3">
        <w:t>202</w:t>
      </w:r>
      <w:r w:rsidR="00E555D3" w:rsidRPr="00E555D3">
        <w:t>3</w:t>
      </w:r>
      <w:r w:rsidRPr="008742E8">
        <w:t xml:space="preserve">).  </w:t>
      </w:r>
    </w:p>
    <w:p w14:paraId="5F41545E" w14:textId="77777777" w:rsidR="006526DF" w:rsidRPr="00605EBD" w:rsidRDefault="006526DF" w:rsidP="006526DF">
      <w:r w:rsidRPr="00605EBD">
        <w:t xml:space="preserve">The feedback has included the views of the Council’s Overview and Scrutiny Board which were set out in its report to the Cabinet and is available at </w:t>
      </w:r>
      <w:hyperlink r:id="rId14" w:history="1">
        <w:r w:rsidRPr="00605EBD">
          <w:rPr>
            <w:rStyle w:val="Hyperlink"/>
          </w:rPr>
          <w:t>www.torbay.gov.uk/scrutiny</w:t>
        </w:r>
      </w:hyperlink>
    </w:p>
    <w:p w14:paraId="684E88BE" w14:textId="13C2DF89" w:rsidR="006526DF" w:rsidRPr="00605EBD" w:rsidRDefault="006526DF" w:rsidP="006526DF">
      <w:pPr>
        <w:rPr>
          <w:rStyle w:val="Hyperlink"/>
          <w:color w:val="auto"/>
        </w:rPr>
      </w:pPr>
      <w:r w:rsidRPr="00605EBD">
        <w:t xml:space="preserve">The results of the consultation have been published and the budget proposals issued in </w:t>
      </w:r>
      <w:r w:rsidR="00D84364" w:rsidRPr="00605EBD">
        <w:t>January 202</w:t>
      </w:r>
      <w:r w:rsidR="00640054" w:rsidRPr="00605EBD">
        <w:t>3</w:t>
      </w:r>
      <w:r w:rsidRPr="00605EBD">
        <w:t xml:space="preserve"> have been updated and republished.  </w:t>
      </w:r>
      <w:r w:rsidR="00C37DBC" w:rsidRPr="00605EBD">
        <w:t>All</w:t>
      </w:r>
      <w:r w:rsidRPr="00605EBD">
        <w:t xml:space="preserve"> these documents are available at </w:t>
      </w:r>
      <w:hyperlink r:id="rId15" w:history="1">
        <w:r w:rsidR="00E22830" w:rsidRPr="00605EBD">
          <w:rPr>
            <w:rStyle w:val="Hyperlink"/>
          </w:rPr>
          <w:t>www.torbay.gov.uk/budget-2023</w:t>
        </w:r>
      </w:hyperlink>
      <w:proofErr w:type="gramStart"/>
      <w:r w:rsidR="00E22830" w:rsidRPr="00605EBD">
        <w:rPr>
          <w:u w:val="single"/>
        </w:rPr>
        <w:t>24</w:t>
      </w:r>
      <w:proofErr w:type="gramEnd"/>
    </w:p>
    <w:p w14:paraId="27E0BEC3" w14:textId="2D82F368" w:rsidR="006526DF" w:rsidRPr="00605EBD" w:rsidRDefault="006526DF" w:rsidP="006526DF">
      <w:r w:rsidRPr="00605EBD">
        <w:t>This report reflects the feedback received and outlines the changes that have been made to the Cabinet’s proposals as a result.  It also reflects the</w:t>
      </w:r>
      <w:r w:rsidR="008D0B2E" w:rsidRPr="00605EBD">
        <w:t xml:space="preserve"> </w:t>
      </w:r>
      <w:r w:rsidR="009259C1" w:rsidRPr="00605EBD">
        <w:t>further Government announcements on local authority spending which have been received since the draft budget proposals were published.</w:t>
      </w:r>
    </w:p>
    <w:p w14:paraId="7402FB3B" w14:textId="61BA22A7" w:rsidR="006526DF" w:rsidRPr="00CD5C1B" w:rsidRDefault="006526DF" w:rsidP="006526DF">
      <w:r w:rsidRPr="00605EBD">
        <w:t xml:space="preserve">Alongside this document </w:t>
      </w:r>
      <w:r w:rsidR="00C37DBC" w:rsidRPr="00605EBD">
        <w:t>several</w:t>
      </w:r>
      <w:r w:rsidRPr="00605EBD">
        <w:t xml:space="preserve"> others will be published and will be available on the Council’s website (</w:t>
      </w:r>
      <w:hyperlink r:id="rId16" w:history="1">
        <w:r w:rsidRPr="00605EBD">
          <w:rPr>
            <w:rStyle w:val="Hyperlink"/>
          </w:rPr>
          <w:t>www.torbay.gov.uk/budget-202</w:t>
        </w:r>
      </w:hyperlink>
      <w:r w:rsidR="00CC5B68" w:rsidRPr="00605EBD">
        <w:rPr>
          <w:rStyle w:val="Hyperlink"/>
        </w:rPr>
        <w:t>324</w:t>
      </w:r>
      <w:r w:rsidRPr="00605EBD">
        <w:t>) and are listed below:</w:t>
      </w:r>
    </w:p>
    <w:p w14:paraId="76F501C0" w14:textId="4374DA1A" w:rsidR="007B7706" w:rsidRDefault="007B7706" w:rsidP="0074367F">
      <w:pPr>
        <w:pStyle w:val="squarebullets"/>
        <w:ind w:left="720"/>
        <w:contextualSpacing w:val="0"/>
      </w:pPr>
      <w:r w:rsidRPr="0074367F">
        <w:rPr>
          <w:b/>
          <w:bCs/>
        </w:rPr>
        <w:t>Torbay Council – Revenue Budget Digest</w:t>
      </w:r>
      <w:r w:rsidR="00254498">
        <w:rPr>
          <w:b/>
          <w:bCs/>
        </w:rPr>
        <w:t xml:space="preserve"> 202</w:t>
      </w:r>
      <w:r w:rsidR="00CC5B68">
        <w:rPr>
          <w:b/>
          <w:bCs/>
        </w:rPr>
        <w:t>3/24</w:t>
      </w:r>
      <w:r w:rsidRPr="007B7706">
        <w:br/>
        <w:t xml:space="preserve">This provides a description of what each Council service does and how much it is proposed that they will spend next year including how much income they will receive.  </w:t>
      </w:r>
    </w:p>
    <w:p w14:paraId="28DD4A4D" w14:textId="08F58C8E" w:rsidR="006357F8" w:rsidRPr="007B7706" w:rsidRDefault="006357F8" w:rsidP="0074367F">
      <w:pPr>
        <w:pStyle w:val="squarebullets"/>
        <w:ind w:left="720"/>
        <w:contextualSpacing w:val="0"/>
      </w:pPr>
      <w:r>
        <w:rPr>
          <w:b/>
          <w:bCs/>
        </w:rPr>
        <w:t>Chief Finance Officer’s Report</w:t>
      </w:r>
      <w:r>
        <w:rPr>
          <w:b/>
          <w:bCs/>
        </w:rPr>
        <w:br/>
      </w:r>
      <w:r w:rsidRPr="009C08B5">
        <w:t xml:space="preserve">This provides </w:t>
      </w:r>
      <w:r w:rsidR="000C3DF6" w:rsidRPr="009C08B5">
        <w:t xml:space="preserve">a more detailed narrative in relation to the </w:t>
      </w:r>
      <w:r w:rsidR="00BD575C">
        <w:t>2023/24</w:t>
      </w:r>
      <w:r w:rsidR="000C3DF6" w:rsidRPr="009C08B5">
        <w:t xml:space="preserve"> Council</w:t>
      </w:r>
      <w:r w:rsidR="00177DAE">
        <w:t xml:space="preserve"> budget</w:t>
      </w:r>
      <w:r w:rsidR="00565C57">
        <w:t>.</w:t>
      </w:r>
    </w:p>
    <w:p w14:paraId="324F6CA1" w14:textId="77777777" w:rsidR="007B7706" w:rsidRPr="007B7706" w:rsidRDefault="007B7706" w:rsidP="0074367F">
      <w:pPr>
        <w:pStyle w:val="squarebullets"/>
        <w:ind w:left="720"/>
        <w:contextualSpacing w:val="0"/>
      </w:pPr>
      <w:r w:rsidRPr="0074367F">
        <w:rPr>
          <w:b/>
          <w:bCs/>
        </w:rPr>
        <w:t>Fees and Charges</w:t>
      </w:r>
      <w:r w:rsidRPr="007B7706">
        <w:br/>
        <w:t>The amount that the Council proposes to charge for its services over the next year.</w:t>
      </w:r>
    </w:p>
    <w:p w14:paraId="70EC478C" w14:textId="653C3BB3" w:rsidR="001A6DEF" w:rsidRDefault="007B7706" w:rsidP="00C37DBC">
      <w:pPr>
        <w:pStyle w:val="squarebullets"/>
        <w:ind w:left="714" w:hanging="357"/>
        <w:contextualSpacing w:val="0"/>
      </w:pPr>
      <w:r w:rsidRPr="0074367F">
        <w:rPr>
          <w:b/>
          <w:bCs/>
        </w:rPr>
        <w:t>Capital Plan 2023</w:t>
      </w:r>
      <w:r w:rsidR="00BD575C">
        <w:rPr>
          <w:b/>
          <w:bCs/>
        </w:rPr>
        <w:t>/24</w:t>
      </w:r>
      <w:r w:rsidRPr="007B7706">
        <w:br/>
        <w:t>This explains which capital schemes the Council plans to fund over the coming year.</w:t>
      </w:r>
    </w:p>
    <w:p w14:paraId="5BFF8F4A" w14:textId="50C77524" w:rsidR="009C600F" w:rsidRPr="007B7706" w:rsidRDefault="009C600F" w:rsidP="009C600F">
      <w:pPr>
        <w:pStyle w:val="squarebullets"/>
        <w:ind w:left="720"/>
        <w:contextualSpacing w:val="0"/>
      </w:pPr>
      <w:r>
        <w:rPr>
          <w:b/>
          <w:bCs/>
        </w:rPr>
        <w:t>Reserves</w:t>
      </w:r>
      <w:r>
        <w:rPr>
          <w:b/>
          <w:bCs/>
        </w:rPr>
        <w:br/>
      </w:r>
      <w:r>
        <w:t>The current and forecast position on the use of the Council’s reserves.</w:t>
      </w:r>
    </w:p>
    <w:p w14:paraId="11219E33" w14:textId="2973D8CA" w:rsidR="00F21C81" w:rsidRDefault="007B7706" w:rsidP="0074367F">
      <w:pPr>
        <w:pStyle w:val="squarebullets"/>
        <w:numPr>
          <w:ilvl w:val="0"/>
          <w:numId w:val="0"/>
        </w:numPr>
        <w:contextualSpacing w:val="0"/>
      </w:pPr>
      <w:r w:rsidRPr="004C1C65">
        <w:t>Other documents</w:t>
      </w:r>
      <w:r w:rsidR="0074367F">
        <w:t>,</w:t>
      </w:r>
      <w:r w:rsidRPr="004C1C65">
        <w:t xml:space="preserve"> which will be updated and published on the Council’s website</w:t>
      </w:r>
      <w:r w:rsidR="0074367F">
        <w:t>,</w:t>
      </w:r>
      <w:r w:rsidRPr="004C1C65">
        <w:t xml:space="preserve"> will include the Capital Strategy</w:t>
      </w:r>
      <w:r w:rsidR="00751889" w:rsidRPr="004C1C65">
        <w:t>,</w:t>
      </w:r>
      <w:r w:rsidR="00F21C81">
        <w:t xml:space="preserve"> and </w:t>
      </w:r>
      <w:r w:rsidRPr="004C1C65">
        <w:t>the Treasury Management Plan</w:t>
      </w:r>
      <w:r w:rsidR="00F21C81">
        <w:t>.</w:t>
      </w:r>
    </w:p>
    <w:p w14:paraId="174F8455" w14:textId="208D956E" w:rsidR="00382F33" w:rsidRDefault="00BB6BB8" w:rsidP="00074864">
      <w:r>
        <w:t xml:space="preserve">The Cabinet’s final budget proposals will be considered at the </w:t>
      </w:r>
      <w:r w:rsidR="00565C57">
        <w:t>m</w:t>
      </w:r>
      <w:r>
        <w:t xml:space="preserve">eeting of the Council being held on </w:t>
      </w:r>
      <w:r w:rsidR="0057088B">
        <w:t>7</w:t>
      </w:r>
      <w:r w:rsidR="005023C4">
        <w:t xml:space="preserve"> March 202</w:t>
      </w:r>
      <w:r w:rsidR="00E7671B">
        <w:t>3</w:t>
      </w:r>
      <w:r w:rsidR="001C2BE3">
        <w:t xml:space="preserve"> when the budget will be decided (by a simple majority vote) </w:t>
      </w:r>
      <w:r w:rsidR="00EE56F6">
        <w:t xml:space="preserve">and the Council Tax levels will be set.  This will include the precepts from </w:t>
      </w:r>
      <w:r w:rsidR="00382F33">
        <w:t>t</w:t>
      </w:r>
      <w:r w:rsidR="00382F33" w:rsidRPr="002618B7">
        <w:t>he Devon and Somerset Fire and Rescue Authority, the Devon and Cornwall Police and Crime Commissioner and Brixham Town Council</w:t>
      </w:r>
      <w:r w:rsidR="00382F33">
        <w:t>,</w:t>
      </w:r>
      <w:r w:rsidR="00382F33" w:rsidRPr="002618B7">
        <w:t xml:space="preserve"> </w:t>
      </w:r>
      <w:r w:rsidR="00382F33">
        <w:t xml:space="preserve">with an </w:t>
      </w:r>
      <w:r w:rsidR="00382F33" w:rsidRPr="002618B7">
        <w:t>overall Council Tax for Torbay</w:t>
      </w:r>
      <w:r w:rsidR="00382F33">
        <w:t xml:space="preserve"> being set.</w:t>
      </w:r>
    </w:p>
    <w:p w14:paraId="098CD7F7" w14:textId="3301C92E" w:rsidR="00074864" w:rsidRDefault="00074864" w:rsidP="00E7671B">
      <w:r w:rsidRPr="00B86C51">
        <w:t xml:space="preserve">Details of the meetings when the budget proposals will be discussed are available on the Council’s website:  </w:t>
      </w:r>
      <w:hyperlink r:id="rId17" w:history="1">
        <w:r w:rsidRPr="002D772E">
          <w:rPr>
            <w:u w:val="single"/>
          </w:rPr>
          <w:t>www.torbay.gov.uk/meetings-and-decisions</w:t>
        </w:r>
      </w:hyperlink>
      <w:r w:rsidRPr="002D772E">
        <w:t xml:space="preserve"> </w:t>
      </w:r>
    </w:p>
    <w:p w14:paraId="649D6CBD" w14:textId="77777777" w:rsidR="00014163" w:rsidRDefault="00014163">
      <w:pPr>
        <w:spacing w:line="264" w:lineRule="auto"/>
      </w:pPr>
      <w:bookmarkStart w:id="11" w:name="_Toc30411014"/>
      <w:bookmarkStart w:id="12" w:name="_Toc61257244"/>
      <w:r>
        <w:br w:type="page"/>
      </w:r>
    </w:p>
    <w:p w14:paraId="7010D3FF" w14:textId="0F604C7A" w:rsidR="00014163" w:rsidRPr="00014163" w:rsidRDefault="00014163" w:rsidP="00014163">
      <w:pPr>
        <w:pStyle w:val="Heading1"/>
      </w:pPr>
      <w:bookmarkStart w:id="13" w:name="_Toc127951260"/>
      <w:r w:rsidRPr="00014163">
        <w:lastRenderedPageBreak/>
        <w:t>Revenue Budget 202</w:t>
      </w:r>
      <w:r w:rsidR="001036E2">
        <w:t>3/2024</w:t>
      </w:r>
      <w:bookmarkEnd w:id="11"/>
      <w:bookmarkEnd w:id="12"/>
      <w:bookmarkEnd w:id="13"/>
    </w:p>
    <w:p w14:paraId="185C6992" w14:textId="1933248D" w:rsidR="00014163" w:rsidRPr="00014163" w:rsidRDefault="00014163" w:rsidP="004D1386">
      <w:pPr>
        <w:pStyle w:val="Heading2"/>
      </w:pPr>
      <w:bookmarkStart w:id="14" w:name="_Toc61257246"/>
      <w:bookmarkStart w:id="15" w:name="_Toc127951261"/>
      <w:r w:rsidRPr="00014163">
        <w:t>Proposed Changes to the 202</w:t>
      </w:r>
      <w:r w:rsidR="001036E2">
        <w:t>3/2024</w:t>
      </w:r>
      <w:r w:rsidRPr="00014163">
        <w:t xml:space="preserve"> Revenue Budget</w:t>
      </w:r>
      <w:bookmarkEnd w:id="14"/>
      <w:bookmarkEnd w:id="15"/>
    </w:p>
    <w:p w14:paraId="0E07323F" w14:textId="6B7B78E5" w:rsidR="004832BA" w:rsidRDefault="00014163" w:rsidP="00C37DBC">
      <w:r w:rsidRPr="00014163">
        <w:t xml:space="preserve">Since the Cabinet’s budget proposals were issued in </w:t>
      </w:r>
      <w:r w:rsidR="00224ADF">
        <w:t>January 202</w:t>
      </w:r>
      <w:r w:rsidR="001036E2">
        <w:t>3</w:t>
      </w:r>
      <w:r w:rsidR="00224ADF">
        <w:t>,</w:t>
      </w:r>
      <w:r w:rsidR="00A27066">
        <w:t xml:space="preserve"> we have continued to review the assumptions upon which we based our proposals</w:t>
      </w:r>
      <w:r w:rsidR="00140F6E">
        <w:t xml:space="preserve">.  In </w:t>
      </w:r>
      <w:r w:rsidR="00224ADF">
        <w:t>addition,</w:t>
      </w:r>
      <w:r w:rsidR="00140F6E">
        <w:t xml:space="preserve"> further </w:t>
      </w:r>
      <w:r w:rsidR="00E6158F">
        <w:t>updates</w:t>
      </w:r>
      <w:r w:rsidR="00140F6E">
        <w:t xml:space="preserve"> have been received on funding levels </w:t>
      </w:r>
      <w:r w:rsidR="004832BA">
        <w:t>including on the amount of National Non-Domestic Rates (Business Rates)</w:t>
      </w:r>
      <w:r w:rsidRPr="00014163">
        <w:t xml:space="preserve"> </w:t>
      </w:r>
      <w:r w:rsidR="004832BA">
        <w:t>income that we will receive in the next financial year.</w:t>
      </w:r>
    </w:p>
    <w:p w14:paraId="2AF252B3" w14:textId="77777777" w:rsidR="00014163" w:rsidRPr="00014163" w:rsidRDefault="00014163" w:rsidP="00C37DBC">
      <w:pPr>
        <w:rPr>
          <w:u w:val="single"/>
        </w:rPr>
      </w:pPr>
      <w:r w:rsidRPr="00014163">
        <w:t xml:space="preserve">We have also considered the views of the wider community and those of the Council’s Overview and Scrutiny Board which have been provided during the consultation period.  </w:t>
      </w:r>
    </w:p>
    <w:p w14:paraId="5A8CF0FD" w14:textId="0C0F9707" w:rsidR="00014163" w:rsidRPr="00014163" w:rsidRDefault="004C1967" w:rsidP="00C37DBC">
      <w:r>
        <w:t>A</w:t>
      </w:r>
      <w:r w:rsidR="00014163" w:rsidRPr="00014163">
        <w:t xml:space="preserve"> summary of the changes in income and expenditure since the initial proposals were published is set out in Table </w:t>
      </w:r>
      <w:r w:rsidR="00D00328" w:rsidRPr="00224ADF">
        <w:t>1</w:t>
      </w:r>
      <w:r w:rsidR="00014163" w:rsidRPr="00014163">
        <w:t xml:space="preserve">.  This includes changes to our original proposals </w:t>
      </w:r>
      <w:r w:rsidRPr="00224ADF">
        <w:t>as well</w:t>
      </w:r>
      <w:r w:rsidR="00224ADF" w:rsidRPr="00224ADF">
        <w:t xml:space="preserve"> proposals to meet emerging </w:t>
      </w:r>
      <w:r w:rsidR="00014163" w:rsidRPr="00014163">
        <w:t>pressures within the Council’s services.</w:t>
      </w:r>
    </w:p>
    <w:tbl>
      <w:tblPr>
        <w:tblW w:w="10348" w:type="dxa"/>
        <w:tblInd w:w="-147" w:type="dxa"/>
        <w:tblBorders>
          <w:top w:val="single" w:sz="4" w:space="0" w:color="002F6C" w:themeColor="text1"/>
          <w:left w:val="single" w:sz="4" w:space="0" w:color="002F6C" w:themeColor="text1"/>
          <w:bottom w:val="single" w:sz="4" w:space="0" w:color="002F6C" w:themeColor="text1"/>
          <w:right w:val="single" w:sz="4" w:space="0" w:color="002F6C" w:themeColor="text1"/>
          <w:insideH w:val="single" w:sz="4" w:space="0" w:color="002F6C" w:themeColor="text1"/>
          <w:insideV w:val="single" w:sz="4" w:space="0" w:color="002F6C" w:themeColor="tex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4252"/>
      </w:tblGrid>
      <w:tr w:rsidR="00E55B0B" w:rsidRPr="00014163" w14:paraId="5BDD7FCA" w14:textId="77777777" w:rsidTr="006F0EDE">
        <w:trPr>
          <w:trHeight w:val="397"/>
        </w:trPr>
        <w:tc>
          <w:tcPr>
            <w:tcW w:w="2552" w:type="dxa"/>
            <w:shd w:val="clear" w:color="auto" w:fill="002F6C" w:themeFill="text1"/>
            <w:vAlign w:val="center"/>
          </w:tcPr>
          <w:p w14:paraId="5EE87245" w14:textId="77777777" w:rsidR="00014163" w:rsidRPr="00014163" w:rsidRDefault="00014163" w:rsidP="00014163">
            <w:pPr>
              <w:spacing w:line="264" w:lineRule="auto"/>
              <w:rPr>
                <w:b/>
              </w:rPr>
            </w:pPr>
            <w:r w:rsidRPr="00014163">
              <w:rPr>
                <w:b/>
              </w:rPr>
              <w:t>Description</w:t>
            </w:r>
          </w:p>
        </w:tc>
        <w:tc>
          <w:tcPr>
            <w:tcW w:w="1701" w:type="dxa"/>
            <w:shd w:val="clear" w:color="auto" w:fill="002F6C" w:themeFill="text1"/>
          </w:tcPr>
          <w:p w14:paraId="1674B79B" w14:textId="4BDDD67F" w:rsidR="00014163" w:rsidRPr="00014163" w:rsidRDefault="00014163" w:rsidP="00014163">
            <w:pPr>
              <w:spacing w:line="264" w:lineRule="auto"/>
              <w:rPr>
                <w:b/>
              </w:rPr>
            </w:pPr>
            <w:r w:rsidRPr="00014163">
              <w:rPr>
                <w:b/>
              </w:rPr>
              <w:t>Reduction in Expenditure/</w:t>
            </w:r>
            <w:r w:rsidRPr="00014163">
              <w:rPr>
                <w:b/>
              </w:rPr>
              <w:br/>
              <w:t>Higher Income</w:t>
            </w:r>
            <w:r w:rsidRPr="00014163">
              <w:rPr>
                <w:b/>
              </w:rPr>
              <w:br/>
              <w:t>£</w:t>
            </w:r>
            <w:r w:rsidR="00FE14D7">
              <w:rPr>
                <w:b/>
              </w:rPr>
              <w:t>k</w:t>
            </w:r>
          </w:p>
        </w:tc>
        <w:tc>
          <w:tcPr>
            <w:tcW w:w="1843" w:type="dxa"/>
            <w:shd w:val="clear" w:color="auto" w:fill="002F6C" w:themeFill="text1"/>
          </w:tcPr>
          <w:p w14:paraId="16B4766D" w14:textId="34749EB1" w:rsidR="00014163" w:rsidRPr="00014163" w:rsidRDefault="00014163" w:rsidP="00014163">
            <w:pPr>
              <w:spacing w:line="264" w:lineRule="auto"/>
              <w:rPr>
                <w:b/>
              </w:rPr>
            </w:pPr>
            <w:r w:rsidRPr="00014163">
              <w:rPr>
                <w:b/>
              </w:rPr>
              <w:t>Increase in Expenditure/</w:t>
            </w:r>
            <w:r w:rsidRPr="00014163">
              <w:rPr>
                <w:b/>
              </w:rPr>
              <w:br/>
              <w:t>Lower Income</w:t>
            </w:r>
            <w:r w:rsidRPr="00014163">
              <w:rPr>
                <w:b/>
              </w:rPr>
              <w:br/>
              <w:t>£</w:t>
            </w:r>
            <w:r w:rsidR="00FE14D7">
              <w:rPr>
                <w:b/>
              </w:rPr>
              <w:t>k</w:t>
            </w:r>
          </w:p>
        </w:tc>
        <w:tc>
          <w:tcPr>
            <w:tcW w:w="4252" w:type="dxa"/>
            <w:shd w:val="clear" w:color="auto" w:fill="002F6C" w:themeFill="text1"/>
            <w:vAlign w:val="center"/>
          </w:tcPr>
          <w:p w14:paraId="242FE128" w14:textId="77777777" w:rsidR="00014163" w:rsidRPr="00014163" w:rsidRDefault="00014163" w:rsidP="00014163">
            <w:pPr>
              <w:spacing w:line="264" w:lineRule="auto"/>
              <w:rPr>
                <w:b/>
              </w:rPr>
            </w:pPr>
            <w:r w:rsidRPr="00014163">
              <w:rPr>
                <w:b/>
              </w:rPr>
              <w:t>Commentary</w:t>
            </w:r>
          </w:p>
        </w:tc>
      </w:tr>
      <w:tr w:rsidR="00E55B0B" w:rsidRPr="00014163" w14:paraId="0B041B6D" w14:textId="77777777" w:rsidTr="00B51A7D">
        <w:trPr>
          <w:trHeight w:val="397"/>
        </w:trPr>
        <w:tc>
          <w:tcPr>
            <w:tcW w:w="2552" w:type="dxa"/>
            <w:vAlign w:val="center"/>
          </w:tcPr>
          <w:p w14:paraId="1BF1DFA3" w14:textId="0AF1E751" w:rsidR="0010500B" w:rsidRDefault="00D70015" w:rsidP="00B51A7D">
            <w:pPr>
              <w:spacing w:before="100" w:beforeAutospacing="1" w:after="100" w:afterAutospacing="1" w:line="264" w:lineRule="auto"/>
              <w:contextualSpacing/>
            </w:pPr>
            <w:r>
              <w:t>Reduced costs associated with English Riviera Air Show</w:t>
            </w:r>
          </w:p>
        </w:tc>
        <w:tc>
          <w:tcPr>
            <w:tcW w:w="1701" w:type="dxa"/>
            <w:vAlign w:val="center"/>
          </w:tcPr>
          <w:p w14:paraId="291D433D" w14:textId="77777777" w:rsidR="0010500B" w:rsidRPr="00014163" w:rsidRDefault="0010500B" w:rsidP="00B51A7D">
            <w:pPr>
              <w:spacing w:before="100" w:beforeAutospacing="1" w:after="100" w:afterAutospacing="1" w:line="264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62A93886" w14:textId="41AD808D" w:rsidR="0010500B" w:rsidRDefault="00200B31" w:rsidP="00B51A7D">
            <w:pPr>
              <w:spacing w:before="100" w:beforeAutospacing="1" w:after="100" w:afterAutospacing="1" w:line="264" w:lineRule="auto"/>
              <w:contextualSpacing/>
              <w:jc w:val="right"/>
            </w:pPr>
            <w:r>
              <w:t>50</w:t>
            </w:r>
          </w:p>
        </w:tc>
        <w:tc>
          <w:tcPr>
            <w:tcW w:w="4252" w:type="dxa"/>
            <w:vAlign w:val="center"/>
          </w:tcPr>
          <w:p w14:paraId="10EA63D2" w14:textId="68F49440" w:rsidR="0010500B" w:rsidRDefault="007769F9" w:rsidP="00B51A7D">
            <w:pPr>
              <w:spacing w:before="100" w:beforeAutospacing="1" w:after="100" w:afterAutospacing="1" w:line="264" w:lineRule="auto"/>
              <w:contextualSpacing/>
            </w:pPr>
            <w:r>
              <w:t>Whilst we will continue to seek sponsorship for the Air Show, it is recognised that, in the current economic climate, the target</w:t>
            </w:r>
            <w:r w:rsidR="005D627F">
              <w:t xml:space="preserve"> proposed</w:t>
            </w:r>
            <w:r>
              <w:t xml:space="preserve"> may not be met</w:t>
            </w:r>
            <w:r w:rsidR="00870637">
              <w:t xml:space="preserve"> and additional money will be included in the budget.</w:t>
            </w:r>
          </w:p>
        </w:tc>
      </w:tr>
      <w:tr w:rsidR="00E55B0B" w:rsidRPr="00014163" w14:paraId="05E84AB6" w14:textId="77777777" w:rsidTr="00B51A7D">
        <w:trPr>
          <w:trHeight w:val="397"/>
        </w:trPr>
        <w:tc>
          <w:tcPr>
            <w:tcW w:w="2552" w:type="dxa"/>
            <w:vAlign w:val="center"/>
          </w:tcPr>
          <w:p w14:paraId="2FC80295" w14:textId="112DE3AA" w:rsidR="0096750D" w:rsidRDefault="0096750D" w:rsidP="00B51A7D">
            <w:pPr>
              <w:spacing w:before="100" w:beforeAutospacing="1" w:after="100" w:afterAutospacing="1" w:line="264" w:lineRule="auto"/>
              <w:contextualSpacing/>
            </w:pPr>
            <w:r>
              <w:t>TDA capital commitment</w:t>
            </w:r>
          </w:p>
        </w:tc>
        <w:tc>
          <w:tcPr>
            <w:tcW w:w="1701" w:type="dxa"/>
            <w:vAlign w:val="center"/>
          </w:tcPr>
          <w:p w14:paraId="2717DED4" w14:textId="77777777" w:rsidR="0096750D" w:rsidRPr="00014163" w:rsidRDefault="0096750D" w:rsidP="00B51A7D">
            <w:pPr>
              <w:spacing w:before="100" w:beforeAutospacing="1" w:after="100" w:afterAutospacing="1" w:line="264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59CC368B" w14:textId="05EC5784" w:rsidR="0096750D" w:rsidRDefault="00727DF9" w:rsidP="00B51A7D">
            <w:pPr>
              <w:spacing w:before="100" w:beforeAutospacing="1" w:after="100" w:afterAutospacing="1" w:line="264" w:lineRule="auto"/>
              <w:contextualSpacing/>
              <w:jc w:val="right"/>
            </w:pPr>
            <w:r>
              <w:t>200</w:t>
            </w:r>
          </w:p>
        </w:tc>
        <w:tc>
          <w:tcPr>
            <w:tcW w:w="4252" w:type="dxa"/>
            <w:vAlign w:val="center"/>
          </w:tcPr>
          <w:p w14:paraId="0A554FEF" w14:textId="4141F420" w:rsidR="0096750D" w:rsidRDefault="005774C5" w:rsidP="00B51A7D">
            <w:pPr>
              <w:spacing w:before="100" w:beforeAutospacing="1" w:after="100" w:afterAutospacing="1" w:line="264" w:lineRule="auto"/>
              <w:contextualSpacing/>
            </w:pPr>
            <w:r>
              <w:t>Taking account of the views of the Overview and Scrutiny Board, t</w:t>
            </w:r>
            <w:r w:rsidR="00BD0419">
              <w:t>his proposal will not be taken forward</w:t>
            </w:r>
            <w:r w:rsidR="00384C5C">
              <w:t xml:space="preserve"> in light of the work of TDA in delivering the Torbay Economic Growth Strategy.</w:t>
            </w:r>
          </w:p>
        </w:tc>
      </w:tr>
      <w:tr w:rsidR="00E55B0B" w:rsidRPr="00014163" w14:paraId="05F3F4E4" w14:textId="77777777" w:rsidTr="00B51A7D">
        <w:trPr>
          <w:trHeight w:val="397"/>
        </w:trPr>
        <w:tc>
          <w:tcPr>
            <w:tcW w:w="2552" w:type="dxa"/>
            <w:vAlign w:val="center"/>
          </w:tcPr>
          <w:p w14:paraId="0B71B348" w14:textId="0E783CF9" w:rsidR="003828EA" w:rsidRDefault="00C16FFC" w:rsidP="00B51A7D">
            <w:pPr>
              <w:spacing w:before="100" w:beforeAutospacing="1" w:after="100" w:afterAutospacing="1" w:line="264" w:lineRule="auto"/>
              <w:contextualSpacing/>
            </w:pPr>
            <w:r>
              <w:t>Community swimming pools</w:t>
            </w:r>
          </w:p>
        </w:tc>
        <w:tc>
          <w:tcPr>
            <w:tcW w:w="1701" w:type="dxa"/>
            <w:vAlign w:val="center"/>
          </w:tcPr>
          <w:p w14:paraId="23F78DA0" w14:textId="77777777" w:rsidR="003828EA" w:rsidRPr="00014163" w:rsidRDefault="003828EA" w:rsidP="00B51A7D">
            <w:pPr>
              <w:spacing w:before="100" w:beforeAutospacing="1" w:after="100" w:afterAutospacing="1" w:line="264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6B010B61" w14:textId="0B9CFBDD" w:rsidR="003828EA" w:rsidRDefault="005818E0" w:rsidP="00B51A7D">
            <w:pPr>
              <w:spacing w:before="100" w:beforeAutospacing="1" w:after="100" w:afterAutospacing="1" w:line="264" w:lineRule="auto"/>
              <w:contextualSpacing/>
              <w:jc w:val="right"/>
            </w:pPr>
            <w:r>
              <w:t>24</w:t>
            </w:r>
          </w:p>
        </w:tc>
        <w:tc>
          <w:tcPr>
            <w:tcW w:w="4252" w:type="dxa"/>
            <w:vAlign w:val="center"/>
          </w:tcPr>
          <w:p w14:paraId="221E7825" w14:textId="14A2279D" w:rsidR="003828EA" w:rsidRDefault="0016084E" w:rsidP="00B51A7D">
            <w:pPr>
              <w:spacing w:before="100" w:beforeAutospacing="1" w:after="100" w:afterAutospacing="1" w:line="264" w:lineRule="auto"/>
              <w:contextualSpacing/>
            </w:pPr>
            <w:r>
              <w:t>£1</w:t>
            </w:r>
            <w:r w:rsidR="005818E0">
              <w:t>2</w:t>
            </w:r>
            <w:r>
              <w:t xml:space="preserve">,000 </w:t>
            </w:r>
            <w:r w:rsidR="00EF155D">
              <w:t xml:space="preserve">grant </w:t>
            </w:r>
            <w:r>
              <w:t xml:space="preserve">per annum for </w:t>
            </w:r>
            <w:r w:rsidR="00441D71">
              <w:t xml:space="preserve">both </w:t>
            </w:r>
            <w:r w:rsidR="00EF155D">
              <w:t>Admiral Swimming Pool and Swim Torquay towards their</w:t>
            </w:r>
            <w:r w:rsidR="005F13AD">
              <w:t xml:space="preserve"> ongoing costs</w:t>
            </w:r>
            <w:proofErr w:type="gramStart"/>
            <w:r w:rsidR="005F13AD">
              <w:t>.</w:t>
            </w:r>
            <w:r w:rsidR="00EF155D">
              <w:t xml:space="preserve"> </w:t>
            </w:r>
            <w:proofErr w:type="gramEnd"/>
          </w:p>
        </w:tc>
      </w:tr>
      <w:tr w:rsidR="00E55B0B" w:rsidRPr="00014163" w14:paraId="3B37426D" w14:textId="77777777" w:rsidTr="00B51A7D">
        <w:trPr>
          <w:trHeight w:val="397"/>
        </w:trPr>
        <w:tc>
          <w:tcPr>
            <w:tcW w:w="2552" w:type="dxa"/>
            <w:vAlign w:val="center"/>
          </w:tcPr>
          <w:p w14:paraId="24C0551B" w14:textId="0350E1B5" w:rsidR="005F13AD" w:rsidRDefault="001A7DBD" w:rsidP="00B51A7D">
            <w:pPr>
              <w:spacing w:before="100" w:beforeAutospacing="1" w:after="100" w:afterAutospacing="1" w:line="264" w:lineRule="auto"/>
              <w:contextualSpacing/>
            </w:pPr>
            <w:r>
              <w:t>Town centre</w:t>
            </w:r>
            <w:r w:rsidR="00B17B9B">
              <w:t xml:space="preserve"> improvements</w:t>
            </w:r>
          </w:p>
        </w:tc>
        <w:tc>
          <w:tcPr>
            <w:tcW w:w="1701" w:type="dxa"/>
            <w:vAlign w:val="center"/>
          </w:tcPr>
          <w:p w14:paraId="018DB8A4" w14:textId="77777777" w:rsidR="005F13AD" w:rsidRPr="00014163" w:rsidRDefault="005F13AD" w:rsidP="00B51A7D">
            <w:pPr>
              <w:spacing w:before="100" w:beforeAutospacing="1" w:after="100" w:afterAutospacing="1" w:line="264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34F11829" w14:textId="65C3FE28" w:rsidR="005F13AD" w:rsidRDefault="001A7DBD" w:rsidP="00B51A7D">
            <w:pPr>
              <w:spacing w:before="100" w:beforeAutospacing="1" w:after="100" w:afterAutospacing="1" w:line="264" w:lineRule="auto"/>
              <w:contextualSpacing/>
              <w:jc w:val="right"/>
            </w:pPr>
            <w:r>
              <w:t>100</w:t>
            </w:r>
          </w:p>
        </w:tc>
        <w:tc>
          <w:tcPr>
            <w:tcW w:w="4252" w:type="dxa"/>
            <w:vAlign w:val="center"/>
          </w:tcPr>
          <w:p w14:paraId="2038B9A9" w14:textId="134AE742" w:rsidR="005F13AD" w:rsidRDefault="006205B5" w:rsidP="00B51A7D">
            <w:pPr>
              <w:spacing w:before="100" w:beforeAutospacing="1" w:after="100" w:afterAutospacing="1" w:line="264" w:lineRule="auto"/>
              <w:contextualSpacing/>
            </w:pPr>
            <w:r>
              <w:rPr>
                <w:rStyle w:val="ui-provider"/>
              </w:rPr>
              <w:t xml:space="preserve">Introduction of a new role within the Council </w:t>
            </w:r>
            <w:r w:rsidR="00DB5FB3">
              <w:rPr>
                <w:rStyle w:val="ui-provider"/>
              </w:rPr>
              <w:t xml:space="preserve">focussed on </w:t>
            </w:r>
            <w:r w:rsidR="003F4D25">
              <w:rPr>
                <w:rStyle w:val="ui-provider"/>
              </w:rPr>
              <w:t xml:space="preserve">developing action plans, sourcing funding and working alongside stakeholders to </w:t>
            </w:r>
            <w:r w:rsidR="00DB5FB3">
              <w:rPr>
                <w:rStyle w:val="ui-provider"/>
              </w:rPr>
              <w:t>h</w:t>
            </w:r>
            <w:r w:rsidR="003F4D25">
              <w:rPr>
                <w:rStyle w:val="ui-provider"/>
              </w:rPr>
              <w:t xml:space="preserve">elp achieve </w:t>
            </w:r>
            <w:r w:rsidR="004170E1">
              <w:rPr>
                <w:rStyle w:val="ui-provider"/>
              </w:rPr>
              <w:t xml:space="preserve">the Council’s </w:t>
            </w:r>
            <w:r w:rsidR="003F4D25">
              <w:rPr>
                <w:rStyle w:val="ui-provider"/>
              </w:rPr>
              <w:t xml:space="preserve">strategic ambitions for </w:t>
            </w:r>
            <w:r w:rsidR="004170E1">
              <w:rPr>
                <w:rStyle w:val="ui-provider"/>
              </w:rPr>
              <w:t>our town centres</w:t>
            </w:r>
            <w:r w:rsidR="003F4D25">
              <w:rPr>
                <w:rStyle w:val="ui-provider"/>
              </w:rPr>
              <w:t>.</w:t>
            </w:r>
          </w:p>
        </w:tc>
      </w:tr>
      <w:tr w:rsidR="00E55B0B" w:rsidRPr="00014163" w14:paraId="050B3C7F" w14:textId="77777777" w:rsidTr="00B51A7D">
        <w:trPr>
          <w:trHeight w:val="397"/>
        </w:trPr>
        <w:tc>
          <w:tcPr>
            <w:tcW w:w="2552" w:type="dxa"/>
            <w:vAlign w:val="center"/>
          </w:tcPr>
          <w:p w14:paraId="473DBDB2" w14:textId="5E14CAE2" w:rsidR="00CA1BDE" w:rsidRDefault="003D17B4" w:rsidP="00B51A7D">
            <w:pPr>
              <w:spacing w:before="100" w:beforeAutospacing="1" w:after="100" w:afterAutospacing="1" w:line="264" w:lineRule="auto"/>
              <w:contextualSpacing/>
            </w:pPr>
            <w:r>
              <w:t>Enforcement and heritage</w:t>
            </w:r>
          </w:p>
        </w:tc>
        <w:tc>
          <w:tcPr>
            <w:tcW w:w="1701" w:type="dxa"/>
            <w:vAlign w:val="center"/>
          </w:tcPr>
          <w:p w14:paraId="26A3399F" w14:textId="77777777" w:rsidR="00CA1BDE" w:rsidRPr="00014163" w:rsidRDefault="00CA1BDE" w:rsidP="00B51A7D">
            <w:pPr>
              <w:spacing w:before="100" w:beforeAutospacing="1" w:after="100" w:afterAutospacing="1" w:line="264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5EE64813" w14:textId="5951D281" w:rsidR="00CA1BDE" w:rsidRDefault="003D17B4" w:rsidP="00B51A7D">
            <w:pPr>
              <w:spacing w:before="100" w:beforeAutospacing="1" w:after="100" w:afterAutospacing="1" w:line="264" w:lineRule="auto"/>
              <w:contextualSpacing/>
              <w:jc w:val="right"/>
            </w:pPr>
            <w:r>
              <w:t>50</w:t>
            </w:r>
          </w:p>
        </w:tc>
        <w:tc>
          <w:tcPr>
            <w:tcW w:w="4252" w:type="dxa"/>
            <w:vAlign w:val="center"/>
          </w:tcPr>
          <w:p w14:paraId="4367ED66" w14:textId="24337ED6" w:rsidR="00CA1BDE" w:rsidRDefault="003D17B4" w:rsidP="00B51A7D">
            <w:pPr>
              <w:spacing w:before="100" w:beforeAutospacing="1" w:after="100" w:afterAutospacing="1" w:line="264" w:lineRule="auto"/>
              <w:contextualSpacing/>
            </w:pPr>
            <w:r>
              <w:t xml:space="preserve">Additional resources </w:t>
            </w:r>
            <w:r w:rsidR="00465FF4">
              <w:t>to support the Planning Service especially around enforcement and heritage works.</w:t>
            </w:r>
          </w:p>
        </w:tc>
      </w:tr>
      <w:tr w:rsidR="00E55B0B" w:rsidRPr="0013663F" w14:paraId="3C16217F" w14:textId="77777777" w:rsidTr="00B51A7D">
        <w:trPr>
          <w:trHeight w:val="397"/>
        </w:trPr>
        <w:tc>
          <w:tcPr>
            <w:tcW w:w="2552" w:type="dxa"/>
            <w:vAlign w:val="center"/>
          </w:tcPr>
          <w:p w14:paraId="37924DBD" w14:textId="77777777" w:rsidR="006F0EDE" w:rsidRPr="00C67257" w:rsidRDefault="006F0EDE" w:rsidP="00B51A7D">
            <w:pPr>
              <w:spacing w:before="100" w:beforeAutospacing="1" w:after="100" w:afterAutospacing="1" w:line="264" w:lineRule="auto"/>
              <w:contextualSpacing/>
            </w:pPr>
            <w:r w:rsidRPr="00C67257">
              <w:t>Sub total</w:t>
            </w:r>
          </w:p>
        </w:tc>
        <w:tc>
          <w:tcPr>
            <w:tcW w:w="1701" w:type="dxa"/>
            <w:vAlign w:val="center"/>
          </w:tcPr>
          <w:p w14:paraId="02BD1505" w14:textId="3A29CEE9" w:rsidR="006F0EDE" w:rsidRPr="00C67257" w:rsidRDefault="00465FF4" w:rsidP="00B51A7D">
            <w:pPr>
              <w:spacing w:before="100" w:beforeAutospacing="1" w:after="100" w:afterAutospacing="1" w:line="264" w:lineRule="auto"/>
              <w:contextualSpacing/>
              <w:jc w:val="right"/>
            </w:pPr>
            <w:r w:rsidRPr="00C67257">
              <w:t>0</w:t>
            </w:r>
          </w:p>
        </w:tc>
        <w:tc>
          <w:tcPr>
            <w:tcW w:w="1843" w:type="dxa"/>
            <w:vAlign w:val="center"/>
          </w:tcPr>
          <w:p w14:paraId="2ADC0DA0" w14:textId="4876DF79" w:rsidR="006F0EDE" w:rsidRPr="00C67257" w:rsidRDefault="00C67257" w:rsidP="00B51A7D">
            <w:pPr>
              <w:spacing w:before="100" w:beforeAutospacing="1" w:after="100" w:afterAutospacing="1" w:line="264" w:lineRule="auto"/>
              <w:contextualSpacing/>
              <w:jc w:val="right"/>
            </w:pPr>
            <w:r w:rsidRPr="00C67257">
              <w:t>42</w:t>
            </w:r>
            <w:r w:rsidR="00177DAE">
              <w:t>4</w:t>
            </w:r>
          </w:p>
        </w:tc>
        <w:tc>
          <w:tcPr>
            <w:tcW w:w="4252" w:type="dxa"/>
            <w:vAlign w:val="center"/>
          </w:tcPr>
          <w:p w14:paraId="57037E6E" w14:textId="77777777" w:rsidR="006F0EDE" w:rsidRPr="00C67257" w:rsidRDefault="006F0EDE" w:rsidP="00B51A7D">
            <w:pPr>
              <w:spacing w:before="100" w:beforeAutospacing="1" w:after="100" w:afterAutospacing="1" w:line="264" w:lineRule="auto"/>
              <w:contextualSpacing/>
            </w:pPr>
          </w:p>
        </w:tc>
      </w:tr>
      <w:tr w:rsidR="00E55B0B" w:rsidRPr="0013663F" w14:paraId="2E0EB563" w14:textId="77777777" w:rsidTr="00B51A7D">
        <w:trPr>
          <w:trHeight w:val="397"/>
        </w:trPr>
        <w:tc>
          <w:tcPr>
            <w:tcW w:w="2552" w:type="dxa"/>
            <w:vAlign w:val="center"/>
          </w:tcPr>
          <w:p w14:paraId="583C5B01" w14:textId="1C6BAEDD" w:rsidR="006F0EDE" w:rsidRPr="00A073AF" w:rsidRDefault="006F0EDE" w:rsidP="00B51A7D">
            <w:pPr>
              <w:spacing w:before="100" w:beforeAutospacing="1" w:after="100" w:afterAutospacing="1" w:line="264" w:lineRule="auto"/>
              <w:contextualSpacing/>
            </w:pPr>
            <w:r w:rsidRPr="00A073AF">
              <w:lastRenderedPageBreak/>
              <w:t>Increased N</w:t>
            </w:r>
            <w:r w:rsidR="005A6652" w:rsidRPr="00A073AF">
              <w:t xml:space="preserve">ational Non-Domestic Rate </w:t>
            </w:r>
            <w:r w:rsidRPr="00A073AF">
              <w:t>income</w:t>
            </w:r>
            <w:r w:rsidR="008E55CF" w:rsidRPr="00A073AF">
              <w:t xml:space="preserve"> and final</w:t>
            </w:r>
            <w:r w:rsidR="00A073AF" w:rsidRPr="00A073AF">
              <w:t xml:space="preserve"> Services Grant</w:t>
            </w:r>
          </w:p>
        </w:tc>
        <w:tc>
          <w:tcPr>
            <w:tcW w:w="1701" w:type="dxa"/>
            <w:vAlign w:val="center"/>
          </w:tcPr>
          <w:p w14:paraId="1E7C0E61" w14:textId="18C8FCB9" w:rsidR="006F0EDE" w:rsidRPr="00A073AF" w:rsidRDefault="00C67257" w:rsidP="00B51A7D">
            <w:pPr>
              <w:spacing w:before="100" w:beforeAutospacing="1" w:after="100" w:afterAutospacing="1" w:line="264" w:lineRule="auto"/>
              <w:contextualSpacing/>
              <w:jc w:val="right"/>
            </w:pPr>
            <w:r w:rsidRPr="00A073AF">
              <w:t>42</w:t>
            </w:r>
            <w:r w:rsidR="00177DAE">
              <w:t>4</w:t>
            </w:r>
          </w:p>
        </w:tc>
        <w:tc>
          <w:tcPr>
            <w:tcW w:w="1843" w:type="dxa"/>
            <w:vAlign w:val="center"/>
          </w:tcPr>
          <w:p w14:paraId="184070FD" w14:textId="77777777" w:rsidR="006F0EDE" w:rsidRPr="00A073AF" w:rsidRDefault="006F0EDE" w:rsidP="00B51A7D">
            <w:pPr>
              <w:spacing w:before="100" w:beforeAutospacing="1" w:after="100" w:afterAutospacing="1" w:line="264" w:lineRule="auto"/>
              <w:contextualSpacing/>
              <w:jc w:val="right"/>
            </w:pPr>
          </w:p>
        </w:tc>
        <w:tc>
          <w:tcPr>
            <w:tcW w:w="4252" w:type="dxa"/>
            <w:vAlign w:val="center"/>
          </w:tcPr>
          <w:p w14:paraId="7B3B53E7" w14:textId="3C82D4D9" w:rsidR="006F0EDE" w:rsidRPr="00A073AF" w:rsidRDefault="00ED3868" w:rsidP="00B51A7D">
            <w:pPr>
              <w:spacing w:before="100" w:beforeAutospacing="1" w:after="100" w:afterAutospacing="1" w:line="264" w:lineRule="auto"/>
              <w:contextualSpacing/>
            </w:pPr>
            <w:r w:rsidRPr="00A073AF">
              <w:t xml:space="preserve">Our level of NNDR income has now been </w:t>
            </w:r>
            <w:r w:rsidR="076BF398" w:rsidRPr="00A073AF">
              <w:t>forecast</w:t>
            </w:r>
            <w:r w:rsidRPr="00A073AF">
              <w:t xml:space="preserve"> as higher than previously assumed.</w:t>
            </w:r>
          </w:p>
        </w:tc>
      </w:tr>
      <w:tr w:rsidR="00E55B0B" w:rsidRPr="00C34627" w14:paraId="569B2BDE" w14:textId="77777777" w:rsidTr="00B51A7D">
        <w:trPr>
          <w:trHeight w:val="397"/>
        </w:trPr>
        <w:tc>
          <w:tcPr>
            <w:tcW w:w="2552" w:type="dxa"/>
            <w:vAlign w:val="center"/>
          </w:tcPr>
          <w:p w14:paraId="0551632C" w14:textId="77777777" w:rsidR="006F0EDE" w:rsidRPr="00A073AF" w:rsidRDefault="006F0EDE" w:rsidP="00B51A7D">
            <w:pPr>
              <w:spacing w:before="100" w:beforeAutospacing="1" w:after="100" w:afterAutospacing="1" w:line="264" w:lineRule="auto"/>
              <w:contextualSpacing/>
            </w:pPr>
            <w:r w:rsidRPr="00A073AF">
              <w:t>Net Change in Budget</w:t>
            </w:r>
          </w:p>
        </w:tc>
        <w:tc>
          <w:tcPr>
            <w:tcW w:w="1701" w:type="dxa"/>
            <w:vAlign w:val="center"/>
          </w:tcPr>
          <w:p w14:paraId="1E56380C" w14:textId="77777777" w:rsidR="006F0EDE" w:rsidRPr="00A073AF" w:rsidRDefault="006F0EDE" w:rsidP="00B51A7D">
            <w:pPr>
              <w:spacing w:before="100" w:beforeAutospacing="1" w:after="100" w:afterAutospacing="1" w:line="264" w:lineRule="auto"/>
              <w:contextualSpacing/>
              <w:jc w:val="right"/>
            </w:pPr>
          </w:p>
        </w:tc>
        <w:tc>
          <w:tcPr>
            <w:tcW w:w="1843" w:type="dxa"/>
            <w:vAlign w:val="center"/>
          </w:tcPr>
          <w:p w14:paraId="6CB0EC83" w14:textId="77777777" w:rsidR="006F0EDE" w:rsidRPr="006F0EDE" w:rsidRDefault="006F0EDE" w:rsidP="00B51A7D">
            <w:pPr>
              <w:spacing w:before="100" w:beforeAutospacing="1" w:after="100" w:afterAutospacing="1" w:line="264" w:lineRule="auto"/>
              <w:contextualSpacing/>
              <w:jc w:val="right"/>
            </w:pPr>
            <w:r w:rsidRPr="00A073AF">
              <w:t>0</w:t>
            </w:r>
          </w:p>
        </w:tc>
        <w:tc>
          <w:tcPr>
            <w:tcW w:w="4252" w:type="dxa"/>
            <w:vAlign w:val="center"/>
          </w:tcPr>
          <w:p w14:paraId="5A6E5AB8" w14:textId="77777777" w:rsidR="006F0EDE" w:rsidRPr="006F0EDE" w:rsidRDefault="006F0EDE" w:rsidP="00B51A7D">
            <w:pPr>
              <w:spacing w:before="100" w:beforeAutospacing="1" w:after="100" w:afterAutospacing="1" w:line="264" w:lineRule="auto"/>
              <w:contextualSpacing/>
            </w:pPr>
          </w:p>
        </w:tc>
      </w:tr>
    </w:tbl>
    <w:p w14:paraId="4868CB4A" w14:textId="59E1346B" w:rsidR="00014163" w:rsidRPr="00014163" w:rsidRDefault="00014163" w:rsidP="008D3E6C">
      <w:pPr>
        <w:spacing w:before="120" w:line="264" w:lineRule="auto"/>
        <w:rPr>
          <w:b/>
          <w:bCs/>
        </w:rPr>
      </w:pPr>
      <w:r w:rsidRPr="00014163">
        <w:rPr>
          <w:b/>
          <w:bCs/>
        </w:rPr>
        <w:t xml:space="preserve">Table </w:t>
      </w:r>
      <w:r w:rsidR="00FE14D7">
        <w:rPr>
          <w:b/>
          <w:bCs/>
        </w:rPr>
        <w:t>1</w:t>
      </w:r>
      <w:r w:rsidRPr="00014163">
        <w:rPr>
          <w:b/>
          <w:bCs/>
        </w:rPr>
        <w:t>:  Summary of changes in income and expenditure</w:t>
      </w:r>
    </w:p>
    <w:p w14:paraId="1A5AB2FF" w14:textId="759E04DA" w:rsidR="00014163" w:rsidRPr="00014163" w:rsidRDefault="00014163" w:rsidP="0033322F">
      <w:pPr>
        <w:pStyle w:val="Heading2"/>
      </w:pPr>
      <w:bookmarkStart w:id="16" w:name="_Toc30411018"/>
      <w:bookmarkStart w:id="17" w:name="_Toc61257247"/>
      <w:bookmarkStart w:id="18" w:name="_Toc127951262"/>
      <w:r w:rsidRPr="00014163">
        <w:t>Revenue Budget 202</w:t>
      </w:r>
      <w:bookmarkEnd w:id="16"/>
      <w:bookmarkEnd w:id="17"/>
      <w:r w:rsidR="00DD5268">
        <w:t>3</w:t>
      </w:r>
      <w:r>
        <w:t>/202</w:t>
      </w:r>
      <w:r w:rsidR="00DD5268">
        <w:t>4</w:t>
      </w:r>
      <w:bookmarkEnd w:id="18"/>
    </w:p>
    <w:p w14:paraId="2491B156" w14:textId="63263BE0" w:rsidR="00014163" w:rsidRPr="00014163" w:rsidRDefault="00014163" w:rsidP="00D46BDD">
      <w:r w:rsidRPr="00014163">
        <w:t>The Council is being asked to approve the Cabinet’s proposal for the total net revenue budget for 202</w:t>
      </w:r>
      <w:r w:rsidR="0013663F">
        <w:t>3</w:t>
      </w:r>
      <w:r w:rsidRPr="00014163">
        <w:t>/202</w:t>
      </w:r>
      <w:r w:rsidR="0013663F">
        <w:t>4</w:t>
      </w:r>
      <w:r w:rsidRPr="00014163">
        <w:t xml:space="preserve"> and the budget that will be required to be funded from Council Tax.</w:t>
      </w:r>
    </w:p>
    <w:p w14:paraId="044CFBC6" w14:textId="59A8C62F" w:rsidR="00014163" w:rsidRPr="00014163" w:rsidRDefault="00014163" w:rsidP="00D46BDD">
      <w:r w:rsidRPr="00014163">
        <w:t>The Council is also being presented with the allocation of the 202</w:t>
      </w:r>
      <w:r w:rsidR="0013663F">
        <w:t>3/2024</w:t>
      </w:r>
      <w:r w:rsidRPr="00014163">
        <w:t xml:space="preserve"> revenue budget to individual services as identified in the Budget Digest which has been circulated separately.  The allocation of budget to services is a key part of the Council’s financial control arrangements.  The Financial Regulations in the Constitution govern any subsequent in-year budget changes.  The approval of fees and charges for 202</w:t>
      </w:r>
      <w:r w:rsidR="00FD037D">
        <w:t>3/2024</w:t>
      </w:r>
      <w:r w:rsidRPr="00014163">
        <w:t>, in addition to supporting the achievement of budgeted income, provides clarity to services and service users.  The Officer Scheme of Delegation governs any subsequent in-year changes to fees and charges.</w:t>
      </w:r>
    </w:p>
    <w:p w14:paraId="18639201" w14:textId="7796D1DF" w:rsidR="00014163" w:rsidRPr="00014163" w:rsidRDefault="00014163" w:rsidP="00D46BDD">
      <w:r w:rsidRPr="00014163">
        <w:t xml:space="preserve">A summary of this information is shown in the Table </w:t>
      </w:r>
      <w:r w:rsidR="004C68A7">
        <w:t>2</w:t>
      </w:r>
      <w:r w:rsidRPr="00014163">
        <w:t>.</w:t>
      </w:r>
    </w:p>
    <w:p w14:paraId="3EE4F73F" w14:textId="77777777" w:rsidR="00014163" w:rsidRPr="00014163" w:rsidRDefault="00014163" w:rsidP="00014163">
      <w:pPr>
        <w:spacing w:line="264" w:lineRule="auto"/>
      </w:pPr>
      <w:r>
        <w:br w:type="page"/>
      </w:r>
    </w:p>
    <w:tbl>
      <w:tblPr>
        <w:tblW w:w="10490" w:type="dxa"/>
        <w:tblInd w:w="-5" w:type="dxa"/>
        <w:tblBorders>
          <w:top w:val="single" w:sz="4" w:space="0" w:color="002F6C" w:themeColor="text1"/>
          <w:left w:val="single" w:sz="4" w:space="0" w:color="002F6C" w:themeColor="text1"/>
          <w:bottom w:val="single" w:sz="4" w:space="0" w:color="002F6C" w:themeColor="text1"/>
          <w:right w:val="single" w:sz="4" w:space="0" w:color="002F6C" w:themeColor="text1"/>
          <w:insideH w:val="single" w:sz="4" w:space="0" w:color="002F6C" w:themeColor="text1"/>
          <w:insideV w:val="single" w:sz="4" w:space="0" w:color="002F6C" w:themeColor="text1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701"/>
        <w:gridCol w:w="1701"/>
      </w:tblGrid>
      <w:tr w:rsidR="00F36C3F" w:rsidRPr="00014163" w14:paraId="7043CA22" w14:textId="77777777" w:rsidTr="49D3A721">
        <w:trPr>
          <w:trHeight w:val="397"/>
        </w:trPr>
        <w:tc>
          <w:tcPr>
            <w:tcW w:w="5387" w:type="dxa"/>
            <w:shd w:val="clear" w:color="auto" w:fill="002F6C" w:themeFill="text1"/>
            <w:vAlign w:val="center"/>
          </w:tcPr>
          <w:p w14:paraId="75674D5C" w14:textId="77777777" w:rsidR="00014163" w:rsidRPr="00014163" w:rsidRDefault="00014163" w:rsidP="00014163">
            <w:pPr>
              <w:spacing w:line="264" w:lineRule="auto"/>
              <w:rPr>
                <w:b/>
              </w:rPr>
            </w:pPr>
            <w:r w:rsidRPr="00014163">
              <w:rPr>
                <w:b/>
              </w:rPr>
              <w:lastRenderedPageBreak/>
              <w:t>Service</w:t>
            </w:r>
          </w:p>
        </w:tc>
        <w:tc>
          <w:tcPr>
            <w:tcW w:w="1701" w:type="dxa"/>
            <w:shd w:val="clear" w:color="auto" w:fill="002F6C" w:themeFill="text1"/>
            <w:vAlign w:val="center"/>
          </w:tcPr>
          <w:p w14:paraId="170FCB52" w14:textId="77777777" w:rsidR="00014163" w:rsidRPr="00014163" w:rsidRDefault="00014163" w:rsidP="07D4DC27">
            <w:pPr>
              <w:spacing w:line="264" w:lineRule="auto"/>
              <w:jc w:val="center"/>
              <w:rPr>
                <w:b/>
              </w:rPr>
            </w:pPr>
            <w:r w:rsidRPr="00014163">
              <w:rPr>
                <w:b/>
              </w:rPr>
              <w:t>Expenditure</w:t>
            </w:r>
            <w:r>
              <w:br/>
            </w:r>
            <w:r w:rsidRPr="00014163">
              <w:rPr>
                <w:b/>
              </w:rPr>
              <w:t>£m</w:t>
            </w:r>
          </w:p>
        </w:tc>
        <w:tc>
          <w:tcPr>
            <w:tcW w:w="1701" w:type="dxa"/>
            <w:shd w:val="clear" w:color="auto" w:fill="002F6C" w:themeFill="text1"/>
            <w:vAlign w:val="center"/>
          </w:tcPr>
          <w:p w14:paraId="53F7B6DE" w14:textId="77777777" w:rsidR="00014163" w:rsidRPr="00014163" w:rsidRDefault="00014163" w:rsidP="07D4DC27">
            <w:pPr>
              <w:spacing w:line="264" w:lineRule="auto"/>
              <w:jc w:val="center"/>
              <w:rPr>
                <w:b/>
              </w:rPr>
            </w:pPr>
            <w:r w:rsidRPr="00014163">
              <w:rPr>
                <w:b/>
              </w:rPr>
              <w:t>Income</w:t>
            </w:r>
            <w:r>
              <w:br/>
            </w:r>
            <w:r w:rsidRPr="00014163">
              <w:rPr>
                <w:b/>
              </w:rPr>
              <w:t>£m</w:t>
            </w:r>
          </w:p>
        </w:tc>
        <w:tc>
          <w:tcPr>
            <w:tcW w:w="1701" w:type="dxa"/>
            <w:shd w:val="clear" w:color="auto" w:fill="002F6C" w:themeFill="text1"/>
            <w:vAlign w:val="center"/>
          </w:tcPr>
          <w:p w14:paraId="612F57AF" w14:textId="77777777" w:rsidR="00014163" w:rsidRPr="00014163" w:rsidRDefault="00014163" w:rsidP="07D4DC27">
            <w:pPr>
              <w:spacing w:line="264" w:lineRule="auto"/>
              <w:jc w:val="center"/>
              <w:rPr>
                <w:b/>
              </w:rPr>
            </w:pPr>
            <w:r w:rsidRPr="00014163">
              <w:rPr>
                <w:b/>
              </w:rPr>
              <w:t>Net</w:t>
            </w:r>
            <w:r>
              <w:br/>
            </w:r>
            <w:r w:rsidRPr="00014163">
              <w:rPr>
                <w:b/>
              </w:rPr>
              <w:t>£m</w:t>
            </w:r>
          </w:p>
        </w:tc>
      </w:tr>
      <w:tr w:rsidR="00014163" w:rsidRPr="00014163" w14:paraId="0839626A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73AE7A54" w14:textId="33B96953" w:rsidR="00014163" w:rsidRPr="00014163" w:rsidRDefault="00014163" w:rsidP="00014163">
            <w:pPr>
              <w:spacing w:line="264" w:lineRule="auto"/>
            </w:pPr>
            <w:r>
              <w:t>Adult Services</w:t>
            </w:r>
          </w:p>
        </w:tc>
        <w:tc>
          <w:tcPr>
            <w:tcW w:w="1701" w:type="dxa"/>
            <w:vAlign w:val="center"/>
          </w:tcPr>
          <w:p w14:paraId="0797CBA6" w14:textId="0510D0D4" w:rsidR="00014163" w:rsidRPr="00D42319" w:rsidRDefault="00A073AF" w:rsidP="6C35DA80">
            <w:pPr>
              <w:spacing w:line="264" w:lineRule="auto"/>
              <w:jc w:val="center"/>
            </w:pPr>
            <w:r w:rsidRPr="00D42319">
              <w:t>70.4</w:t>
            </w:r>
          </w:p>
        </w:tc>
        <w:tc>
          <w:tcPr>
            <w:tcW w:w="1701" w:type="dxa"/>
            <w:vAlign w:val="center"/>
          </w:tcPr>
          <w:p w14:paraId="656C5EC4" w14:textId="373B9B5D" w:rsidR="00014163" w:rsidRPr="00D42319" w:rsidRDefault="6C35DA80" w:rsidP="07D4DC27">
            <w:pPr>
              <w:spacing w:line="264" w:lineRule="auto"/>
              <w:jc w:val="center"/>
            </w:pPr>
            <w:r w:rsidRPr="00D42319">
              <w:t>(</w:t>
            </w:r>
            <w:r w:rsidR="00AC35A1" w:rsidRPr="00D42319">
              <w:t>21.6</w:t>
            </w:r>
            <w:r w:rsidRPr="00D42319">
              <w:t>)</w:t>
            </w:r>
          </w:p>
        </w:tc>
        <w:tc>
          <w:tcPr>
            <w:tcW w:w="1701" w:type="dxa"/>
            <w:vAlign w:val="center"/>
          </w:tcPr>
          <w:p w14:paraId="097C7FA4" w14:textId="0BFA5969" w:rsidR="00014163" w:rsidRPr="00D42319" w:rsidRDefault="6C35DA80" w:rsidP="07D4DC27">
            <w:pPr>
              <w:spacing w:line="264" w:lineRule="auto"/>
              <w:jc w:val="center"/>
            </w:pPr>
            <w:r w:rsidRPr="00D42319">
              <w:t>4</w:t>
            </w:r>
            <w:r w:rsidR="00AC35A1" w:rsidRPr="00D42319">
              <w:t>8.8</w:t>
            </w:r>
          </w:p>
        </w:tc>
      </w:tr>
      <w:tr w:rsidR="6C35DA80" w14:paraId="68DC29EB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27C0BEEF" w14:textId="0E2D0EB0" w:rsidR="6C35DA80" w:rsidRDefault="6C35DA80" w:rsidP="6C35DA80">
            <w:pPr>
              <w:spacing w:line="264" w:lineRule="auto"/>
              <w:rPr>
                <w:szCs w:val="24"/>
              </w:rPr>
            </w:pPr>
            <w:r w:rsidRPr="6C35DA80">
              <w:rPr>
                <w:szCs w:val="24"/>
              </w:rPr>
              <w:t>Community and Customer Services</w:t>
            </w:r>
          </w:p>
        </w:tc>
        <w:tc>
          <w:tcPr>
            <w:tcW w:w="1701" w:type="dxa"/>
            <w:vAlign w:val="center"/>
          </w:tcPr>
          <w:p w14:paraId="226442F0" w14:textId="4FECF149" w:rsidR="6C35DA80" w:rsidRPr="00D42319" w:rsidRDefault="6C35DA80" w:rsidP="6C35DA80">
            <w:pPr>
              <w:spacing w:line="264" w:lineRule="auto"/>
              <w:jc w:val="center"/>
              <w:rPr>
                <w:szCs w:val="24"/>
              </w:rPr>
            </w:pPr>
            <w:r w:rsidRPr="00D42319">
              <w:rPr>
                <w:szCs w:val="24"/>
              </w:rPr>
              <w:t>45.</w:t>
            </w:r>
            <w:r w:rsidR="00AC35A1" w:rsidRPr="00D42319">
              <w:rPr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5B25FBB" w14:textId="79F6077A" w:rsidR="6C35DA80" w:rsidRPr="00D42319" w:rsidRDefault="6C35DA80" w:rsidP="6C35DA80">
            <w:pPr>
              <w:spacing w:line="264" w:lineRule="auto"/>
              <w:jc w:val="center"/>
              <w:rPr>
                <w:szCs w:val="24"/>
              </w:rPr>
            </w:pPr>
            <w:r w:rsidRPr="00D42319">
              <w:rPr>
                <w:szCs w:val="24"/>
              </w:rPr>
              <w:t>(4</w:t>
            </w:r>
            <w:r w:rsidR="00AC35A1" w:rsidRPr="00D42319">
              <w:rPr>
                <w:szCs w:val="24"/>
              </w:rPr>
              <w:t>1</w:t>
            </w:r>
            <w:r w:rsidRPr="00D42319">
              <w:rPr>
                <w:szCs w:val="24"/>
              </w:rPr>
              <w:t>.9)</w:t>
            </w:r>
          </w:p>
        </w:tc>
        <w:tc>
          <w:tcPr>
            <w:tcW w:w="1701" w:type="dxa"/>
            <w:vAlign w:val="center"/>
          </w:tcPr>
          <w:p w14:paraId="6641CFEB" w14:textId="2F378EE9" w:rsidR="6C35DA80" w:rsidRPr="00D42319" w:rsidRDefault="00AC35A1" w:rsidP="6C35DA80">
            <w:pPr>
              <w:spacing w:line="264" w:lineRule="auto"/>
              <w:jc w:val="center"/>
              <w:rPr>
                <w:szCs w:val="24"/>
              </w:rPr>
            </w:pPr>
            <w:r w:rsidRPr="00D42319">
              <w:rPr>
                <w:szCs w:val="24"/>
              </w:rPr>
              <w:t>3.</w:t>
            </w:r>
            <w:r w:rsidR="6C35DA80" w:rsidRPr="00D42319">
              <w:rPr>
                <w:szCs w:val="24"/>
              </w:rPr>
              <w:t>2</w:t>
            </w:r>
          </w:p>
        </w:tc>
      </w:tr>
      <w:tr w:rsidR="6C35DA80" w14:paraId="5AB5EE5E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1C128245" w14:textId="2C60E1EF" w:rsidR="6C35DA80" w:rsidRDefault="6C35DA80" w:rsidP="6C35DA80">
            <w:pPr>
              <w:spacing w:line="264" w:lineRule="auto"/>
              <w:rPr>
                <w:i/>
                <w:iCs/>
                <w:szCs w:val="24"/>
              </w:rPr>
            </w:pPr>
            <w:r w:rsidRPr="6C35DA80">
              <w:rPr>
                <w:i/>
                <w:iCs/>
                <w:szCs w:val="24"/>
              </w:rPr>
              <w:t>Housing Benefit included in Customer Services</w:t>
            </w:r>
          </w:p>
        </w:tc>
        <w:tc>
          <w:tcPr>
            <w:tcW w:w="1701" w:type="dxa"/>
            <w:vAlign w:val="center"/>
          </w:tcPr>
          <w:p w14:paraId="76051348" w14:textId="111BC5CB" w:rsidR="6C35DA80" w:rsidRPr="0087772C" w:rsidRDefault="6C35DA80" w:rsidP="6C35DA80">
            <w:pPr>
              <w:spacing w:line="264" w:lineRule="auto"/>
              <w:jc w:val="center"/>
              <w:rPr>
                <w:i/>
                <w:szCs w:val="24"/>
              </w:rPr>
            </w:pPr>
            <w:r w:rsidRPr="0087772C">
              <w:rPr>
                <w:i/>
                <w:szCs w:val="24"/>
              </w:rPr>
              <w:t>3</w:t>
            </w:r>
            <w:r w:rsidR="00AC35A1" w:rsidRPr="0087772C">
              <w:rPr>
                <w:i/>
                <w:szCs w:val="24"/>
              </w:rPr>
              <w:t>6.1</w:t>
            </w:r>
          </w:p>
        </w:tc>
        <w:tc>
          <w:tcPr>
            <w:tcW w:w="1701" w:type="dxa"/>
            <w:vAlign w:val="center"/>
          </w:tcPr>
          <w:p w14:paraId="724165CB" w14:textId="1482E580" w:rsidR="6C35DA80" w:rsidRPr="0087772C" w:rsidRDefault="6C35DA80" w:rsidP="6C35DA80">
            <w:pPr>
              <w:spacing w:line="264" w:lineRule="auto"/>
              <w:jc w:val="center"/>
              <w:rPr>
                <w:i/>
                <w:szCs w:val="24"/>
              </w:rPr>
            </w:pPr>
            <w:r w:rsidRPr="0087772C">
              <w:rPr>
                <w:i/>
                <w:szCs w:val="24"/>
              </w:rPr>
              <w:t>(3</w:t>
            </w:r>
            <w:r w:rsidR="00AC35A1" w:rsidRPr="0087772C">
              <w:rPr>
                <w:i/>
                <w:szCs w:val="24"/>
              </w:rPr>
              <w:t>6.1</w:t>
            </w:r>
            <w:r w:rsidRPr="0087772C">
              <w:rPr>
                <w:i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36A14368" w14:textId="5F9FB8AC" w:rsidR="6C35DA80" w:rsidRPr="0087772C" w:rsidRDefault="6C35DA80" w:rsidP="6C35DA80">
            <w:pPr>
              <w:spacing w:line="264" w:lineRule="auto"/>
              <w:jc w:val="center"/>
              <w:rPr>
                <w:i/>
                <w:szCs w:val="24"/>
              </w:rPr>
            </w:pPr>
            <w:r w:rsidRPr="0087772C">
              <w:rPr>
                <w:i/>
                <w:szCs w:val="24"/>
              </w:rPr>
              <w:t>0</w:t>
            </w:r>
          </w:p>
        </w:tc>
      </w:tr>
      <w:tr w:rsidR="6C35DA80" w14:paraId="0F735079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655F396B" w14:textId="2EBD03F8" w:rsidR="6C35DA80" w:rsidRDefault="6C35DA80" w:rsidP="6C35DA80">
            <w:pPr>
              <w:spacing w:line="264" w:lineRule="auto"/>
              <w:rPr>
                <w:b/>
                <w:bCs/>
                <w:i/>
                <w:iCs/>
                <w:szCs w:val="24"/>
              </w:rPr>
            </w:pPr>
            <w:r w:rsidRPr="6C35DA80">
              <w:rPr>
                <w:b/>
                <w:bCs/>
                <w:i/>
                <w:iCs/>
                <w:szCs w:val="24"/>
              </w:rPr>
              <w:t>Sub Total – Adult Services</w:t>
            </w:r>
          </w:p>
        </w:tc>
        <w:tc>
          <w:tcPr>
            <w:tcW w:w="1701" w:type="dxa"/>
            <w:vAlign w:val="center"/>
          </w:tcPr>
          <w:p w14:paraId="3C58FAF0" w14:textId="752A76E3" w:rsidR="6C35DA80" w:rsidRPr="00D42319" w:rsidRDefault="6C35DA80" w:rsidP="6C35DA80">
            <w:pPr>
              <w:spacing w:line="264" w:lineRule="auto"/>
              <w:jc w:val="center"/>
              <w:rPr>
                <w:b/>
                <w:szCs w:val="24"/>
              </w:rPr>
            </w:pPr>
            <w:r w:rsidRPr="00D42319">
              <w:rPr>
                <w:b/>
                <w:szCs w:val="24"/>
              </w:rPr>
              <w:t>1</w:t>
            </w:r>
            <w:r w:rsidR="00AC35A1" w:rsidRPr="00D42319">
              <w:rPr>
                <w:b/>
                <w:szCs w:val="24"/>
              </w:rPr>
              <w:t>15.5</w:t>
            </w:r>
          </w:p>
        </w:tc>
        <w:tc>
          <w:tcPr>
            <w:tcW w:w="1701" w:type="dxa"/>
            <w:vAlign w:val="center"/>
          </w:tcPr>
          <w:p w14:paraId="7CF02700" w14:textId="613BF1F2" w:rsidR="6C35DA80" w:rsidRPr="00D42319" w:rsidRDefault="6C35DA80" w:rsidP="6C35DA80">
            <w:pPr>
              <w:spacing w:line="264" w:lineRule="auto"/>
              <w:jc w:val="center"/>
              <w:rPr>
                <w:b/>
                <w:szCs w:val="24"/>
              </w:rPr>
            </w:pPr>
            <w:r w:rsidRPr="00D42319">
              <w:rPr>
                <w:b/>
                <w:szCs w:val="24"/>
              </w:rPr>
              <w:t>(</w:t>
            </w:r>
            <w:r w:rsidR="00AC35A1" w:rsidRPr="00D42319">
              <w:rPr>
                <w:b/>
                <w:szCs w:val="24"/>
              </w:rPr>
              <w:t>63.5</w:t>
            </w:r>
            <w:r w:rsidRPr="00D42319">
              <w:rPr>
                <w:b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335E2C11" w14:textId="4A6D0BC7" w:rsidR="6C35DA80" w:rsidRPr="00D42319" w:rsidRDefault="00AC35A1" w:rsidP="6C35DA80">
            <w:pPr>
              <w:spacing w:line="264" w:lineRule="auto"/>
              <w:jc w:val="center"/>
              <w:rPr>
                <w:b/>
                <w:szCs w:val="24"/>
              </w:rPr>
            </w:pPr>
            <w:r w:rsidRPr="00D42319">
              <w:rPr>
                <w:b/>
                <w:szCs w:val="24"/>
              </w:rPr>
              <w:t>52.0</w:t>
            </w:r>
          </w:p>
        </w:tc>
      </w:tr>
      <w:tr w:rsidR="49D3A721" w14:paraId="55A49D29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380014A1" w14:textId="52917D7E" w:rsidR="49D3A721" w:rsidRDefault="49D3A721" w:rsidP="49D3A721">
            <w:pPr>
              <w:spacing w:line="264" w:lineRule="auto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304CD0" w14:textId="75A2F481" w:rsidR="49D3A721" w:rsidRPr="00D42319" w:rsidRDefault="49D3A721" w:rsidP="49D3A721">
            <w:pPr>
              <w:spacing w:line="264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109907" w14:textId="296A10C0" w:rsidR="49D3A721" w:rsidRPr="00D42319" w:rsidRDefault="49D3A721" w:rsidP="49D3A721">
            <w:pPr>
              <w:spacing w:line="264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51A030" w14:textId="580785D2" w:rsidR="49D3A721" w:rsidRPr="00D42319" w:rsidRDefault="49D3A721" w:rsidP="49D3A721">
            <w:pPr>
              <w:spacing w:line="264" w:lineRule="auto"/>
              <w:jc w:val="center"/>
              <w:rPr>
                <w:b/>
                <w:szCs w:val="24"/>
              </w:rPr>
            </w:pPr>
          </w:p>
        </w:tc>
      </w:tr>
      <w:tr w:rsidR="00014163" w:rsidRPr="00014163" w14:paraId="6F2AC382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1C8139F4" w14:textId="77777777" w:rsidR="00014163" w:rsidRPr="00014163" w:rsidRDefault="00014163" w:rsidP="6C35DA80">
            <w:pPr>
              <w:spacing w:line="264" w:lineRule="auto"/>
              <w:rPr>
                <w:b/>
                <w:bCs/>
              </w:rPr>
            </w:pPr>
            <w:r w:rsidRPr="6C35DA80">
              <w:rPr>
                <w:b/>
                <w:bCs/>
              </w:rPr>
              <w:t>Children’s Services</w:t>
            </w:r>
          </w:p>
        </w:tc>
        <w:tc>
          <w:tcPr>
            <w:tcW w:w="1701" w:type="dxa"/>
            <w:vAlign w:val="center"/>
          </w:tcPr>
          <w:p w14:paraId="2498F705" w14:textId="21D481A9" w:rsidR="00014163" w:rsidRPr="00D42319" w:rsidRDefault="6C35DA80" w:rsidP="6C35DA80">
            <w:pPr>
              <w:spacing w:line="264" w:lineRule="auto"/>
              <w:jc w:val="center"/>
              <w:rPr>
                <w:b/>
              </w:rPr>
            </w:pPr>
            <w:r w:rsidRPr="00D42319">
              <w:rPr>
                <w:b/>
                <w:bCs/>
              </w:rPr>
              <w:t>1</w:t>
            </w:r>
            <w:r w:rsidR="00D42319" w:rsidRPr="00D42319">
              <w:rPr>
                <w:b/>
                <w:bCs/>
              </w:rPr>
              <w:t>18.2</w:t>
            </w:r>
          </w:p>
        </w:tc>
        <w:tc>
          <w:tcPr>
            <w:tcW w:w="1701" w:type="dxa"/>
            <w:vAlign w:val="center"/>
          </w:tcPr>
          <w:p w14:paraId="1B494932" w14:textId="68B8526B" w:rsidR="00014163" w:rsidRPr="00D42319" w:rsidRDefault="6C35DA80" w:rsidP="6C35DA80">
            <w:pPr>
              <w:spacing w:line="264" w:lineRule="auto"/>
              <w:jc w:val="center"/>
              <w:rPr>
                <w:b/>
              </w:rPr>
            </w:pPr>
            <w:r w:rsidRPr="00D42319">
              <w:rPr>
                <w:b/>
              </w:rPr>
              <w:t>(</w:t>
            </w:r>
            <w:r w:rsidRPr="00D42319">
              <w:rPr>
                <w:b/>
                <w:bCs/>
              </w:rPr>
              <w:t>6</w:t>
            </w:r>
            <w:r w:rsidR="00D42319" w:rsidRPr="00D42319">
              <w:rPr>
                <w:b/>
                <w:bCs/>
              </w:rPr>
              <w:t>7.7</w:t>
            </w:r>
            <w:r w:rsidRPr="00D42319">
              <w:rPr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14:paraId="6589B67D" w14:textId="2CBF0BC0" w:rsidR="00014163" w:rsidRPr="00D42319" w:rsidRDefault="00D42319" w:rsidP="6C35DA80">
            <w:pPr>
              <w:spacing w:line="264" w:lineRule="auto"/>
              <w:jc w:val="center"/>
              <w:rPr>
                <w:b/>
              </w:rPr>
            </w:pPr>
            <w:r w:rsidRPr="00D42319">
              <w:rPr>
                <w:b/>
                <w:bCs/>
              </w:rPr>
              <w:t>50.5</w:t>
            </w:r>
          </w:p>
        </w:tc>
      </w:tr>
      <w:tr w:rsidR="00014163" w:rsidRPr="00014163" w14:paraId="1B01EE28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569B33DB" w14:textId="77777777" w:rsidR="00014163" w:rsidRPr="00014163" w:rsidRDefault="00014163" w:rsidP="00014163">
            <w:pPr>
              <w:spacing w:line="264" w:lineRule="auto"/>
              <w:rPr>
                <w:i/>
              </w:rPr>
            </w:pPr>
            <w:r w:rsidRPr="00014163">
              <w:rPr>
                <w:i/>
              </w:rPr>
              <w:t>Dedicated Schools Grant including in Children’s Services</w:t>
            </w:r>
          </w:p>
        </w:tc>
        <w:tc>
          <w:tcPr>
            <w:tcW w:w="1701" w:type="dxa"/>
            <w:vAlign w:val="center"/>
          </w:tcPr>
          <w:p w14:paraId="1B214C7A" w14:textId="690824CC" w:rsidR="00014163" w:rsidRPr="00D42319" w:rsidRDefault="00D42319" w:rsidP="6C35DA80">
            <w:pPr>
              <w:spacing w:line="264" w:lineRule="auto"/>
              <w:jc w:val="center"/>
              <w:rPr>
                <w:i/>
              </w:rPr>
            </w:pPr>
            <w:r w:rsidRPr="00D42319">
              <w:rPr>
                <w:i/>
                <w:iCs/>
              </w:rPr>
              <w:t>50.8</w:t>
            </w:r>
          </w:p>
        </w:tc>
        <w:tc>
          <w:tcPr>
            <w:tcW w:w="1701" w:type="dxa"/>
            <w:vAlign w:val="center"/>
          </w:tcPr>
          <w:p w14:paraId="677F97B8" w14:textId="548A8E99" w:rsidR="00014163" w:rsidRPr="00D42319" w:rsidRDefault="6C35DA80" w:rsidP="6C35DA80">
            <w:pPr>
              <w:spacing w:line="264" w:lineRule="auto"/>
              <w:jc w:val="center"/>
              <w:rPr>
                <w:i/>
              </w:rPr>
            </w:pPr>
            <w:r w:rsidRPr="00D42319">
              <w:rPr>
                <w:i/>
              </w:rPr>
              <w:t>(</w:t>
            </w:r>
            <w:r w:rsidR="00D42319" w:rsidRPr="00D42319">
              <w:rPr>
                <w:i/>
                <w:iCs/>
              </w:rPr>
              <w:t>50.8</w:t>
            </w:r>
            <w:r w:rsidRPr="00D42319">
              <w:rPr>
                <w:i/>
              </w:rPr>
              <w:t>)</w:t>
            </w:r>
          </w:p>
        </w:tc>
        <w:tc>
          <w:tcPr>
            <w:tcW w:w="1701" w:type="dxa"/>
            <w:vAlign w:val="center"/>
          </w:tcPr>
          <w:p w14:paraId="24EC5EEA" w14:textId="0A8044BC" w:rsidR="00014163" w:rsidRPr="00D42319" w:rsidRDefault="6C35DA80" w:rsidP="6C35DA80">
            <w:pPr>
              <w:spacing w:line="264" w:lineRule="auto"/>
              <w:jc w:val="center"/>
              <w:rPr>
                <w:i/>
              </w:rPr>
            </w:pPr>
            <w:r w:rsidRPr="00D42319">
              <w:rPr>
                <w:i/>
              </w:rPr>
              <w:t>0</w:t>
            </w:r>
          </w:p>
        </w:tc>
      </w:tr>
      <w:tr w:rsidR="6C35DA80" w14:paraId="299BE06A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4985EAF4" w14:textId="1BBF50F8" w:rsidR="6C35DA80" w:rsidRDefault="6C35DA80" w:rsidP="6C35DA80">
            <w:pPr>
              <w:spacing w:line="264" w:lineRule="auto"/>
              <w:rPr>
                <w:i/>
                <w:i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D1F982" w14:textId="3A8285C4" w:rsidR="6C35DA80" w:rsidRPr="00D42319" w:rsidRDefault="6C35DA80" w:rsidP="6C35DA80">
            <w:pPr>
              <w:spacing w:line="264" w:lineRule="auto"/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B7F2E6" w14:textId="72DA9E75" w:rsidR="6C35DA80" w:rsidRPr="00D42319" w:rsidRDefault="6C35DA80" w:rsidP="6C35DA80">
            <w:pPr>
              <w:spacing w:line="264" w:lineRule="auto"/>
              <w:jc w:val="center"/>
              <w:rPr>
                <w:i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247025" w14:textId="0A592CD6" w:rsidR="6C35DA80" w:rsidRPr="00D42319" w:rsidRDefault="6C35DA80" w:rsidP="6C35DA80">
            <w:pPr>
              <w:spacing w:line="264" w:lineRule="auto"/>
              <w:jc w:val="center"/>
              <w:rPr>
                <w:i/>
                <w:szCs w:val="24"/>
              </w:rPr>
            </w:pPr>
          </w:p>
        </w:tc>
      </w:tr>
      <w:tr w:rsidR="00014163" w:rsidRPr="00014163" w14:paraId="7E32C816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341A4262" w14:textId="77777777" w:rsidR="00014163" w:rsidRPr="00014163" w:rsidRDefault="00014163" w:rsidP="6C35DA80">
            <w:pPr>
              <w:spacing w:line="264" w:lineRule="auto"/>
              <w:rPr>
                <w:b/>
                <w:bCs/>
              </w:rPr>
            </w:pPr>
            <w:r w:rsidRPr="6C35DA80">
              <w:rPr>
                <w:b/>
                <w:bCs/>
              </w:rPr>
              <w:t>Public Health</w:t>
            </w:r>
          </w:p>
        </w:tc>
        <w:tc>
          <w:tcPr>
            <w:tcW w:w="1701" w:type="dxa"/>
            <w:vAlign w:val="center"/>
          </w:tcPr>
          <w:p w14:paraId="6E7178E0" w14:textId="5A464CAB" w:rsidR="00014163" w:rsidRPr="00D42319" w:rsidRDefault="6C35DA80" w:rsidP="6C35DA80">
            <w:pPr>
              <w:spacing w:line="264" w:lineRule="auto"/>
              <w:jc w:val="center"/>
              <w:rPr>
                <w:b/>
              </w:rPr>
            </w:pPr>
            <w:r w:rsidRPr="00D42319">
              <w:rPr>
                <w:b/>
              </w:rPr>
              <w:t>10.</w:t>
            </w:r>
            <w:r w:rsidR="00441D71"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123709F6" w14:textId="0A781ACB" w:rsidR="00014163" w:rsidRPr="00D42319" w:rsidRDefault="6C35DA80" w:rsidP="6C35DA80">
            <w:pPr>
              <w:spacing w:line="264" w:lineRule="auto"/>
              <w:jc w:val="center"/>
              <w:rPr>
                <w:b/>
              </w:rPr>
            </w:pPr>
            <w:r w:rsidRPr="00D42319">
              <w:rPr>
                <w:b/>
              </w:rPr>
              <w:t>(0.3)</w:t>
            </w:r>
          </w:p>
        </w:tc>
        <w:tc>
          <w:tcPr>
            <w:tcW w:w="1701" w:type="dxa"/>
            <w:vAlign w:val="center"/>
          </w:tcPr>
          <w:p w14:paraId="6485DB16" w14:textId="294431FB" w:rsidR="00014163" w:rsidRPr="00D42319" w:rsidRDefault="6C35DA80" w:rsidP="6C35DA80">
            <w:pPr>
              <w:spacing w:line="264" w:lineRule="auto"/>
              <w:jc w:val="center"/>
              <w:rPr>
                <w:b/>
              </w:rPr>
            </w:pPr>
            <w:r w:rsidRPr="00D42319">
              <w:rPr>
                <w:b/>
              </w:rPr>
              <w:t>10.</w:t>
            </w:r>
            <w:r w:rsidR="00441D71">
              <w:rPr>
                <w:b/>
              </w:rPr>
              <w:t>4</w:t>
            </w:r>
          </w:p>
        </w:tc>
      </w:tr>
      <w:tr w:rsidR="00014163" w:rsidRPr="00014163" w14:paraId="0D1BAF40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7D32DFD0" w14:textId="40C50384" w:rsidR="00014163" w:rsidRPr="00014163" w:rsidRDefault="00014163" w:rsidP="6C35DA80">
            <w:pPr>
              <w:spacing w:line="264" w:lineRule="auto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3C11717" w14:textId="33B12E23" w:rsidR="00014163" w:rsidRPr="00FD037D" w:rsidRDefault="00014163" w:rsidP="6C35DA80">
            <w:pPr>
              <w:spacing w:line="264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19F8FD1" w14:textId="0B79E4DB" w:rsidR="00014163" w:rsidRPr="00FD037D" w:rsidRDefault="00014163" w:rsidP="07D4DC27">
            <w:pPr>
              <w:spacing w:line="264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15D2330" w14:textId="57BD1275" w:rsidR="00014163" w:rsidRPr="00FD037D" w:rsidRDefault="00014163" w:rsidP="07D4DC27">
            <w:pPr>
              <w:spacing w:line="264" w:lineRule="auto"/>
              <w:jc w:val="center"/>
              <w:rPr>
                <w:b/>
                <w:highlight w:val="yellow"/>
              </w:rPr>
            </w:pPr>
          </w:p>
        </w:tc>
      </w:tr>
      <w:tr w:rsidR="00014163" w:rsidRPr="00014163" w14:paraId="0ECCFC8B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7A1ED04F" w14:textId="73D3F14B" w:rsidR="00014163" w:rsidRPr="00014163" w:rsidRDefault="6C35DA80" w:rsidP="6C35DA80">
            <w:pPr>
              <w:spacing w:line="264" w:lineRule="auto"/>
              <w:rPr>
                <w:szCs w:val="24"/>
              </w:rPr>
            </w:pPr>
            <w:r w:rsidRPr="6C35DA80">
              <w:rPr>
                <w:szCs w:val="24"/>
              </w:rPr>
              <w:t>Corporate Services</w:t>
            </w:r>
          </w:p>
        </w:tc>
        <w:tc>
          <w:tcPr>
            <w:tcW w:w="1701" w:type="dxa"/>
            <w:vAlign w:val="center"/>
          </w:tcPr>
          <w:p w14:paraId="0B2A7165" w14:textId="11B305CA" w:rsidR="00014163" w:rsidRPr="00A80D98" w:rsidRDefault="6C35DA80" w:rsidP="07D4DC27">
            <w:pPr>
              <w:spacing w:line="264" w:lineRule="auto"/>
              <w:jc w:val="center"/>
            </w:pPr>
            <w:r w:rsidRPr="00A80D98">
              <w:t>9.</w:t>
            </w:r>
            <w:r w:rsidR="00D42319" w:rsidRPr="00A80D98">
              <w:t>1</w:t>
            </w:r>
          </w:p>
        </w:tc>
        <w:tc>
          <w:tcPr>
            <w:tcW w:w="1701" w:type="dxa"/>
            <w:vAlign w:val="center"/>
          </w:tcPr>
          <w:p w14:paraId="764CEB8E" w14:textId="71CDE155" w:rsidR="00014163" w:rsidRPr="00A80D98" w:rsidRDefault="6C35DA80" w:rsidP="07D4DC27">
            <w:pPr>
              <w:spacing w:line="264" w:lineRule="auto"/>
              <w:jc w:val="center"/>
            </w:pPr>
            <w:r w:rsidRPr="00A80D98">
              <w:t>(</w:t>
            </w:r>
            <w:r w:rsidR="00CF36DF" w:rsidRPr="00A80D98">
              <w:t>1.1</w:t>
            </w:r>
            <w:r w:rsidRPr="00A80D98">
              <w:t>)</w:t>
            </w:r>
          </w:p>
        </w:tc>
        <w:tc>
          <w:tcPr>
            <w:tcW w:w="1701" w:type="dxa"/>
            <w:vAlign w:val="center"/>
          </w:tcPr>
          <w:p w14:paraId="7FF5ABCE" w14:textId="5FDE4D4B" w:rsidR="00014163" w:rsidRPr="00A80D98" w:rsidRDefault="00CF36DF" w:rsidP="07D4DC27">
            <w:pPr>
              <w:spacing w:line="264" w:lineRule="auto"/>
              <w:jc w:val="center"/>
            </w:pPr>
            <w:r w:rsidRPr="00A80D98">
              <w:t>8.0</w:t>
            </w:r>
          </w:p>
        </w:tc>
      </w:tr>
      <w:tr w:rsidR="6C35DA80" w14:paraId="6C0006D3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72998F4C" w14:textId="12DCBA8F" w:rsidR="6C35DA80" w:rsidRDefault="6C35DA80" w:rsidP="6C35DA80">
            <w:pPr>
              <w:spacing w:line="264" w:lineRule="auto"/>
              <w:rPr>
                <w:szCs w:val="24"/>
              </w:rPr>
            </w:pPr>
            <w:r w:rsidRPr="6C35DA80">
              <w:rPr>
                <w:szCs w:val="24"/>
              </w:rPr>
              <w:t>Chief Executive’s Unit</w:t>
            </w:r>
          </w:p>
        </w:tc>
        <w:tc>
          <w:tcPr>
            <w:tcW w:w="1701" w:type="dxa"/>
            <w:vAlign w:val="center"/>
          </w:tcPr>
          <w:p w14:paraId="6766A91D" w14:textId="19388398" w:rsidR="6C35DA80" w:rsidRPr="00A80D98" w:rsidRDefault="00CF36DF" w:rsidP="6C35DA80">
            <w:pPr>
              <w:spacing w:line="264" w:lineRule="auto"/>
              <w:jc w:val="center"/>
              <w:rPr>
                <w:szCs w:val="24"/>
              </w:rPr>
            </w:pPr>
            <w:r w:rsidRPr="00A80D98">
              <w:rPr>
                <w:szCs w:val="24"/>
              </w:rPr>
              <w:t>5.2</w:t>
            </w:r>
          </w:p>
        </w:tc>
        <w:tc>
          <w:tcPr>
            <w:tcW w:w="1701" w:type="dxa"/>
            <w:vAlign w:val="center"/>
          </w:tcPr>
          <w:p w14:paraId="41F91715" w14:textId="6E1BA7ED" w:rsidR="6C35DA80" w:rsidRPr="00A80D98" w:rsidRDefault="6C35DA80" w:rsidP="6C35DA80">
            <w:pPr>
              <w:spacing w:line="264" w:lineRule="auto"/>
              <w:jc w:val="center"/>
              <w:rPr>
                <w:szCs w:val="24"/>
              </w:rPr>
            </w:pPr>
            <w:r w:rsidRPr="00A80D98">
              <w:rPr>
                <w:szCs w:val="24"/>
              </w:rPr>
              <w:t>(1.2)</w:t>
            </w:r>
          </w:p>
        </w:tc>
        <w:tc>
          <w:tcPr>
            <w:tcW w:w="1701" w:type="dxa"/>
            <w:vAlign w:val="center"/>
          </w:tcPr>
          <w:p w14:paraId="7BFB62AB" w14:textId="0CCCA1C1" w:rsidR="6C35DA80" w:rsidRPr="00A80D98" w:rsidRDefault="00CF36DF" w:rsidP="6C35DA80">
            <w:pPr>
              <w:spacing w:line="264" w:lineRule="auto"/>
              <w:jc w:val="center"/>
              <w:rPr>
                <w:szCs w:val="24"/>
              </w:rPr>
            </w:pPr>
            <w:r w:rsidRPr="00A80D98">
              <w:rPr>
                <w:szCs w:val="24"/>
              </w:rPr>
              <w:t>4.0</w:t>
            </w:r>
          </w:p>
        </w:tc>
      </w:tr>
      <w:tr w:rsidR="6C35DA80" w14:paraId="27420D56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71E27EF1" w14:textId="14D57C81" w:rsidR="6C35DA80" w:rsidRDefault="6C35DA80" w:rsidP="6C35DA80">
            <w:pPr>
              <w:spacing w:line="264" w:lineRule="auto"/>
              <w:rPr>
                <w:b/>
                <w:bCs/>
                <w:szCs w:val="24"/>
              </w:rPr>
            </w:pPr>
            <w:r w:rsidRPr="6C35DA80">
              <w:rPr>
                <w:b/>
                <w:bCs/>
                <w:szCs w:val="24"/>
              </w:rPr>
              <w:t>Sub Total – Corporate Services</w:t>
            </w:r>
          </w:p>
        </w:tc>
        <w:tc>
          <w:tcPr>
            <w:tcW w:w="1701" w:type="dxa"/>
            <w:vAlign w:val="center"/>
          </w:tcPr>
          <w:p w14:paraId="0C8EE1C8" w14:textId="61F884CB" w:rsidR="6C35DA80" w:rsidRPr="00A80D98" w:rsidRDefault="6C35DA80" w:rsidP="6C35DA80">
            <w:pPr>
              <w:spacing w:line="264" w:lineRule="auto"/>
              <w:jc w:val="center"/>
              <w:rPr>
                <w:b/>
                <w:szCs w:val="24"/>
              </w:rPr>
            </w:pPr>
            <w:r w:rsidRPr="00A80D98">
              <w:rPr>
                <w:b/>
                <w:szCs w:val="24"/>
              </w:rPr>
              <w:t>14.</w:t>
            </w:r>
            <w:r w:rsidR="00CF36DF" w:rsidRPr="00A80D98">
              <w:rPr>
                <w:b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4E656EEF" w14:textId="53EA5DBD" w:rsidR="6C35DA80" w:rsidRPr="00A80D98" w:rsidRDefault="6C35DA80" w:rsidP="6C35DA80">
            <w:pPr>
              <w:spacing w:line="264" w:lineRule="auto"/>
              <w:jc w:val="center"/>
              <w:rPr>
                <w:b/>
                <w:szCs w:val="24"/>
              </w:rPr>
            </w:pPr>
            <w:r w:rsidRPr="00A80D98">
              <w:rPr>
                <w:b/>
                <w:szCs w:val="24"/>
              </w:rPr>
              <w:t>(</w:t>
            </w:r>
            <w:r w:rsidR="00CF36DF" w:rsidRPr="00A80D98">
              <w:rPr>
                <w:b/>
                <w:szCs w:val="24"/>
              </w:rPr>
              <w:t>2.3</w:t>
            </w:r>
            <w:r w:rsidRPr="00A80D98">
              <w:rPr>
                <w:b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4D8A7F22" w14:textId="798BA801" w:rsidR="6C35DA80" w:rsidRPr="00A80D98" w:rsidRDefault="6C35DA80" w:rsidP="6C35DA80">
            <w:pPr>
              <w:spacing w:line="264" w:lineRule="auto"/>
              <w:jc w:val="center"/>
              <w:rPr>
                <w:b/>
                <w:szCs w:val="24"/>
              </w:rPr>
            </w:pPr>
            <w:r w:rsidRPr="00A80D98">
              <w:rPr>
                <w:b/>
                <w:szCs w:val="24"/>
              </w:rPr>
              <w:t>1</w:t>
            </w:r>
            <w:r w:rsidR="00CF36DF" w:rsidRPr="00A80D98">
              <w:rPr>
                <w:b/>
                <w:szCs w:val="24"/>
              </w:rPr>
              <w:t>2</w:t>
            </w:r>
            <w:r w:rsidRPr="00A80D98">
              <w:rPr>
                <w:b/>
                <w:szCs w:val="24"/>
              </w:rPr>
              <w:t>.0</w:t>
            </w:r>
          </w:p>
        </w:tc>
      </w:tr>
      <w:tr w:rsidR="00014163" w:rsidRPr="00014163" w14:paraId="2F221981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690119F7" w14:textId="7618158A" w:rsidR="00014163" w:rsidRPr="00014163" w:rsidRDefault="00014163" w:rsidP="00014163">
            <w:pPr>
              <w:spacing w:line="264" w:lineRule="auto"/>
            </w:pPr>
          </w:p>
        </w:tc>
        <w:tc>
          <w:tcPr>
            <w:tcW w:w="1701" w:type="dxa"/>
            <w:vAlign w:val="center"/>
          </w:tcPr>
          <w:p w14:paraId="6A4DFEC8" w14:textId="77777777" w:rsidR="00014163" w:rsidRPr="00A80D98" w:rsidRDefault="00014163" w:rsidP="07D4DC27">
            <w:pPr>
              <w:spacing w:line="264" w:lineRule="auto"/>
              <w:jc w:val="center"/>
            </w:pPr>
          </w:p>
        </w:tc>
        <w:tc>
          <w:tcPr>
            <w:tcW w:w="1701" w:type="dxa"/>
            <w:vAlign w:val="center"/>
          </w:tcPr>
          <w:p w14:paraId="4D3427A1" w14:textId="77777777" w:rsidR="00014163" w:rsidRPr="00A80D98" w:rsidRDefault="00014163" w:rsidP="07D4DC27">
            <w:pPr>
              <w:spacing w:line="264" w:lineRule="auto"/>
              <w:jc w:val="center"/>
            </w:pPr>
          </w:p>
        </w:tc>
        <w:tc>
          <w:tcPr>
            <w:tcW w:w="1701" w:type="dxa"/>
            <w:vAlign w:val="center"/>
          </w:tcPr>
          <w:p w14:paraId="64E137AF" w14:textId="77777777" w:rsidR="00014163" w:rsidRPr="00A80D98" w:rsidRDefault="00014163" w:rsidP="07D4DC27">
            <w:pPr>
              <w:spacing w:line="264" w:lineRule="auto"/>
              <w:jc w:val="center"/>
            </w:pPr>
          </w:p>
        </w:tc>
      </w:tr>
      <w:tr w:rsidR="00014163" w:rsidRPr="00014163" w14:paraId="080F3068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596F9EDE" w14:textId="77777777" w:rsidR="00014163" w:rsidRPr="00014163" w:rsidRDefault="00014163" w:rsidP="00014163">
            <w:pPr>
              <w:spacing w:line="264" w:lineRule="auto"/>
              <w:rPr>
                <w:b/>
              </w:rPr>
            </w:pPr>
            <w:r w:rsidRPr="00014163">
              <w:rPr>
                <w:b/>
              </w:rPr>
              <w:t>Finance</w:t>
            </w:r>
          </w:p>
        </w:tc>
        <w:tc>
          <w:tcPr>
            <w:tcW w:w="1701" w:type="dxa"/>
            <w:vAlign w:val="center"/>
          </w:tcPr>
          <w:p w14:paraId="2A2E9E7D" w14:textId="0673A2EA" w:rsidR="00014163" w:rsidRPr="00A80D98" w:rsidRDefault="6C35DA80" w:rsidP="6C35DA80">
            <w:pPr>
              <w:spacing w:line="264" w:lineRule="auto"/>
              <w:jc w:val="center"/>
              <w:rPr>
                <w:b/>
              </w:rPr>
            </w:pPr>
            <w:r w:rsidRPr="00A80D98">
              <w:rPr>
                <w:b/>
              </w:rPr>
              <w:t>3</w:t>
            </w:r>
            <w:r w:rsidR="006E1369" w:rsidRPr="00A80D98">
              <w:rPr>
                <w:b/>
              </w:rPr>
              <w:t>3.5</w:t>
            </w:r>
          </w:p>
        </w:tc>
        <w:tc>
          <w:tcPr>
            <w:tcW w:w="1701" w:type="dxa"/>
            <w:vAlign w:val="center"/>
          </w:tcPr>
          <w:p w14:paraId="5982F434" w14:textId="380AEE98" w:rsidR="00014163" w:rsidRPr="00A80D98" w:rsidRDefault="6C35DA80" w:rsidP="6C35DA80">
            <w:pPr>
              <w:spacing w:line="264" w:lineRule="auto"/>
              <w:jc w:val="center"/>
              <w:rPr>
                <w:b/>
              </w:rPr>
            </w:pPr>
            <w:r w:rsidRPr="00A80D98">
              <w:rPr>
                <w:b/>
              </w:rPr>
              <w:t>(</w:t>
            </w:r>
            <w:r w:rsidR="006E1369" w:rsidRPr="00A80D98">
              <w:rPr>
                <w:b/>
              </w:rPr>
              <w:t>46.0</w:t>
            </w:r>
            <w:r w:rsidRPr="00A80D98">
              <w:rPr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14:paraId="0FDF6415" w14:textId="06B2392B" w:rsidR="00014163" w:rsidRPr="00A80D98" w:rsidRDefault="6C35DA80" w:rsidP="6C35DA80">
            <w:pPr>
              <w:spacing w:line="264" w:lineRule="auto"/>
              <w:jc w:val="center"/>
              <w:rPr>
                <w:b/>
              </w:rPr>
            </w:pPr>
            <w:r w:rsidRPr="00A80D98">
              <w:rPr>
                <w:b/>
              </w:rPr>
              <w:t>(</w:t>
            </w:r>
            <w:r w:rsidR="00A80D98" w:rsidRPr="00A80D98">
              <w:rPr>
                <w:b/>
                <w:bCs/>
              </w:rPr>
              <w:t>12.5</w:t>
            </w:r>
            <w:r w:rsidRPr="00A80D98">
              <w:rPr>
                <w:b/>
              </w:rPr>
              <w:t>)</w:t>
            </w:r>
          </w:p>
        </w:tc>
      </w:tr>
      <w:tr w:rsidR="6C35DA80" w14:paraId="25715424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280A3D27" w14:textId="3A553F2B" w:rsidR="6C35DA80" w:rsidRDefault="6C35DA80" w:rsidP="6C35DA80">
            <w:pPr>
              <w:spacing w:line="264" w:lineRule="auto"/>
              <w:rPr>
                <w:b/>
                <w:bCs/>
                <w:szCs w:val="24"/>
              </w:rPr>
            </w:pPr>
            <w:r w:rsidRPr="6C35DA80">
              <w:rPr>
                <w:b/>
                <w:bCs/>
                <w:szCs w:val="24"/>
              </w:rPr>
              <w:t>Investment Properties</w:t>
            </w:r>
          </w:p>
        </w:tc>
        <w:tc>
          <w:tcPr>
            <w:tcW w:w="1701" w:type="dxa"/>
            <w:vAlign w:val="center"/>
          </w:tcPr>
          <w:p w14:paraId="607B9556" w14:textId="472B6322" w:rsidR="6C35DA80" w:rsidRPr="00A80D98" w:rsidRDefault="00A80D98" w:rsidP="6C35DA80">
            <w:pPr>
              <w:spacing w:line="264" w:lineRule="auto"/>
              <w:jc w:val="center"/>
              <w:rPr>
                <w:b/>
                <w:szCs w:val="24"/>
              </w:rPr>
            </w:pPr>
            <w:r w:rsidRPr="00A80D98">
              <w:rPr>
                <w:b/>
                <w:bCs/>
                <w:szCs w:val="24"/>
              </w:rPr>
              <w:t>10.0</w:t>
            </w:r>
          </w:p>
        </w:tc>
        <w:tc>
          <w:tcPr>
            <w:tcW w:w="1701" w:type="dxa"/>
            <w:vAlign w:val="center"/>
          </w:tcPr>
          <w:p w14:paraId="2B0E2CF7" w14:textId="54C74E51" w:rsidR="6C35DA80" w:rsidRPr="00A80D98" w:rsidRDefault="6C35DA80" w:rsidP="6C35DA80">
            <w:pPr>
              <w:spacing w:line="264" w:lineRule="auto"/>
              <w:jc w:val="center"/>
              <w:rPr>
                <w:b/>
                <w:szCs w:val="24"/>
              </w:rPr>
            </w:pPr>
            <w:r w:rsidRPr="00A80D98">
              <w:rPr>
                <w:b/>
                <w:szCs w:val="24"/>
              </w:rPr>
              <w:t>(14.1)</w:t>
            </w:r>
          </w:p>
        </w:tc>
        <w:tc>
          <w:tcPr>
            <w:tcW w:w="1701" w:type="dxa"/>
            <w:vAlign w:val="center"/>
          </w:tcPr>
          <w:p w14:paraId="4342C174" w14:textId="61D4E126" w:rsidR="6C35DA80" w:rsidRPr="00A80D98" w:rsidRDefault="6C35DA80" w:rsidP="6C35DA80">
            <w:pPr>
              <w:spacing w:line="264" w:lineRule="auto"/>
              <w:jc w:val="center"/>
              <w:rPr>
                <w:b/>
                <w:szCs w:val="24"/>
              </w:rPr>
            </w:pPr>
            <w:r w:rsidRPr="00A80D98">
              <w:rPr>
                <w:b/>
                <w:szCs w:val="24"/>
              </w:rPr>
              <w:t>(4.</w:t>
            </w:r>
            <w:r w:rsidR="00A80D98" w:rsidRPr="00A80D98">
              <w:rPr>
                <w:b/>
                <w:bCs/>
                <w:szCs w:val="24"/>
              </w:rPr>
              <w:t>1</w:t>
            </w:r>
            <w:r w:rsidRPr="00A80D98">
              <w:rPr>
                <w:b/>
                <w:szCs w:val="24"/>
              </w:rPr>
              <w:t>)</w:t>
            </w:r>
          </w:p>
        </w:tc>
      </w:tr>
      <w:tr w:rsidR="00014163" w:rsidRPr="00014163" w14:paraId="3487366C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66B44DD9" w14:textId="77777777" w:rsidR="00014163" w:rsidRPr="00014163" w:rsidRDefault="00014163" w:rsidP="6C35DA80">
            <w:pPr>
              <w:spacing w:line="264" w:lineRule="auto"/>
              <w:rPr>
                <w:b/>
                <w:bCs/>
              </w:rPr>
            </w:pPr>
            <w:r w:rsidRPr="6C35DA80">
              <w:rPr>
                <w:b/>
                <w:bCs/>
              </w:rPr>
              <w:t>Place</w:t>
            </w:r>
          </w:p>
        </w:tc>
        <w:tc>
          <w:tcPr>
            <w:tcW w:w="1701" w:type="dxa"/>
            <w:vAlign w:val="center"/>
          </w:tcPr>
          <w:p w14:paraId="2E1B5952" w14:textId="09C60082" w:rsidR="00014163" w:rsidRPr="00A80D98" w:rsidRDefault="6C35DA80" w:rsidP="6C35DA80">
            <w:pPr>
              <w:spacing w:line="264" w:lineRule="auto"/>
              <w:jc w:val="center"/>
              <w:rPr>
                <w:b/>
              </w:rPr>
            </w:pPr>
            <w:r w:rsidRPr="00A80D98">
              <w:rPr>
                <w:b/>
                <w:bCs/>
              </w:rPr>
              <w:t>4</w:t>
            </w:r>
            <w:r w:rsidR="00A80D98" w:rsidRPr="00A80D98">
              <w:rPr>
                <w:b/>
                <w:bCs/>
              </w:rPr>
              <w:t>7</w:t>
            </w:r>
            <w:r w:rsidRPr="00A80D98">
              <w:rPr>
                <w:b/>
              </w:rPr>
              <w:t>.6</w:t>
            </w:r>
          </w:p>
        </w:tc>
        <w:tc>
          <w:tcPr>
            <w:tcW w:w="1701" w:type="dxa"/>
            <w:vAlign w:val="center"/>
          </w:tcPr>
          <w:p w14:paraId="6A3E704F" w14:textId="5440C16A" w:rsidR="00014163" w:rsidRPr="00A80D98" w:rsidRDefault="6C35DA80" w:rsidP="6C35DA80">
            <w:pPr>
              <w:spacing w:line="264" w:lineRule="auto"/>
              <w:jc w:val="center"/>
              <w:rPr>
                <w:b/>
              </w:rPr>
            </w:pPr>
            <w:r w:rsidRPr="00A80D98">
              <w:rPr>
                <w:b/>
              </w:rPr>
              <w:t>(</w:t>
            </w:r>
            <w:r w:rsidRPr="00A80D98">
              <w:rPr>
                <w:b/>
                <w:bCs/>
              </w:rPr>
              <w:t>2</w:t>
            </w:r>
            <w:r w:rsidR="00A80D98" w:rsidRPr="00A80D98">
              <w:rPr>
                <w:b/>
                <w:bCs/>
              </w:rPr>
              <w:t>4.9</w:t>
            </w:r>
            <w:r w:rsidRPr="00A80D98">
              <w:rPr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14:paraId="78677883" w14:textId="378F9EF4" w:rsidR="00014163" w:rsidRPr="00A80D98" w:rsidRDefault="6C35DA80" w:rsidP="6C35DA80">
            <w:pPr>
              <w:spacing w:line="264" w:lineRule="auto"/>
              <w:jc w:val="center"/>
              <w:rPr>
                <w:b/>
              </w:rPr>
            </w:pPr>
            <w:r w:rsidRPr="00A80D98">
              <w:rPr>
                <w:b/>
                <w:bCs/>
              </w:rPr>
              <w:t>2</w:t>
            </w:r>
            <w:r w:rsidR="00A80D98" w:rsidRPr="00A80D98">
              <w:rPr>
                <w:b/>
                <w:bCs/>
              </w:rPr>
              <w:t>2.7</w:t>
            </w:r>
          </w:p>
        </w:tc>
      </w:tr>
      <w:tr w:rsidR="6C35DA80" w14:paraId="28B35DCB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6AAB9AA9" w14:textId="01E91688" w:rsidR="6C35DA80" w:rsidRDefault="6C35DA80" w:rsidP="6C35DA80">
            <w:pPr>
              <w:spacing w:line="264" w:lineRule="auto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ABDDB7" w14:textId="723A3751" w:rsidR="6C35DA80" w:rsidRPr="00A80D98" w:rsidRDefault="6C35DA80" w:rsidP="6C35DA80">
            <w:pPr>
              <w:spacing w:line="264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DC479E" w14:textId="60E7C0BB" w:rsidR="6C35DA80" w:rsidRPr="00A80D98" w:rsidRDefault="6C35DA80" w:rsidP="6C35DA80">
            <w:pPr>
              <w:spacing w:line="264" w:lineRule="auto"/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B770E6" w14:textId="475282AB" w:rsidR="6C35DA80" w:rsidRPr="00A80D98" w:rsidRDefault="6C35DA80" w:rsidP="6C35DA80">
            <w:pPr>
              <w:spacing w:line="264" w:lineRule="auto"/>
              <w:jc w:val="center"/>
              <w:rPr>
                <w:b/>
                <w:szCs w:val="24"/>
              </w:rPr>
            </w:pPr>
          </w:p>
        </w:tc>
      </w:tr>
      <w:tr w:rsidR="00014163" w:rsidRPr="00014163" w14:paraId="6ABF3FDD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10730BA1" w14:textId="77777777" w:rsidR="00014163" w:rsidRPr="00014163" w:rsidRDefault="00014163" w:rsidP="00014163">
            <w:pPr>
              <w:spacing w:line="264" w:lineRule="auto"/>
              <w:rPr>
                <w:b/>
              </w:rPr>
            </w:pPr>
            <w:r w:rsidRPr="00014163">
              <w:rPr>
                <w:b/>
              </w:rPr>
              <w:t>TOTAL</w:t>
            </w:r>
          </w:p>
        </w:tc>
        <w:tc>
          <w:tcPr>
            <w:tcW w:w="1701" w:type="dxa"/>
            <w:vAlign w:val="center"/>
          </w:tcPr>
          <w:p w14:paraId="2891E9AB" w14:textId="28BAB651" w:rsidR="00014163" w:rsidRPr="00A80D98" w:rsidRDefault="6C35DA80" w:rsidP="6C35DA80">
            <w:pPr>
              <w:spacing w:line="264" w:lineRule="auto"/>
              <w:jc w:val="center"/>
              <w:rPr>
                <w:b/>
              </w:rPr>
            </w:pPr>
            <w:r w:rsidRPr="00A80D98">
              <w:rPr>
                <w:b/>
                <w:bCs/>
              </w:rPr>
              <w:t>3</w:t>
            </w:r>
            <w:r w:rsidR="00A80D98" w:rsidRPr="00A80D98">
              <w:rPr>
                <w:b/>
                <w:bCs/>
              </w:rPr>
              <w:t>49.8</w:t>
            </w:r>
          </w:p>
        </w:tc>
        <w:tc>
          <w:tcPr>
            <w:tcW w:w="1701" w:type="dxa"/>
            <w:vAlign w:val="center"/>
          </w:tcPr>
          <w:p w14:paraId="00BE1839" w14:textId="67925FB5" w:rsidR="00014163" w:rsidRPr="00A80D98" w:rsidRDefault="6C35DA80" w:rsidP="6C35DA80">
            <w:pPr>
              <w:spacing w:line="264" w:lineRule="auto"/>
              <w:jc w:val="center"/>
              <w:rPr>
                <w:b/>
              </w:rPr>
            </w:pPr>
            <w:r w:rsidRPr="00A80D98">
              <w:rPr>
                <w:b/>
              </w:rPr>
              <w:t>(</w:t>
            </w:r>
            <w:r w:rsidRPr="00A80D98">
              <w:rPr>
                <w:b/>
                <w:bCs/>
              </w:rPr>
              <w:t>2</w:t>
            </w:r>
            <w:r w:rsidR="00A80D98" w:rsidRPr="00A80D98">
              <w:rPr>
                <w:b/>
                <w:bCs/>
              </w:rPr>
              <w:t>18.8</w:t>
            </w:r>
            <w:r w:rsidRPr="00A80D98">
              <w:rPr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14:paraId="17B3E0AE" w14:textId="01D387B7" w:rsidR="00014163" w:rsidRPr="00A80D98" w:rsidRDefault="07D4DC27" w:rsidP="07D4DC27">
            <w:pPr>
              <w:spacing w:line="264" w:lineRule="auto"/>
              <w:jc w:val="center"/>
              <w:rPr>
                <w:b/>
              </w:rPr>
            </w:pPr>
            <w:r w:rsidRPr="00A80D98">
              <w:rPr>
                <w:b/>
                <w:bCs/>
              </w:rPr>
              <w:t>1</w:t>
            </w:r>
            <w:r w:rsidR="00A80D98" w:rsidRPr="00A80D98">
              <w:rPr>
                <w:b/>
                <w:bCs/>
              </w:rPr>
              <w:t>31.0</w:t>
            </w:r>
          </w:p>
        </w:tc>
      </w:tr>
      <w:tr w:rsidR="00014163" w:rsidRPr="00014163" w14:paraId="4A5ED18C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4601DFA8" w14:textId="77777777" w:rsidR="00014163" w:rsidRPr="00014163" w:rsidRDefault="00014163" w:rsidP="00014163">
            <w:pPr>
              <w:spacing w:line="264" w:lineRule="auto"/>
              <w:rPr>
                <w:b/>
              </w:rPr>
            </w:pPr>
          </w:p>
        </w:tc>
        <w:tc>
          <w:tcPr>
            <w:tcW w:w="1701" w:type="dxa"/>
          </w:tcPr>
          <w:p w14:paraId="50EE146F" w14:textId="77777777" w:rsidR="00014163" w:rsidRPr="00FD037D" w:rsidRDefault="00014163" w:rsidP="00014163">
            <w:pPr>
              <w:spacing w:line="264" w:lineRule="auto"/>
              <w:rPr>
                <w:b/>
                <w:highlight w:val="yellow"/>
              </w:rPr>
            </w:pPr>
          </w:p>
        </w:tc>
        <w:tc>
          <w:tcPr>
            <w:tcW w:w="1701" w:type="dxa"/>
          </w:tcPr>
          <w:p w14:paraId="5892CF73" w14:textId="77777777" w:rsidR="00014163" w:rsidRPr="00FD037D" w:rsidRDefault="00014163" w:rsidP="00014163">
            <w:pPr>
              <w:spacing w:line="264" w:lineRule="auto"/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32D428D" w14:textId="77777777" w:rsidR="00014163" w:rsidRPr="00FD037D" w:rsidRDefault="00014163" w:rsidP="00014163">
            <w:pPr>
              <w:spacing w:line="264" w:lineRule="auto"/>
              <w:rPr>
                <w:b/>
                <w:highlight w:val="yellow"/>
              </w:rPr>
            </w:pPr>
          </w:p>
        </w:tc>
      </w:tr>
      <w:tr w:rsidR="00014163" w:rsidRPr="00014163" w14:paraId="06C4B32B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3299B5C9" w14:textId="77777777" w:rsidR="00014163" w:rsidRPr="00014163" w:rsidRDefault="00014163" w:rsidP="00014163">
            <w:pPr>
              <w:spacing w:line="264" w:lineRule="auto"/>
              <w:rPr>
                <w:b/>
              </w:rPr>
            </w:pPr>
            <w:r w:rsidRPr="00014163">
              <w:rPr>
                <w:b/>
              </w:rPr>
              <w:t>Sources of Funding</w:t>
            </w:r>
          </w:p>
        </w:tc>
        <w:tc>
          <w:tcPr>
            <w:tcW w:w="1701" w:type="dxa"/>
          </w:tcPr>
          <w:p w14:paraId="4DDFB643" w14:textId="77777777" w:rsidR="00014163" w:rsidRPr="00FD037D" w:rsidRDefault="00014163" w:rsidP="00014163">
            <w:pPr>
              <w:spacing w:line="264" w:lineRule="auto"/>
              <w:rPr>
                <w:b/>
                <w:highlight w:val="yellow"/>
              </w:rPr>
            </w:pPr>
          </w:p>
        </w:tc>
        <w:tc>
          <w:tcPr>
            <w:tcW w:w="1701" w:type="dxa"/>
          </w:tcPr>
          <w:p w14:paraId="1A6004CE" w14:textId="77777777" w:rsidR="00014163" w:rsidRPr="00FD037D" w:rsidRDefault="00014163" w:rsidP="00014163">
            <w:pPr>
              <w:spacing w:line="264" w:lineRule="auto"/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0A50BDB" w14:textId="77777777" w:rsidR="00014163" w:rsidRPr="00FD037D" w:rsidRDefault="00014163" w:rsidP="00014163">
            <w:pPr>
              <w:spacing w:line="264" w:lineRule="auto"/>
              <w:rPr>
                <w:b/>
                <w:highlight w:val="yellow"/>
              </w:rPr>
            </w:pPr>
          </w:p>
        </w:tc>
      </w:tr>
      <w:tr w:rsidR="00014163" w:rsidRPr="00014163" w14:paraId="5213AE64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2EF45E48" w14:textId="3EA733FA" w:rsidR="00014163" w:rsidRPr="00014163" w:rsidRDefault="00014163" w:rsidP="00014163">
            <w:pPr>
              <w:spacing w:line="264" w:lineRule="auto"/>
            </w:pPr>
            <w:r>
              <w:t>Council Tax</w:t>
            </w:r>
          </w:p>
        </w:tc>
        <w:tc>
          <w:tcPr>
            <w:tcW w:w="1701" w:type="dxa"/>
          </w:tcPr>
          <w:p w14:paraId="6FD1A9C6" w14:textId="77777777" w:rsidR="00014163" w:rsidRPr="00FD037D" w:rsidRDefault="00014163" w:rsidP="00014163">
            <w:pPr>
              <w:spacing w:line="264" w:lineRule="auto"/>
              <w:rPr>
                <w:b/>
                <w:highlight w:val="yellow"/>
              </w:rPr>
            </w:pPr>
          </w:p>
        </w:tc>
        <w:tc>
          <w:tcPr>
            <w:tcW w:w="1701" w:type="dxa"/>
          </w:tcPr>
          <w:p w14:paraId="596B04EB" w14:textId="77777777" w:rsidR="00014163" w:rsidRPr="00FD037D" w:rsidRDefault="00014163" w:rsidP="00014163">
            <w:pPr>
              <w:spacing w:line="264" w:lineRule="auto"/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9A88C1A" w14:textId="157697F5" w:rsidR="00014163" w:rsidRPr="00A80D98" w:rsidRDefault="00A80D98" w:rsidP="6C35DA80">
            <w:pPr>
              <w:spacing w:line="264" w:lineRule="auto"/>
              <w:jc w:val="center"/>
              <w:rPr>
                <w:szCs w:val="24"/>
              </w:rPr>
            </w:pPr>
            <w:r w:rsidRPr="00A80D98">
              <w:t>82.7</w:t>
            </w:r>
          </w:p>
        </w:tc>
      </w:tr>
      <w:tr w:rsidR="00014163" w:rsidRPr="00014163" w14:paraId="7F48A777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5816105D" w14:textId="77777777" w:rsidR="00014163" w:rsidRPr="00014163" w:rsidRDefault="00014163" w:rsidP="00014163">
            <w:pPr>
              <w:spacing w:line="264" w:lineRule="auto"/>
            </w:pPr>
            <w:r w:rsidRPr="00014163">
              <w:t>Collection Fund Surplus/(Deficit)</w:t>
            </w:r>
          </w:p>
        </w:tc>
        <w:tc>
          <w:tcPr>
            <w:tcW w:w="1701" w:type="dxa"/>
          </w:tcPr>
          <w:p w14:paraId="617E980D" w14:textId="77777777" w:rsidR="00014163" w:rsidRPr="00FD037D" w:rsidRDefault="00014163" w:rsidP="00014163">
            <w:pPr>
              <w:spacing w:line="264" w:lineRule="auto"/>
              <w:rPr>
                <w:b/>
                <w:highlight w:val="yellow"/>
              </w:rPr>
            </w:pPr>
          </w:p>
        </w:tc>
        <w:tc>
          <w:tcPr>
            <w:tcW w:w="1701" w:type="dxa"/>
          </w:tcPr>
          <w:p w14:paraId="509C0383" w14:textId="77777777" w:rsidR="00014163" w:rsidRPr="00FD037D" w:rsidRDefault="00014163" w:rsidP="00014163">
            <w:pPr>
              <w:spacing w:line="264" w:lineRule="auto"/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C3F9BCC" w14:textId="65D8C9A7" w:rsidR="00014163" w:rsidRPr="00A80D98" w:rsidRDefault="07D4DC27" w:rsidP="07D4DC27">
            <w:pPr>
              <w:spacing w:line="264" w:lineRule="auto"/>
              <w:jc w:val="center"/>
            </w:pPr>
            <w:r w:rsidRPr="00A80D98">
              <w:t>0.</w:t>
            </w:r>
            <w:r w:rsidR="00A80D98" w:rsidRPr="00A80D98">
              <w:t>5</w:t>
            </w:r>
          </w:p>
        </w:tc>
      </w:tr>
      <w:tr w:rsidR="00014163" w:rsidRPr="00014163" w14:paraId="5FE228B3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214D6F93" w14:textId="77777777" w:rsidR="00014163" w:rsidRPr="00014163" w:rsidRDefault="00014163" w:rsidP="00014163">
            <w:pPr>
              <w:spacing w:line="264" w:lineRule="auto"/>
            </w:pPr>
            <w:r w:rsidRPr="00014163">
              <w:t>Revenue Support Grant</w:t>
            </w:r>
          </w:p>
        </w:tc>
        <w:tc>
          <w:tcPr>
            <w:tcW w:w="1701" w:type="dxa"/>
          </w:tcPr>
          <w:p w14:paraId="32BE313F" w14:textId="77777777" w:rsidR="00014163" w:rsidRPr="00FD037D" w:rsidRDefault="00014163" w:rsidP="00014163">
            <w:pPr>
              <w:spacing w:line="264" w:lineRule="auto"/>
              <w:rPr>
                <w:b/>
                <w:highlight w:val="yellow"/>
              </w:rPr>
            </w:pPr>
          </w:p>
        </w:tc>
        <w:tc>
          <w:tcPr>
            <w:tcW w:w="1701" w:type="dxa"/>
          </w:tcPr>
          <w:p w14:paraId="4574055E" w14:textId="77777777" w:rsidR="00014163" w:rsidRPr="00FD037D" w:rsidRDefault="00014163" w:rsidP="00014163">
            <w:pPr>
              <w:spacing w:line="264" w:lineRule="auto"/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EFECBEE" w14:textId="4A057B2B" w:rsidR="00014163" w:rsidRPr="00A80D98" w:rsidRDefault="00A80D98" w:rsidP="07D4DC27">
            <w:pPr>
              <w:spacing w:line="264" w:lineRule="auto"/>
              <w:jc w:val="center"/>
            </w:pPr>
            <w:r w:rsidRPr="00A80D98">
              <w:t>7.7</w:t>
            </w:r>
          </w:p>
        </w:tc>
      </w:tr>
      <w:tr w:rsidR="00014163" w:rsidRPr="00014163" w14:paraId="343A7FE0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0240408F" w14:textId="77777777" w:rsidR="00014163" w:rsidRPr="00014163" w:rsidRDefault="00014163" w:rsidP="00014163">
            <w:pPr>
              <w:spacing w:line="264" w:lineRule="auto"/>
            </w:pPr>
            <w:r w:rsidRPr="00014163">
              <w:t>Business Rates (NNDR)</w:t>
            </w:r>
          </w:p>
        </w:tc>
        <w:tc>
          <w:tcPr>
            <w:tcW w:w="1701" w:type="dxa"/>
          </w:tcPr>
          <w:p w14:paraId="75F96624" w14:textId="77777777" w:rsidR="00014163" w:rsidRPr="00FD037D" w:rsidRDefault="00014163" w:rsidP="00014163">
            <w:pPr>
              <w:spacing w:line="264" w:lineRule="auto"/>
              <w:rPr>
                <w:b/>
                <w:highlight w:val="yellow"/>
              </w:rPr>
            </w:pPr>
          </w:p>
        </w:tc>
        <w:tc>
          <w:tcPr>
            <w:tcW w:w="1701" w:type="dxa"/>
          </w:tcPr>
          <w:p w14:paraId="7BD07C1F" w14:textId="77777777" w:rsidR="00014163" w:rsidRPr="00FD037D" w:rsidRDefault="00014163" w:rsidP="00014163">
            <w:pPr>
              <w:spacing w:line="264" w:lineRule="auto"/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836AA93" w14:textId="6ED03817" w:rsidR="00014163" w:rsidRPr="00A80D98" w:rsidRDefault="00A80D98" w:rsidP="07D4DC27">
            <w:pPr>
              <w:spacing w:line="264" w:lineRule="auto"/>
              <w:jc w:val="center"/>
            </w:pPr>
            <w:r w:rsidRPr="00A80D98">
              <w:t>40.1</w:t>
            </w:r>
          </w:p>
        </w:tc>
      </w:tr>
      <w:tr w:rsidR="00014163" w:rsidRPr="00014163" w14:paraId="7D1F418F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4348903D" w14:textId="26F8C7CC" w:rsidR="00014163" w:rsidRPr="00014163" w:rsidRDefault="00014163" w:rsidP="00014163">
            <w:pPr>
              <w:spacing w:line="264" w:lineRule="auto"/>
            </w:pPr>
            <w:r w:rsidRPr="00014163">
              <w:t>Other Grants</w:t>
            </w:r>
          </w:p>
        </w:tc>
        <w:tc>
          <w:tcPr>
            <w:tcW w:w="1701" w:type="dxa"/>
          </w:tcPr>
          <w:p w14:paraId="51D24229" w14:textId="77777777" w:rsidR="00014163" w:rsidRPr="00FD037D" w:rsidRDefault="00014163" w:rsidP="00014163">
            <w:pPr>
              <w:spacing w:line="264" w:lineRule="auto"/>
              <w:rPr>
                <w:b/>
                <w:highlight w:val="yellow"/>
              </w:rPr>
            </w:pPr>
          </w:p>
        </w:tc>
        <w:tc>
          <w:tcPr>
            <w:tcW w:w="1701" w:type="dxa"/>
          </w:tcPr>
          <w:p w14:paraId="0A40FC1C" w14:textId="77777777" w:rsidR="00014163" w:rsidRPr="00FD037D" w:rsidRDefault="00014163" w:rsidP="00014163">
            <w:pPr>
              <w:spacing w:line="264" w:lineRule="auto"/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A147025" w14:textId="5F71F498" w:rsidR="00014163" w:rsidRPr="00A80D98" w:rsidRDefault="07D4DC27" w:rsidP="07D4DC27">
            <w:pPr>
              <w:spacing w:line="264" w:lineRule="auto"/>
              <w:jc w:val="center"/>
            </w:pPr>
            <w:r w:rsidRPr="00A80D98">
              <w:t>0</w:t>
            </w:r>
          </w:p>
        </w:tc>
      </w:tr>
      <w:tr w:rsidR="00014163" w:rsidRPr="00014163" w14:paraId="7A55FD61" w14:textId="77777777" w:rsidTr="49D3A721">
        <w:trPr>
          <w:trHeight w:val="397"/>
        </w:trPr>
        <w:tc>
          <w:tcPr>
            <w:tcW w:w="5387" w:type="dxa"/>
            <w:vAlign w:val="center"/>
          </w:tcPr>
          <w:p w14:paraId="3323108C" w14:textId="77777777" w:rsidR="00014163" w:rsidRPr="00014163" w:rsidRDefault="00014163" w:rsidP="00014163">
            <w:pPr>
              <w:spacing w:line="264" w:lineRule="auto"/>
              <w:rPr>
                <w:b/>
              </w:rPr>
            </w:pPr>
            <w:r w:rsidRPr="00014163">
              <w:rPr>
                <w:b/>
              </w:rPr>
              <w:t>TOTAL</w:t>
            </w:r>
          </w:p>
        </w:tc>
        <w:tc>
          <w:tcPr>
            <w:tcW w:w="1701" w:type="dxa"/>
          </w:tcPr>
          <w:p w14:paraId="633E9F9A" w14:textId="77777777" w:rsidR="00014163" w:rsidRPr="00FD037D" w:rsidRDefault="00014163" w:rsidP="00014163">
            <w:pPr>
              <w:spacing w:line="264" w:lineRule="auto"/>
              <w:rPr>
                <w:b/>
                <w:highlight w:val="yellow"/>
              </w:rPr>
            </w:pPr>
          </w:p>
        </w:tc>
        <w:tc>
          <w:tcPr>
            <w:tcW w:w="1701" w:type="dxa"/>
          </w:tcPr>
          <w:p w14:paraId="747DC17E" w14:textId="77777777" w:rsidR="00014163" w:rsidRPr="00FD037D" w:rsidRDefault="00014163" w:rsidP="00014163">
            <w:pPr>
              <w:spacing w:line="264" w:lineRule="auto"/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774E3DB" w14:textId="546C0942" w:rsidR="00014163" w:rsidRPr="00A80D98" w:rsidRDefault="07D4DC27" w:rsidP="07D4DC27">
            <w:pPr>
              <w:spacing w:line="264" w:lineRule="auto"/>
              <w:jc w:val="center"/>
              <w:rPr>
                <w:b/>
              </w:rPr>
            </w:pPr>
            <w:r w:rsidRPr="00A80D98">
              <w:rPr>
                <w:b/>
                <w:bCs/>
              </w:rPr>
              <w:t>1</w:t>
            </w:r>
            <w:r w:rsidR="00A80D98" w:rsidRPr="00A80D98">
              <w:rPr>
                <w:b/>
                <w:bCs/>
              </w:rPr>
              <w:t>31.0</w:t>
            </w:r>
          </w:p>
        </w:tc>
      </w:tr>
    </w:tbl>
    <w:p w14:paraId="4FE6749D" w14:textId="4D0958D8" w:rsidR="00014163" w:rsidRPr="00014163" w:rsidRDefault="00014163" w:rsidP="00014163">
      <w:pPr>
        <w:spacing w:line="264" w:lineRule="auto"/>
        <w:rPr>
          <w:b/>
          <w:bCs/>
        </w:rPr>
      </w:pPr>
      <w:r w:rsidRPr="00014163">
        <w:rPr>
          <w:b/>
          <w:bCs/>
        </w:rPr>
        <w:t xml:space="preserve">Table </w:t>
      </w:r>
      <w:r w:rsidR="004C68A7">
        <w:rPr>
          <w:b/>
          <w:bCs/>
        </w:rPr>
        <w:t>2</w:t>
      </w:r>
      <w:r w:rsidRPr="00014163">
        <w:rPr>
          <w:b/>
          <w:bCs/>
        </w:rPr>
        <w:t xml:space="preserve">:  Revenue Budget </w:t>
      </w:r>
      <w:r w:rsidR="004C68A7">
        <w:rPr>
          <w:b/>
          <w:bCs/>
        </w:rPr>
        <w:t>2023/202</w:t>
      </w:r>
      <w:r w:rsidR="00E02596">
        <w:rPr>
          <w:b/>
          <w:bCs/>
        </w:rPr>
        <w:t>4</w:t>
      </w:r>
      <w:r w:rsidRPr="00014163">
        <w:rPr>
          <w:b/>
          <w:bCs/>
        </w:rPr>
        <w:t xml:space="preserve"> - Summary</w:t>
      </w:r>
    </w:p>
    <w:p w14:paraId="498AD36D" w14:textId="440E8B7F" w:rsidR="00014163" w:rsidRPr="00014163" w:rsidRDefault="00014163" w:rsidP="004C68A7">
      <w:r w:rsidRPr="00014163">
        <w:t xml:space="preserve">The value of Council Tax </w:t>
      </w:r>
      <w:r>
        <w:t>after</w:t>
      </w:r>
      <w:r w:rsidRPr="00014163">
        <w:t xml:space="preserve"> a rise in the Torbay element of the Council Tax of </w:t>
      </w:r>
      <w:r w:rsidR="00FD037D">
        <w:t>2</w:t>
      </w:r>
      <w:r>
        <w:t>.99%</w:t>
      </w:r>
      <w:r w:rsidRPr="00014163">
        <w:t xml:space="preserve"> </w:t>
      </w:r>
      <w:r>
        <w:t xml:space="preserve">and a </w:t>
      </w:r>
      <w:r w:rsidR="00FD037D">
        <w:t>2</w:t>
      </w:r>
      <w:r>
        <w:t xml:space="preserve">% rise for </w:t>
      </w:r>
      <w:r w:rsidR="00FD037D">
        <w:t>a</w:t>
      </w:r>
      <w:r>
        <w:t xml:space="preserve">dult </w:t>
      </w:r>
      <w:r w:rsidR="00FD037D">
        <w:t>s</w:t>
      </w:r>
      <w:r>
        <w:t>ocial care is £</w:t>
      </w:r>
      <w:r w:rsidR="00C71666">
        <w:t>82.7</w:t>
      </w:r>
      <w:r>
        <w:t xml:space="preserve"> million.</w:t>
      </w:r>
      <w:r w:rsidRPr="00014163">
        <w:t xml:space="preserve">  </w:t>
      </w:r>
      <w:r w:rsidR="00DB1967">
        <w:t xml:space="preserve">This </w:t>
      </w:r>
      <w:r w:rsidR="00FD037D">
        <w:t>4</w:t>
      </w:r>
      <w:r>
        <w:t>.99%</w:t>
      </w:r>
      <w:r w:rsidRPr="00014163">
        <w:t xml:space="preserve"> rise will increase the Band D Council Tax in Torbay by £</w:t>
      </w:r>
      <w:r w:rsidR="00CD0302">
        <w:t>84.33</w:t>
      </w:r>
      <w:r w:rsidRPr="00014163">
        <w:t xml:space="preserve"> (of which </w:t>
      </w:r>
      <w:r>
        <w:t xml:space="preserve">the </w:t>
      </w:r>
      <w:r w:rsidR="00FD037D">
        <w:t>2</w:t>
      </w:r>
      <w:r>
        <w:t>%</w:t>
      </w:r>
      <w:r w:rsidRPr="00014163">
        <w:t xml:space="preserve"> rise for adult social care is </w:t>
      </w:r>
      <w:r w:rsidRPr="00D3419B">
        <w:t>£</w:t>
      </w:r>
      <w:r w:rsidR="00D3419B" w:rsidRPr="00D3419B">
        <w:t>33.80</w:t>
      </w:r>
      <w:r w:rsidRPr="00014163">
        <w:t xml:space="preserve">), which equates to </w:t>
      </w:r>
      <w:r w:rsidR="00CD0302">
        <w:t>£1.62</w:t>
      </w:r>
      <w:r w:rsidRPr="00014163">
        <w:t xml:space="preserve"> per week.</w:t>
      </w:r>
    </w:p>
    <w:p w14:paraId="6DDDD5AF" w14:textId="5216F1C8" w:rsidR="00014163" w:rsidRPr="00014163" w:rsidRDefault="00014163" w:rsidP="004C68A7">
      <w:r w:rsidRPr="00014163">
        <w:lastRenderedPageBreak/>
        <w:t>When the Council formally sets the Council Tax for 202</w:t>
      </w:r>
      <w:r w:rsidR="00FD037D">
        <w:t>3/2024</w:t>
      </w:r>
      <w:r w:rsidRPr="00014163">
        <w:t xml:space="preserve">, the Council’s budget </w:t>
      </w:r>
      <w:r w:rsidR="00CD6CD3" w:rsidRPr="00014163">
        <w:t>must</w:t>
      </w:r>
      <w:r w:rsidRPr="00014163">
        <w:t xml:space="preserve"> include the council tax requirement for Brixham Town Council</w:t>
      </w:r>
      <w:r w:rsidR="00CE0D41">
        <w:t>.</w:t>
      </w:r>
      <w:r w:rsidRPr="00014163">
        <w:t xml:space="preserve">  The value of this precept </w:t>
      </w:r>
      <w:r w:rsidR="00E02596">
        <w:t xml:space="preserve">(£0.394m) </w:t>
      </w:r>
      <w:r w:rsidRPr="00014163">
        <w:t>will be included as part of the Torbay Council budget for Council Tax setting purposes.</w:t>
      </w:r>
    </w:p>
    <w:p w14:paraId="725B99A6" w14:textId="77777777" w:rsidR="00014163" w:rsidRPr="00014163" w:rsidRDefault="00014163" w:rsidP="00014163">
      <w:pPr>
        <w:spacing w:line="264" w:lineRule="auto"/>
      </w:pPr>
    </w:p>
    <w:p w14:paraId="3F2277E8" w14:textId="77777777" w:rsidR="00014163" w:rsidRPr="00014163" w:rsidRDefault="00014163" w:rsidP="00014163">
      <w:pPr>
        <w:spacing w:line="264" w:lineRule="auto"/>
      </w:pPr>
      <w:bookmarkStart w:id="19" w:name="_Toc21608730"/>
      <w:bookmarkStart w:id="20" w:name="_Toc30411019"/>
      <w:r w:rsidRPr="00014163">
        <w:br w:type="page"/>
      </w:r>
    </w:p>
    <w:p w14:paraId="285EC9D6" w14:textId="05CF818C" w:rsidR="00014163" w:rsidRPr="00014163" w:rsidRDefault="00014163" w:rsidP="00F20673">
      <w:pPr>
        <w:pStyle w:val="Heading1"/>
      </w:pPr>
      <w:bookmarkStart w:id="21" w:name="_Toc61257248"/>
      <w:bookmarkStart w:id="22" w:name="_Toc127951263"/>
      <w:r w:rsidRPr="00014163">
        <w:lastRenderedPageBreak/>
        <w:t>Capital Plan 202</w:t>
      </w:r>
      <w:r w:rsidR="00520F6C">
        <w:t>3/2024</w:t>
      </w:r>
      <w:bookmarkEnd w:id="19"/>
      <w:bookmarkEnd w:id="20"/>
      <w:bookmarkEnd w:id="21"/>
      <w:bookmarkEnd w:id="22"/>
    </w:p>
    <w:p w14:paraId="24D5E245" w14:textId="30F80B60" w:rsidR="008165E0" w:rsidRDefault="009425D0" w:rsidP="009425D0">
      <w:r>
        <w:t xml:space="preserve">We explained within our </w:t>
      </w:r>
      <w:r w:rsidR="006C37FA">
        <w:t>consultation that</w:t>
      </w:r>
      <w:r w:rsidR="008165E0">
        <w:t>, a</w:t>
      </w:r>
      <w:r w:rsidRPr="00C57C9C">
        <w:t xml:space="preserve">s our operational (revenue) spend remains under pressure, it is vital that </w:t>
      </w:r>
      <w:r>
        <w:t>we</w:t>
      </w:r>
      <w:r w:rsidRPr="00C57C9C">
        <w:t xml:space="preserve"> maximise </w:t>
      </w:r>
      <w:r>
        <w:t xml:space="preserve">the </w:t>
      </w:r>
      <w:r w:rsidRPr="00C57C9C">
        <w:t>opportunities</w:t>
      </w:r>
      <w:r>
        <w:t xml:space="preserve"> within our Capital Plan. </w:t>
      </w:r>
      <w:r w:rsidRPr="00C57C9C">
        <w:t xml:space="preserve"> </w:t>
      </w:r>
    </w:p>
    <w:p w14:paraId="599FB35A" w14:textId="70FC83BF" w:rsidR="00384754" w:rsidRDefault="000149F7" w:rsidP="009425D0">
      <w:r>
        <w:t xml:space="preserve">It is now proposed that </w:t>
      </w:r>
      <w:r w:rsidR="00F72340">
        <w:t xml:space="preserve">our Capital Plan will include a £3 million capital borrowing facility </w:t>
      </w:r>
      <w:r w:rsidR="00BE524F">
        <w:t xml:space="preserve">for </w:t>
      </w:r>
      <w:r w:rsidR="0085131E">
        <w:t>c</w:t>
      </w:r>
      <w:r w:rsidR="00325217">
        <w:t>ommunity</w:t>
      </w:r>
      <w:r w:rsidR="0085131E">
        <w:t>-l</w:t>
      </w:r>
      <w:r w:rsidR="00325217">
        <w:t>ed affordable housing schemes w</w:t>
      </w:r>
      <w:r w:rsidR="00BE524F">
        <w:t xml:space="preserve">hich will enable </w:t>
      </w:r>
      <w:r w:rsidR="00325217">
        <w:t xml:space="preserve">local </w:t>
      </w:r>
      <w:r w:rsidR="00BE524F">
        <w:t xml:space="preserve">organisation to </w:t>
      </w:r>
      <w:r w:rsidR="00325217">
        <w:t xml:space="preserve">buy </w:t>
      </w:r>
      <w:r w:rsidR="00384754">
        <w:t>and improve properties for affordable housing.</w:t>
      </w:r>
    </w:p>
    <w:p w14:paraId="43EF29A5" w14:textId="497C38DC" w:rsidR="00F10782" w:rsidRDefault="006C37FA" w:rsidP="009425D0">
      <w:pPr>
        <w:rPr>
          <w:rStyle w:val="ui-provider"/>
        </w:rPr>
      </w:pPr>
      <w:r w:rsidRPr="004B1347">
        <w:t>Therefore,</w:t>
      </w:r>
      <w:r w:rsidR="00F10782" w:rsidRPr="004B1347">
        <w:t xml:space="preserve"> our four-year Capital Plan is now </w:t>
      </w:r>
      <w:r w:rsidR="00263226" w:rsidRPr="00384754">
        <w:t>£</w:t>
      </w:r>
      <w:r w:rsidR="00CF7E90" w:rsidRPr="00384754">
        <w:t>305</w:t>
      </w:r>
      <w:r w:rsidR="00263226" w:rsidRPr="00384754">
        <w:t>m</w:t>
      </w:r>
      <w:r w:rsidR="00F10782" w:rsidRPr="004B1347">
        <w:t xml:space="preserve"> with a programme of capital works of </w:t>
      </w:r>
      <w:r w:rsidR="004B1347" w:rsidRPr="004B1347">
        <w:t>£</w:t>
      </w:r>
      <w:r w:rsidR="00CF7E90">
        <w:t>90m</w:t>
      </w:r>
      <w:r w:rsidR="00F10782" w:rsidRPr="004B1347">
        <w:t xml:space="preserve"> in 2023/202</w:t>
      </w:r>
      <w:r w:rsidR="00CF7E90">
        <w:t>4</w:t>
      </w:r>
      <w:r w:rsidR="00F10782" w:rsidRPr="004B1347">
        <w:t>.</w:t>
      </w:r>
      <w:r w:rsidR="004F156F">
        <w:t xml:space="preserve">  It is also proposed that </w:t>
      </w:r>
      <w:r w:rsidR="00F7785F">
        <w:t xml:space="preserve">a Capital Projects Contingency Fund </w:t>
      </w:r>
      <w:r w:rsidR="004F77AB">
        <w:t xml:space="preserve">of £274,000 is established </w:t>
      </w:r>
      <w:r w:rsidR="00B11406">
        <w:t xml:space="preserve">(funded from the </w:t>
      </w:r>
      <w:r w:rsidR="00F7785F">
        <w:rPr>
          <w:rStyle w:val="ui-provider"/>
        </w:rPr>
        <w:t xml:space="preserve">contingency held for National Non-Domestic Rates </w:t>
      </w:r>
      <w:r w:rsidR="00B11406">
        <w:rPr>
          <w:rStyle w:val="ui-provider"/>
        </w:rPr>
        <w:t>which has been released to the Council)</w:t>
      </w:r>
      <w:r w:rsidR="00F7785F">
        <w:rPr>
          <w:rStyle w:val="ui-provider"/>
        </w:rPr>
        <w:t xml:space="preserve">.  </w:t>
      </w:r>
      <w:r w:rsidR="00B11406">
        <w:rPr>
          <w:rStyle w:val="ui-provider"/>
        </w:rPr>
        <w:t>This will help t</w:t>
      </w:r>
      <w:r w:rsidR="00F7785F">
        <w:rPr>
          <w:rStyle w:val="ui-provider"/>
        </w:rPr>
        <w:t>o mitigate the ongoing national risks of increased capital costs.</w:t>
      </w:r>
    </w:p>
    <w:p w14:paraId="792D7E91" w14:textId="1E7F38AE" w:rsidR="00B11406" w:rsidRDefault="00B11406" w:rsidP="009425D0">
      <w:r>
        <w:rPr>
          <w:rStyle w:val="ui-provider"/>
        </w:rPr>
        <w:t>Our capital plan for next year has been reviewed and milestones</w:t>
      </w:r>
      <w:r w:rsidR="003E52C6">
        <w:rPr>
          <w:rStyle w:val="ui-provider"/>
        </w:rPr>
        <w:t xml:space="preserve"> for each project have been published</w:t>
      </w:r>
      <w:r w:rsidR="003D3478">
        <w:rPr>
          <w:rStyle w:val="ui-provider"/>
        </w:rPr>
        <w:t xml:space="preserve"> alongside what we are proposing to spend</w:t>
      </w:r>
      <w:r w:rsidR="003E52C6">
        <w:rPr>
          <w:rStyle w:val="ui-provider"/>
        </w:rPr>
        <w:t>.</w:t>
      </w:r>
      <w:r w:rsidR="003D3478">
        <w:rPr>
          <w:rStyle w:val="ui-provider"/>
        </w:rPr>
        <w:t xml:space="preserve">  Each capital scheme </w:t>
      </w:r>
      <w:r w:rsidR="00B31AD8">
        <w:rPr>
          <w:rStyle w:val="ui-provider"/>
        </w:rPr>
        <w:t>is focussed on achieving outcomes which will help us to meet our ambitions within our Community and Corporate Plan.</w:t>
      </w:r>
      <w:r w:rsidR="003E52C6">
        <w:rPr>
          <w:rStyle w:val="ui-provider"/>
        </w:rPr>
        <w:t xml:space="preserve">  </w:t>
      </w:r>
    </w:p>
    <w:p w14:paraId="69234C0E" w14:textId="77777777" w:rsidR="002C1209" w:rsidRDefault="002C1209" w:rsidP="00E65E6E">
      <w:pPr>
        <w:rPr>
          <w:color w:val="000000" w:themeColor="text2"/>
          <w:u w:val="single"/>
        </w:rPr>
      </w:pPr>
    </w:p>
    <w:p w14:paraId="577B5072" w14:textId="77777777" w:rsidR="007F45F5" w:rsidRDefault="007F45F5" w:rsidP="00E65E6E">
      <w:pPr>
        <w:rPr>
          <w:color w:val="000000" w:themeColor="text2"/>
          <w:u w:val="single"/>
        </w:rPr>
      </w:pPr>
    </w:p>
    <w:p w14:paraId="4F60BD26" w14:textId="77777777" w:rsidR="007F45F5" w:rsidRDefault="007F45F5" w:rsidP="00E65E6E">
      <w:pPr>
        <w:rPr>
          <w:color w:val="000000" w:themeColor="text2"/>
          <w:u w:val="single"/>
        </w:rPr>
      </w:pPr>
    </w:p>
    <w:p w14:paraId="54CFA5D9" w14:textId="30C9F8F6" w:rsidR="007F45F5" w:rsidRPr="002C1209" w:rsidRDefault="007F45F5" w:rsidP="00E65E6E">
      <w:pPr>
        <w:rPr>
          <w:color w:val="000000" w:themeColor="text2"/>
          <w:u w:val="single"/>
        </w:rPr>
        <w:sectPr w:rsidR="007F45F5" w:rsidRPr="002C1209" w:rsidSect="00B30DE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720" w:right="720" w:bottom="720" w:left="720" w:header="567" w:footer="284" w:gutter="0"/>
          <w:cols w:space="708"/>
          <w:titlePg/>
          <w:docGrid w:linePitch="360"/>
        </w:sectPr>
      </w:pPr>
    </w:p>
    <w:tbl>
      <w:tblPr>
        <w:tblStyle w:val="TableGrid"/>
        <w:tblpPr w:leftFromText="181" w:rightFromText="181" w:bottomFromText="284" w:vertAnchor="text" w:tblpY="1"/>
        <w:tblOverlap w:val="never"/>
        <w:tblW w:w="5000" w:type="pct"/>
        <w:tblBorders>
          <w:top w:val="single" w:sz="24" w:space="0" w:color="AEAAAA" w:themeColor="background2" w:themeShade="BF"/>
          <w:left w:val="none" w:sz="0" w:space="0" w:color="auto"/>
          <w:bottom w:val="single" w:sz="24" w:space="0" w:color="AEAAAA" w:themeColor="background2" w:themeShade="BF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652D30" w:rsidRPr="005E2D99" w14:paraId="54CFA5DB" w14:textId="77777777" w:rsidTr="00652D30">
        <w:trPr>
          <w:trHeight w:val="711"/>
        </w:trPr>
        <w:tc>
          <w:tcPr>
            <w:tcW w:w="10456" w:type="dxa"/>
            <w:vAlign w:val="center"/>
          </w:tcPr>
          <w:p w14:paraId="54CFA5DA" w14:textId="6D7CDA53" w:rsidR="00652D30" w:rsidRPr="005E2D99" w:rsidRDefault="00652D30" w:rsidP="00652D30">
            <w:pPr>
              <w:pStyle w:val="largeprinttext"/>
              <w:framePr w:hSpace="0" w:wrap="auto" w:vAnchor="margin" w:yAlign="inline"/>
              <w:suppressOverlap w:val="0"/>
            </w:pPr>
            <w:r w:rsidRPr="005E2D99">
              <w:lastRenderedPageBreak/>
              <w:t>This document can be made available in other languages and formats</w:t>
            </w:r>
            <w:proofErr w:type="gramStart"/>
            <w:r w:rsidRPr="005E2D99">
              <w:t xml:space="preserve">. </w:t>
            </w:r>
            <w:proofErr w:type="gramEnd"/>
            <w:r w:rsidRPr="005E2D99">
              <w:t>For more information</w:t>
            </w:r>
            <w:r w:rsidR="008C5568" w:rsidRPr="005E2D99">
              <w:t>,</w:t>
            </w:r>
            <w:r w:rsidRPr="005E2D99">
              <w:t xml:space="preserve"> please contact </w:t>
            </w:r>
            <w:hyperlink r:id="rId24" w:history="1">
              <w:r w:rsidR="0078027F" w:rsidRPr="00894891">
                <w:rPr>
                  <w:rStyle w:val="Hyperlink"/>
                </w:rPr>
                <w:t>consultation@torbay.gov.uk</w:t>
              </w:r>
            </w:hyperlink>
          </w:p>
        </w:tc>
      </w:tr>
    </w:tbl>
    <w:p w14:paraId="54CFA5DC" w14:textId="77777777" w:rsidR="00010F69" w:rsidRPr="00E65E6E" w:rsidRDefault="00010F69" w:rsidP="00E65E6E"/>
    <w:sectPr w:rsidR="00010F69" w:rsidRPr="00E65E6E" w:rsidSect="00B30DE4">
      <w:headerReference w:type="first" r:id="rId25"/>
      <w:footerReference w:type="first" r:id="rId26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F527" w14:textId="77777777" w:rsidR="00DA231E" w:rsidRDefault="00DA231E" w:rsidP="008952DF">
      <w:r>
        <w:separator/>
      </w:r>
    </w:p>
    <w:p w14:paraId="16B6C30B" w14:textId="77777777" w:rsidR="00DA231E" w:rsidRDefault="00DA231E"/>
  </w:endnote>
  <w:endnote w:type="continuationSeparator" w:id="0">
    <w:p w14:paraId="54CA180C" w14:textId="77777777" w:rsidR="00DA231E" w:rsidRDefault="00DA231E" w:rsidP="008952DF">
      <w:r>
        <w:continuationSeparator/>
      </w:r>
    </w:p>
    <w:p w14:paraId="6809561B" w14:textId="77777777" w:rsidR="00DA231E" w:rsidRDefault="00DA231E"/>
  </w:endnote>
  <w:endnote w:type="continuationNotice" w:id="1">
    <w:p w14:paraId="31137DBA" w14:textId="77777777" w:rsidR="00DA231E" w:rsidRDefault="00DA23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A5EC" w14:textId="77777777" w:rsidR="003E72CE" w:rsidRDefault="003E72CE">
    <w:pPr>
      <w:spacing w:after="0" w:line="240" w:lineRule="auto"/>
    </w:pPr>
  </w:p>
  <w:p w14:paraId="54CFA5ED" w14:textId="77777777" w:rsidR="003E72CE" w:rsidRDefault="003E72CE"/>
  <w:p w14:paraId="54CFA5EE" w14:textId="77777777" w:rsidR="003E72CE" w:rsidRDefault="003E72CE"/>
  <w:p w14:paraId="54CFA5EF" w14:textId="77777777" w:rsidR="003E72CE" w:rsidRDefault="003E72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169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FA5F0" w14:textId="77777777" w:rsidR="003E72CE" w:rsidRDefault="003E72CE" w:rsidP="00652D30">
        <w:pPr>
          <w:pStyle w:val="Footer"/>
          <w:pBdr>
            <w:top w:val="single" w:sz="24" w:space="4" w:color="FFBF3F" w:themeColor="accent4"/>
          </w:pBdr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1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D63D" w14:textId="77777777" w:rsidR="00AB7132" w:rsidRDefault="00AB7132">
    <w:pPr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A5F3" w14:textId="77777777" w:rsidR="00652D30" w:rsidRDefault="00652D30" w:rsidP="00652D30">
    <w:pPr>
      <w:pStyle w:val="Footer"/>
      <w:pBdr>
        <w:top w:val="single" w:sz="24" w:space="4" w:color="FFBF3F" w:themeColor="accent4"/>
      </w:pBdr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7BC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3867" w14:textId="77777777" w:rsidR="00DA231E" w:rsidRDefault="00DA231E" w:rsidP="008952DF">
      <w:r>
        <w:separator/>
      </w:r>
    </w:p>
    <w:p w14:paraId="154DB078" w14:textId="77777777" w:rsidR="00DA231E" w:rsidRDefault="00DA231E"/>
  </w:footnote>
  <w:footnote w:type="continuationSeparator" w:id="0">
    <w:p w14:paraId="6BE9DB7F" w14:textId="77777777" w:rsidR="00DA231E" w:rsidRDefault="00DA231E" w:rsidP="008952DF">
      <w:r>
        <w:continuationSeparator/>
      </w:r>
    </w:p>
    <w:p w14:paraId="05968B0E" w14:textId="77777777" w:rsidR="00DA231E" w:rsidRDefault="00DA231E"/>
  </w:footnote>
  <w:footnote w:type="continuationNotice" w:id="1">
    <w:p w14:paraId="5E9CA4FC" w14:textId="77777777" w:rsidR="00DA231E" w:rsidRDefault="00DA23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A5E7" w14:textId="77777777" w:rsidR="003E72CE" w:rsidRDefault="003E72CE">
    <w:pPr>
      <w:spacing w:after="0" w:line="240" w:lineRule="auto"/>
    </w:pPr>
  </w:p>
  <w:p w14:paraId="54CFA5E8" w14:textId="77777777" w:rsidR="003E72CE" w:rsidRDefault="003E72CE"/>
  <w:p w14:paraId="54CFA5E9" w14:textId="77777777" w:rsidR="003E72CE" w:rsidRDefault="003E72CE"/>
  <w:p w14:paraId="54CFA5EA" w14:textId="77777777" w:rsidR="003E72CE" w:rsidRDefault="003E72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A5EB" w14:textId="77777777" w:rsidR="003E72CE" w:rsidRDefault="003E72CE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A5F1" w14:textId="77777777" w:rsidR="00B7722C" w:rsidRDefault="00847BC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4CFA5F4" wp14:editId="2A62BCBF">
          <wp:simplePos x="0" y="0"/>
          <wp:positionH relativeFrom="page">
            <wp:posOffset>-28575</wp:posOffset>
          </wp:positionH>
          <wp:positionV relativeFrom="page">
            <wp:posOffset>2686050</wp:posOffset>
          </wp:positionV>
          <wp:extent cx="7560000" cy="76032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66" b="14466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60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A5F2" w14:textId="77777777" w:rsidR="00652D30" w:rsidRDefault="00652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0A968C16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6AF8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1508D"/>
    <w:multiLevelType w:val="hybridMultilevel"/>
    <w:tmpl w:val="2230F466"/>
    <w:lvl w:ilvl="0" w:tplc="B248F9E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B3EB1" w:themeColor="accent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2A4BDF"/>
    <w:multiLevelType w:val="hybridMultilevel"/>
    <w:tmpl w:val="C6264D7C"/>
    <w:lvl w:ilvl="0" w:tplc="A792FE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A74A" w:themeColor="accent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80812"/>
    <w:multiLevelType w:val="hybridMultilevel"/>
    <w:tmpl w:val="B3344D44"/>
    <w:lvl w:ilvl="0" w:tplc="CAE0A9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DB3EB1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A411DA"/>
    <w:multiLevelType w:val="hybridMultilevel"/>
    <w:tmpl w:val="BB0A0B5E"/>
    <w:lvl w:ilvl="0" w:tplc="4350D5D4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FFBF3F" w:themeColor="accent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2E7B8E"/>
    <w:multiLevelType w:val="hybridMultilevel"/>
    <w:tmpl w:val="8C703082"/>
    <w:lvl w:ilvl="0" w:tplc="72CA1818">
      <w:start w:val="1"/>
      <w:numFmt w:val="decimal"/>
      <w:lvlText w:val="%1."/>
      <w:lvlJc w:val="left"/>
      <w:pPr>
        <w:ind w:left="933" w:hanging="360"/>
      </w:pPr>
      <w:rPr>
        <w:rFonts w:ascii="Arial" w:eastAsia="Arial" w:hAnsi="Arial" w:cs="Arial" w:hint="default"/>
        <w:color w:val="000080"/>
        <w:spacing w:val="-1"/>
        <w:w w:val="100"/>
        <w:sz w:val="22"/>
        <w:szCs w:val="22"/>
        <w:lang w:val="en-GB" w:eastAsia="en-GB" w:bidi="en-GB"/>
      </w:rPr>
    </w:lvl>
    <w:lvl w:ilvl="1" w:tplc="B86443F8">
      <w:numFmt w:val="bullet"/>
      <w:lvlText w:val="•"/>
      <w:lvlJc w:val="left"/>
      <w:pPr>
        <w:ind w:left="1864" w:hanging="360"/>
      </w:pPr>
      <w:rPr>
        <w:rFonts w:hint="default"/>
        <w:lang w:val="en-GB" w:eastAsia="en-GB" w:bidi="en-GB"/>
      </w:rPr>
    </w:lvl>
    <w:lvl w:ilvl="2" w:tplc="F0F8F858">
      <w:numFmt w:val="bullet"/>
      <w:lvlText w:val="•"/>
      <w:lvlJc w:val="left"/>
      <w:pPr>
        <w:ind w:left="2789" w:hanging="360"/>
      </w:pPr>
      <w:rPr>
        <w:rFonts w:hint="default"/>
        <w:lang w:val="en-GB" w:eastAsia="en-GB" w:bidi="en-GB"/>
      </w:rPr>
    </w:lvl>
    <w:lvl w:ilvl="3" w:tplc="D7068D16">
      <w:numFmt w:val="bullet"/>
      <w:lvlText w:val="•"/>
      <w:lvlJc w:val="left"/>
      <w:pPr>
        <w:ind w:left="3713" w:hanging="360"/>
      </w:pPr>
      <w:rPr>
        <w:rFonts w:hint="default"/>
        <w:lang w:val="en-GB" w:eastAsia="en-GB" w:bidi="en-GB"/>
      </w:rPr>
    </w:lvl>
    <w:lvl w:ilvl="4" w:tplc="F4A4DDD4">
      <w:numFmt w:val="bullet"/>
      <w:lvlText w:val="•"/>
      <w:lvlJc w:val="left"/>
      <w:pPr>
        <w:ind w:left="4638" w:hanging="360"/>
      </w:pPr>
      <w:rPr>
        <w:rFonts w:hint="default"/>
        <w:lang w:val="en-GB" w:eastAsia="en-GB" w:bidi="en-GB"/>
      </w:rPr>
    </w:lvl>
    <w:lvl w:ilvl="5" w:tplc="C35886F2">
      <w:numFmt w:val="bullet"/>
      <w:lvlText w:val="•"/>
      <w:lvlJc w:val="left"/>
      <w:pPr>
        <w:ind w:left="5563" w:hanging="360"/>
      </w:pPr>
      <w:rPr>
        <w:rFonts w:hint="default"/>
        <w:lang w:val="en-GB" w:eastAsia="en-GB" w:bidi="en-GB"/>
      </w:rPr>
    </w:lvl>
    <w:lvl w:ilvl="6" w:tplc="7DBE7214">
      <w:numFmt w:val="bullet"/>
      <w:lvlText w:val="•"/>
      <w:lvlJc w:val="left"/>
      <w:pPr>
        <w:ind w:left="6487" w:hanging="360"/>
      </w:pPr>
      <w:rPr>
        <w:rFonts w:hint="default"/>
        <w:lang w:val="en-GB" w:eastAsia="en-GB" w:bidi="en-GB"/>
      </w:rPr>
    </w:lvl>
    <w:lvl w:ilvl="7" w:tplc="084A5318">
      <w:numFmt w:val="bullet"/>
      <w:lvlText w:val="•"/>
      <w:lvlJc w:val="left"/>
      <w:pPr>
        <w:ind w:left="7412" w:hanging="360"/>
      </w:pPr>
      <w:rPr>
        <w:rFonts w:hint="default"/>
        <w:lang w:val="en-GB" w:eastAsia="en-GB" w:bidi="en-GB"/>
      </w:rPr>
    </w:lvl>
    <w:lvl w:ilvl="8" w:tplc="2B048F8E">
      <w:numFmt w:val="bullet"/>
      <w:lvlText w:val="•"/>
      <w:lvlJc w:val="left"/>
      <w:pPr>
        <w:ind w:left="8337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53C74175"/>
    <w:multiLevelType w:val="hybridMultilevel"/>
    <w:tmpl w:val="4A1C76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5467"/>
    <w:multiLevelType w:val="multilevel"/>
    <w:tmpl w:val="68AAA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40C6B14"/>
    <w:multiLevelType w:val="hybridMultilevel"/>
    <w:tmpl w:val="7C4C14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2F2C0B"/>
    <w:multiLevelType w:val="hybridMultilevel"/>
    <w:tmpl w:val="75FA6FC8"/>
    <w:lvl w:ilvl="0" w:tplc="F77A84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4A6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1D42C5"/>
    <w:multiLevelType w:val="hybridMultilevel"/>
    <w:tmpl w:val="60D06414"/>
    <w:lvl w:ilvl="0" w:tplc="F1D4FB74">
      <w:numFmt w:val="bullet"/>
      <w:lvlText w:val=""/>
      <w:lvlJc w:val="left"/>
      <w:pPr>
        <w:ind w:left="110" w:hanging="238"/>
      </w:pPr>
      <w:rPr>
        <w:rFonts w:ascii="Wingdings" w:eastAsia="Wingdings" w:hAnsi="Wingdings" w:cs="Wingdings" w:hint="default"/>
        <w:color w:val="000080"/>
        <w:w w:val="100"/>
        <w:sz w:val="22"/>
        <w:szCs w:val="22"/>
        <w:lang w:val="en-GB" w:eastAsia="en-GB" w:bidi="en-GB"/>
      </w:rPr>
    </w:lvl>
    <w:lvl w:ilvl="1" w:tplc="42BEF33A">
      <w:numFmt w:val="bullet"/>
      <w:lvlText w:val="•"/>
      <w:lvlJc w:val="left"/>
      <w:pPr>
        <w:ind w:left="263" w:hanging="238"/>
      </w:pPr>
      <w:rPr>
        <w:rFonts w:hint="default"/>
        <w:lang w:val="en-GB" w:eastAsia="en-GB" w:bidi="en-GB"/>
      </w:rPr>
    </w:lvl>
    <w:lvl w:ilvl="2" w:tplc="C0DC4DB8">
      <w:numFmt w:val="bullet"/>
      <w:lvlText w:val="•"/>
      <w:lvlJc w:val="left"/>
      <w:pPr>
        <w:ind w:left="406" w:hanging="238"/>
      </w:pPr>
      <w:rPr>
        <w:rFonts w:hint="default"/>
        <w:lang w:val="en-GB" w:eastAsia="en-GB" w:bidi="en-GB"/>
      </w:rPr>
    </w:lvl>
    <w:lvl w:ilvl="3" w:tplc="FF223FAE">
      <w:numFmt w:val="bullet"/>
      <w:lvlText w:val="•"/>
      <w:lvlJc w:val="left"/>
      <w:pPr>
        <w:ind w:left="549" w:hanging="238"/>
      </w:pPr>
      <w:rPr>
        <w:rFonts w:hint="default"/>
        <w:lang w:val="en-GB" w:eastAsia="en-GB" w:bidi="en-GB"/>
      </w:rPr>
    </w:lvl>
    <w:lvl w:ilvl="4" w:tplc="77B4A606">
      <w:numFmt w:val="bullet"/>
      <w:lvlText w:val="•"/>
      <w:lvlJc w:val="left"/>
      <w:pPr>
        <w:ind w:left="692" w:hanging="238"/>
      </w:pPr>
      <w:rPr>
        <w:rFonts w:hint="default"/>
        <w:lang w:val="en-GB" w:eastAsia="en-GB" w:bidi="en-GB"/>
      </w:rPr>
    </w:lvl>
    <w:lvl w:ilvl="5" w:tplc="C3F29504">
      <w:numFmt w:val="bullet"/>
      <w:lvlText w:val="•"/>
      <w:lvlJc w:val="left"/>
      <w:pPr>
        <w:ind w:left="835" w:hanging="238"/>
      </w:pPr>
      <w:rPr>
        <w:rFonts w:hint="default"/>
        <w:lang w:val="en-GB" w:eastAsia="en-GB" w:bidi="en-GB"/>
      </w:rPr>
    </w:lvl>
    <w:lvl w:ilvl="6" w:tplc="56F66DEC">
      <w:numFmt w:val="bullet"/>
      <w:lvlText w:val="•"/>
      <w:lvlJc w:val="left"/>
      <w:pPr>
        <w:ind w:left="978" w:hanging="238"/>
      </w:pPr>
      <w:rPr>
        <w:rFonts w:hint="default"/>
        <w:lang w:val="en-GB" w:eastAsia="en-GB" w:bidi="en-GB"/>
      </w:rPr>
    </w:lvl>
    <w:lvl w:ilvl="7" w:tplc="700CF792">
      <w:numFmt w:val="bullet"/>
      <w:lvlText w:val="•"/>
      <w:lvlJc w:val="left"/>
      <w:pPr>
        <w:ind w:left="1121" w:hanging="238"/>
      </w:pPr>
      <w:rPr>
        <w:rFonts w:hint="default"/>
        <w:lang w:val="en-GB" w:eastAsia="en-GB" w:bidi="en-GB"/>
      </w:rPr>
    </w:lvl>
    <w:lvl w:ilvl="8" w:tplc="37703782">
      <w:numFmt w:val="bullet"/>
      <w:lvlText w:val="•"/>
      <w:lvlJc w:val="left"/>
      <w:pPr>
        <w:ind w:left="1264" w:hanging="238"/>
      </w:pPr>
      <w:rPr>
        <w:rFonts w:hint="default"/>
        <w:lang w:val="en-GB" w:eastAsia="en-GB" w:bidi="en-GB"/>
      </w:rPr>
    </w:lvl>
  </w:abstractNum>
  <w:abstractNum w:abstractNumId="15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45383"/>
    <w:multiLevelType w:val="hybridMultilevel"/>
    <w:tmpl w:val="450C4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336611">
    <w:abstractNumId w:val="13"/>
  </w:num>
  <w:num w:numId="2" w16cid:durableId="1069813397">
    <w:abstractNumId w:val="1"/>
  </w:num>
  <w:num w:numId="3" w16cid:durableId="891695889">
    <w:abstractNumId w:val="15"/>
  </w:num>
  <w:num w:numId="4" w16cid:durableId="1667320399">
    <w:abstractNumId w:val="6"/>
  </w:num>
  <w:num w:numId="5" w16cid:durableId="377509338">
    <w:abstractNumId w:val="12"/>
  </w:num>
  <w:num w:numId="6" w16cid:durableId="2135825424">
    <w:abstractNumId w:val="3"/>
  </w:num>
  <w:num w:numId="7" w16cid:durableId="389158625">
    <w:abstractNumId w:val="14"/>
  </w:num>
  <w:num w:numId="8" w16cid:durableId="2092120432">
    <w:abstractNumId w:val="8"/>
  </w:num>
  <w:num w:numId="9" w16cid:durableId="1947998724">
    <w:abstractNumId w:val="0"/>
  </w:num>
  <w:num w:numId="10" w16cid:durableId="1283850542">
    <w:abstractNumId w:val="5"/>
  </w:num>
  <w:num w:numId="11" w16cid:durableId="904990971">
    <w:abstractNumId w:val="2"/>
  </w:num>
  <w:num w:numId="12" w16cid:durableId="1858225777">
    <w:abstractNumId w:val="4"/>
  </w:num>
  <w:num w:numId="13" w16cid:durableId="1407994537">
    <w:abstractNumId w:val="7"/>
  </w:num>
  <w:num w:numId="14" w16cid:durableId="2099786532">
    <w:abstractNumId w:val="10"/>
  </w:num>
  <w:num w:numId="15" w16cid:durableId="1251695555">
    <w:abstractNumId w:val="0"/>
  </w:num>
  <w:num w:numId="16" w16cid:durableId="13220019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0316520">
    <w:abstractNumId w:val="16"/>
  </w:num>
  <w:num w:numId="18" w16cid:durableId="776604776">
    <w:abstractNumId w:val="11"/>
  </w:num>
  <w:num w:numId="19" w16cid:durableId="1019891186">
    <w:abstractNumId w:val="7"/>
  </w:num>
  <w:num w:numId="20" w16cid:durableId="1272320729">
    <w:abstractNumId w:val="7"/>
  </w:num>
  <w:num w:numId="21" w16cid:durableId="1441532779">
    <w:abstractNumId w:val="7"/>
  </w:num>
  <w:num w:numId="22" w16cid:durableId="20063918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396"/>
    <w:rsid w:val="00000FE2"/>
    <w:rsid w:val="000045B3"/>
    <w:rsid w:val="00006D17"/>
    <w:rsid w:val="00006D57"/>
    <w:rsid w:val="00010F69"/>
    <w:rsid w:val="0001194C"/>
    <w:rsid w:val="00012265"/>
    <w:rsid w:val="00013046"/>
    <w:rsid w:val="00013269"/>
    <w:rsid w:val="00013E4F"/>
    <w:rsid w:val="00013EDA"/>
    <w:rsid w:val="00014163"/>
    <w:rsid w:val="000149F7"/>
    <w:rsid w:val="00017F82"/>
    <w:rsid w:val="00021688"/>
    <w:rsid w:val="00022D0D"/>
    <w:rsid w:val="0002446C"/>
    <w:rsid w:val="00026C02"/>
    <w:rsid w:val="00027389"/>
    <w:rsid w:val="000276FD"/>
    <w:rsid w:val="00031177"/>
    <w:rsid w:val="00031D77"/>
    <w:rsid w:val="000336A5"/>
    <w:rsid w:val="000369F1"/>
    <w:rsid w:val="000375EE"/>
    <w:rsid w:val="0003793B"/>
    <w:rsid w:val="000400E8"/>
    <w:rsid w:val="00040A1E"/>
    <w:rsid w:val="00041FB3"/>
    <w:rsid w:val="000423CD"/>
    <w:rsid w:val="00042F2F"/>
    <w:rsid w:val="00045911"/>
    <w:rsid w:val="00045B52"/>
    <w:rsid w:val="00045E0D"/>
    <w:rsid w:val="00047721"/>
    <w:rsid w:val="0005055D"/>
    <w:rsid w:val="00051568"/>
    <w:rsid w:val="0005315C"/>
    <w:rsid w:val="00053C16"/>
    <w:rsid w:val="00060227"/>
    <w:rsid w:val="00060886"/>
    <w:rsid w:val="00060DF3"/>
    <w:rsid w:val="0006165D"/>
    <w:rsid w:val="000622C1"/>
    <w:rsid w:val="000642D2"/>
    <w:rsid w:val="000656C9"/>
    <w:rsid w:val="00067517"/>
    <w:rsid w:val="00070244"/>
    <w:rsid w:val="00071493"/>
    <w:rsid w:val="00071695"/>
    <w:rsid w:val="00071AE6"/>
    <w:rsid w:val="00071C70"/>
    <w:rsid w:val="000726DD"/>
    <w:rsid w:val="00073111"/>
    <w:rsid w:val="00074864"/>
    <w:rsid w:val="00074C3C"/>
    <w:rsid w:val="000759F4"/>
    <w:rsid w:val="00082AAD"/>
    <w:rsid w:val="0008487E"/>
    <w:rsid w:val="00094025"/>
    <w:rsid w:val="0009473C"/>
    <w:rsid w:val="0009481A"/>
    <w:rsid w:val="00094DC1"/>
    <w:rsid w:val="00095FA1"/>
    <w:rsid w:val="00095FD8"/>
    <w:rsid w:val="000964F8"/>
    <w:rsid w:val="00097171"/>
    <w:rsid w:val="000A391F"/>
    <w:rsid w:val="000A3BAA"/>
    <w:rsid w:val="000A5C06"/>
    <w:rsid w:val="000B0312"/>
    <w:rsid w:val="000B0442"/>
    <w:rsid w:val="000B26EC"/>
    <w:rsid w:val="000B33B9"/>
    <w:rsid w:val="000B5013"/>
    <w:rsid w:val="000B5ABB"/>
    <w:rsid w:val="000C270D"/>
    <w:rsid w:val="000C2DA4"/>
    <w:rsid w:val="000C350F"/>
    <w:rsid w:val="000C3DF6"/>
    <w:rsid w:val="000C55FB"/>
    <w:rsid w:val="000C5D0A"/>
    <w:rsid w:val="000C7B4A"/>
    <w:rsid w:val="000D0E9C"/>
    <w:rsid w:val="000D13D2"/>
    <w:rsid w:val="000D1411"/>
    <w:rsid w:val="000D1EB6"/>
    <w:rsid w:val="000D6845"/>
    <w:rsid w:val="000E499F"/>
    <w:rsid w:val="000F09BF"/>
    <w:rsid w:val="000F1381"/>
    <w:rsid w:val="000F3014"/>
    <w:rsid w:val="000F3242"/>
    <w:rsid w:val="000F5E01"/>
    <w:rsid w:val="000F70A0"/>
    <w:rsid w:val="00100B04"/>
    <w:rsid w:val="00101D94"/>
    <w:rsid w:val="0010323F"/>
    <w:rsid w:val="001036E2"/>
    <w:rsid w:val="0010500B"/>
    <w:rsid w:val="00107085"/>
    <w:rsid w:val="00112F71"/>
    <w:rsid w:val="00116AD5"/>
    <w:rsid w:val="0012136B"/>
    <w:rsid w:val="00121D76"/>
    <w:rsid w:val="00123F11"/>
    <w:rsid w:val="00125421"/>
    <w:rsid w:val="0013062A"/>
    <w:rsid w:val="001312DF"/>
    <w:rsid w:val="00135883"/>
    <w:rsid w:val="001359AE"/>
    <w:rsid w:val="00136412"/>
    <w:rsid w:val="0013663F"/>
    <w:rsid w:val="00137118"/>
    <w:rsid w:val="00140029"/>
    <w:rsid w:val="0014028D"/>
    <w:rsid w:val="00140518"/>
    <w:rsid w:val="00140ADD"/>
    <w:rsid w:val="00140F6E"/>
    <w:rsid w:val="00143FEE"/>
    <w:rsid w:val="00145B97"/>
    <w:rsid w:val="001466C7"/>
    <w:rsid w:val="00147348"/>
    <w:rsid w:val="00150B3E"/>
    <w:rsid w:val="001524A3"/>
    <w:rsid w:val="00152A23"/>
    <w:rsid w:val="001534E2"/>
    <w:rsid w:val="00157250"/>
    <w:rsid w:val="00157F33"/>
    <w:rsid w:val="0016084E"/>
    <w:rsid w:val="00161355"/>
    <w:rsid w:val="00165F0E"/>
    <w:rsid w:val="0016713A"/>
    <w:rsid w:val="00167C2C"/>
    <w:rsid w:val="00171630"/>
    <w:rsid w:val="00173249"/>
    <w:rsid w:val="001774BF"/>
    <w:rsid w:val="00177DAE"/>
    <w:rsid w:val="001807C8"/>
    <w:rsid w:val="00181EEB"/>
    <w:rsid w:val="00182058"/>
    <w:rsid w:val="00183AD3"/>
    <w:rsid w:val="0018408E"/>
    <w:rsid w:val="00184C39"/>
    <w:rsid w:val="001853B5"/>
    <w:rsid w:val="00186D7A"/>
    <w:rsid w:val="00190AFD"/>
    <w:rsid w:val="00191B27"/>
    <w:rsid w:val="001931A3"/>
    <w:rsid w:val="0019342F"/>
    <w:rsid w:val="00193988"/>
    <w:rsid w:val="00196DFA"/>
    <w:rsid w:val="00196F5B"/>
    <w:rsid w:val="001A30E1"/>
    <w:rsid w:val="001A51C6"/>
    <w:rsid w:val="001A63B0"/>
    <w:rsid w:val="001A6DEF"/>
    <w:rsid w:val="001A7DBD"/>
    <w:rsid w:val="001B3860"/>
    <w:rsid w:val="001B4905"/>
    <w:rsid w:val="001B6BD4"/>
    <w:rsid w:val="001C08AC"/>
    <w:rsid w:val="001C1650"/>
    <w:rsid w:val="001C2BE3"/>
    <w:rsid w:val="001C32A4"/>
    <w:rsid w:val="001C3981"/>
    <w:rsid w:val="001C4C28"/>
    <w:rsid w:val="001D1EDF"/>
    <w:rsid w:val="001D2598"/>
    <w:rsid w:val="001D31D2"/>
    <w:rsid w:val="001D77D4"/>
    <w:rsid w:val="001D78B6"/>
    <w:rsid w:val="001E16B7"/>
    <w:rsid w:val="001E1A36"/>
    <w:rsid w:val="001E384F"/>
    <w:rsid w:val="001E396E"/>
    <w:rsid w:val="001E3DCB"/>
    <w:rsid w:val="001F2E7E"/>
    <w:rsid w:val="001F5A60"/>
    <w:rsid w:val="00200B31"/>
    <w:rsid w:val="00202BEA"/>
    <w:rsid w:val="002034B4"/>
    <w:rsid w:val="00203965"/>
    <w:rsid w:val="00204D40"/>
    <w:rsid w:val="00206982"/>
    <w:rsid w:val="00211365"/>
    <w:rsid w:val="00211FD2"/>
    <w:rsid w:val="00213885"/>
    <w:rsid w:val="00214F0C"/>
    <w:rsid w:val="002150E7"/>
    <w:rsid w:val="002155FF"/>
    <w:rsid w:val="002218DC"/>
    <w:rsid w:val="00222554"/>
    <w:rsid w:val="00224ADF"/>
    <w:rsid w:val="00224EB1"/>
    <w:rsid w:val="002264E8"/>
    <w:rsid w:val="002267C8"/>
    <w:rsid w:val="00226E1C"/>
    <w:rsid w:val="0023295C"/>
    <w:rsid w:val="002334CE"/>
    <w:rsid w:val="00235023"/>
    <w:rsid w:val="00236F6D"/>
    <w:rsid w:val="00240003"/>
    <w:rsid w:val="00240239"/>
    <w:rsid w:val="00244571"/>
    <w:rsid w:val="002450A8"/>
    <w:rsid w:val="002479A8"/>
    <w:rsid w:val="00254498"/>
    <w:rsid w:val="0025535E"/>
    <w:rsid w:val="00255BF3"/>
    <w:rsid w:val="0025623B"/>
    <w:rsid w:val="00261AC8"/>
    <w:rsid w:val="002620EF"/>
    <w:rsid w:val="00262D51"/>
    <w:rsid w:val="00263226"/>
    <w:rsid w:val="002637EB"/>
    <w:rsid w:val="002649E9"/>
    <w:rsid w:val="0027455D"/>
    <w:rsid w:val="00275D9B"/>
    <w:rsid w:val="00277220"/>
    <w:rsid w:val="00277B60"/>
    <w:rsid w:val="002805CD"/>
    <w:rsid w:val="00280753"/>
    <w:rsid w:val="00282693"/>
    <w:rsid w:val="002827D2"/>
    <w:rsid w:val="00282A92"/>
    <w:rsid w:val="00284B9C"/>
    <w:rsid w:val="00285E2A"/>
    <w:rsid w:val="0028770B"/>
    <w:rsid w:val="00293A4D"/>
    <w:rsid w:val="002958AD"/>
    <w:rsid w:val="002A2F44"/>
    <w:rsid w:val="002A5CF0"/>
    <w:rsid w:val="002A5FCE"/>
    <w:rsid w:val="002B0791"/>
    <w:rsid w:val="002B2FCA"/>
    <w:rsid w:val="002B3320"/>
    <w:rsid w:val="002B66EB"/>
    <w:rsid w:val="002C1209"/>
    <w:rsid w:val="002C18FC"/>
    <w:rsid w:val="002C191E"/>
    <w:rsid w:val="002C1C22"/>
    <w:rsid w:val="002C66A4"/>
    <w:rsid w:val="002C6D05"/>
    <w:rsid w:val="002D02D3"/>
    <w:rsid w:val="002D0338"/>
    <w:rsid w:val="002D0E0B"/>
    <w:rsid w:val="002D2058"/>
    <w:rsid w:val="002D32E9"/>
    <w:rsid w:val="002D3FFD"/>
    <w:rsid w:val="002D772E"/>
    <w:rsid w:val="002D7A60"/>
    <w:rsid w:val="002E2C41"/>
    <w:rsid w:val="002E5EA9"/>
    <w:rsid w:val="002E65C2"/>
    <w:rsid w:val="002E6B86"/>
    <w:rsid w:val="002F2E0F"/>
    <w:rsid w:val="002F63C2"/>
    <w:rsid w:val="002F677D"/>
    <w:rsid w:val="002F7984"/>
    <w:rsid w:val="00302396"/>
    <w:rsid w:val="00304F37"/>
    <w:rsid w:val="00311D60"/>
    <w:rsid w:val="003128C1"/>
    <w:rsid w:val="003175DC"/>
    <w:rsid w:val="00324433"/>
    <w:rsid w:val="00325217"/>
    <w:rsid w:val="00327F5F"/>
    <w:rsid w:val="0033322F"/>
    <w:rsid w:val="0033441E"/>
    <w:rsid w:val="0034006E"/>
    <w:rsid w:val="00341231"/>
    <w:rsid w:val="00341E8F"/>
    <w:rsid w:val="00342641"/>
    <w:rsid w:val="003445C6"/>
    <w:rsid w:val="003458FC"/>
    <w:rsid w:val="00346390"/>
    <w:rsid w:val="00352195"/>
    <w:rsid w:val="00352BE5"/>
    <w:rsid w:val="00357D17"/>
    <w:rsid w:val="00360BEA"/>
    <w:rsid w:val="00361933"/>
    <w:rsid w:val="00364F26"/>
    <w:rsid w:val="00367936"/>
    <w:rsid w:val="00370404"/>
    <w:rsid w:val="00370CCB"/>
    <w:rsid w:val="00372E6B"/>
    <w:rsid w:val="0037406A"/>
    <w:rsid w:val="00375997"/>
    <w:rsid w:val="00376431"/>
    <w:rsid w:val="00377442"/>
    <w:rsid w:val="003800DD"/>
    <w:rsid w:val="00380134"/>
    <w:rsid w:val="00381606"/>
    <w:rsid w:val="00382748"/>
    <w:rsid w:val="003828EA"/>
    <w:rsid w:val="00382F33"/>
    <w:rsid w:val="00384754"/>
    <w:rsid w:val="00384763"/>
    <w:rsid w:val="00384C5C"/>
    <w:rsid w:val="0038540D"/>
    <w:rsid w:val="00385B79"/>
    <w:rsid w:val="00391359"/>
    <w:rsid w:val="00391BD2"/>
    <w:rsid w:val="00391C28"/>
    <w:rsid w:val="0039378D"/>
    <w:rsid w:val="00394403"/>
    <w:rsid w:val="003A2D7D"/>
    <w:rsid w:val="003A32A6"/>
    <w:rsid w:val="003A455A"/>
    <w:rsid w:val="003A4FC8"/>
    <w:rsid w:val="003A5E63"/>
    <w:rsid w:val="003A7289"/>
    <w:rsid w:val="003B0C19"/>
    <w:rsid w:val="003B0E4C"/>
    <w:rsid w:val="003B190C"/>
    <w:rsid w:val="003B1F4E"/>
    <w:rsid w:val="003B558F"/>
    <w:rsid w:val="003B6B7A"/>
    <w:rsid w:val="003B6FBC"/>
    <w:rsid w:val="003B7644"/>
    <w:rsid w:val="003C00B5"/>
    <w:rsid w:val="003C2218"/>
    <w:rsid w:val="003C47C6"/>
    <w:rsid w:val="003C4AEA"/>
    <w:rsid w:val="003C6B46"/>
    <w:rsid w:val="003C6DC1"/>
    <w:rsid w:val="003D17B4"/>
    <w:rsid w:val="003D2E06"/>
    <w:rsid w:val="003D2F1E"/>
    <w:rsid w:val="003D3478"/>
    <w:rsid w:val="003D40A3"/>
    <w:rsid w:val="003E1375"/>
    <w:rsid w:val="003E1A28"/>
    <w:rsid w:val="003E2F71"/>
    <w:rsid w:val="003E44DE"/>
    <w:rsid w:val="003E52C6"/>
    <w:rsid w:val="003E53C2"/>
    <w:rsid w:val="003E72CE"/>
    <w:rsid w:val="003F0394"/>
    <w:rsid w:val="003F08F6"/>
    <w:rsid w:val="003F3457"/>
    <w:rsid w:val="003F4D25"/>
    <w:rsid w:val="003F5801"/>
    <w:rsid w:val="00401182"/>
    <w:rsid w:val="00403CC2"/>
    <w:rsid w:val="00410221"/>
    <w:rsid w:val="00410851"/>
    <w:rsid w:val="00413F1A"/>
    <w:rsid w:val="00414101"/>
    <w:rsid w:val="0041432B"/>
    <w:rsid w:val="004147D0"/>
    <w:rsid w:val="004161E2"/>
    <w:rsid w:val="004170E1"/>
    <w:rsid w:val="0041C88D"/>
    <w:rsid w:val="00422A69"/>
    <w:rsid w:val="004260DC"/>
    <w:rsid w:val="00441D71"/>
    <w:rsid w:val="004441EF"/>
    <w:rsid w:val="00444350"/>
    <w:rsid w:val="00445BD0"/>
    <w:rsid w:val="004500DF"/>
    <w:rsid w:val="004511C2"/>
    <w:rsid w:val="004536BC"/>
    <w:rsid w:val="00456DF4"/>
    <w:rsid w:val="0045759B"/>
    <w:rsid w:val="00462606"/>
    <w:rsid w:val="004635A0"/>
    <w:rsid w:val="00463E9A"/>
    <w:rsid w:val="00465FF4"/>
    <w:rsid w:val="00466638"/>
    <w:rsid w:val="00470ABD"/>
    <w:rsid w:val="00470AD9"/>
    <w:rsid w:val="0047218D"/>
    <w:rsid w:val="00475C36"/>
    <w:rsid w:val="00476B84"/>
    <w:rsid w:val="00477EB7"/>
    <w:rsid w:val="004832BA"/>
    <w:rsid w:val="00483ECE"/>
    <w:rsid w:val="00484F4A"/>
    <w:rsid w:val="004851FE"/>
    <w:rsid w:val="00485C78"/>
    <w:rsid w:val="004867A4"/>
    <w:rsid w:val="00486AD8"/>
    <w:rsid w:val="00490052"/>
    <w:rsid w:val="00492E76"/>
    <w:rsid w:val="004961E6"/>
    <w:rsid w:val="0049778D"/>
    <w:rsid w:val="004A132F"/>
    <w:rsid w:val="004A1E93"/>
    <w:rsid w:val="004A3188"/>
    <w:rsid w:val="004A4895"/>
    <w:rsid w:val="004A6DB5"/>
    <w:rsid w:val="004A768C"/>
    <w:rsid w:val="004A76E2"/>
    <w:rsid w:val="004B0CD1"/>
    <w:rsid w:val="004B1311"/>
    <w:rsid w:val="004B1347"/>
    <w:rsid w:val="004B4D34"/>
    <w:rsid w:val="004B5711"/>
    <w:rsid w:val="004B5E54"/>
    <w:rsid w:val="004B7790"/>
    <w:rsid w:val="004C0388"/>
    <w:rsid w:val="004C0439"/>
    <w:rsid w:val="004C1967"/>
    <w:rsid w:val="004C1B5C"/>
    <w:rsid w:val="004C1E1D"/>
    <w:rsid w:val="004C2403"/>
    <w:rsid w:val="004C3BFB"/>
    <w:rsid w:val="004C4B2F"/>
    <w:rsid w:val="004C4DC8"/>
    <w:rsid w:val="004C4F3E"/>
    <w:rsid w:val="004C68A7"/>
    <w:rsid w:val="004C6C6A"/>
    <w:rsid w:val="004D1386"/>
    <w:rsid w:val="004D2686"/>
    <w:rsid w:val="004D6A72"/>
    <w:rsid w:val="004D7672"/>
    <w:rsid w:val="004D79B0"/>
    <w:rsid w:val="004E191F"/>
    <w:rsid w:val="004E38E4"/>
    <w:rsid w:val="004E5260"/>
    <w:rsid w:val="004E5C77"/>
    <w:rsid w:val="004E761E"/>
    <w:rsid w:val="004F0AFF"/>
    <w:rsid w:val="004F0BAF"/>
    <w:rsid w:val="004F156F"/>
    <w:rsid w:val="004F1612"/>
    <w:rsid w:val="004F284C"/>
    <w:rsid w:val="004F3384"/>
    <w:rsid w:val="004F4448"/>
    <w:rsid w:val="004F4E55"/>
    <w:rsid w:val="004F77AB"/>
    <w:rsid w:val="00500060"/>
    <w:rsid w:val="005023C4"/>
    <w:rsid w:val="005029F8"/>
    <w:rsid w:val="00503092"/>
    <w:rsid w:val="005051A8"/>
    <w:rsid w:val="00505CD0"/>
    <w:rsid w:val="0050670F"/>
    <w:rsid w:val="005073F8"/>
    <w:rsid w:val="00511661"/>
    <w:rsid w:val="005149EB"/>
    <w:rsid w:val="00517866"/>
    <w:rsid w:val="00520639"/>
    <w:rsid w:val="00520F6C"/>
    <w:rsid w:val="0052342E"/>
    <w:rsid w:val="00523F2A"/>
    <w:rsid w:val="005243F4"/>
    <w:rsid w:val="00524B00"/>
    <w:rsid w:val="005278BC"/>
    <w:rsid w:val="00531CB8"/>
    <w:rsid w:val="00534744"/>
    <w:rsid w:val="00535E8E"/>
    <w:rsid w:val="00536180"/>
    <w:rsid w:val="005375CE"/>
    <w:rsid w:val="005426BA"/>
    <w:rsid w:val="00547BF2"/>
    <w:rsid w:val="00547FBD"/>
    <w:rsid w:val="0055419A"/>
    <w:rsid w:val="00554FAA"/>
    <w:rsid w:val="005576D4"/>
    <w:rsid w:val="005628FD"/>
    <w:rsid w:val="005639D6"/>
    <w:rsid w:val="00565C57"/>
    <w:rsid w:val="0056712C"/>
    <w:rsid w:val="0057088B"/>
    <w:rsid w:val="00571254"/>
    <w:rsid w:val="0057125A"/>
    <w:rsid w:val="00572122"/>
    <w:rsid w:val="00572563"/>
    <w:rsid w:val="0057257A"/>
    <w:rsid w:val="00573E06"/>
    <w:rsid w:val="00574087"/>
    <w:rsid w:val="0057665F"/>
    <w:rsid w:val="00576E2B"/>
    <w:rsid w:val="005774C5"/>
    <w:rsid w:val="00577FB4"/>
    <w:rsid w:val="00580F39"/>
    <w:rsid w:val="005818E0"/>
    <w:rsid w:val="005841BC"/>
    <w:rsid w:val="0058454B"/>
    <w:rsid w:val="0058488D"/>
    <w:rsid w:val="005867D2"/>
    <w:rsid w:val="00591330"/>
    <w:rsid w:val="005920C8"/>
    <w:rsid w:val="00592C0C"/>
    <w:rsid w:val="00593444"/>
    <w:rsid w:val="00596067"/>
    <w:rsid w:val="00596EBA"/>
    <w:rsid w:val="005A16B2"/>
    <w:rsid w:val="005A2097"/>
    <w:rsid w:val="005A2858"/>
    <w:rsid w:val="005A4682"/>
    <w:rsid w:val="005A62A4"/>
    <w:rsid w:val="005A634D"/>
    <w:rsid w:val="005A6652"/>
    <w:rsid w:val="005A7984"/>
    <w:rsid w:val="005B1E6A"/>
    <w:rsid w:val="005B5C66"/>
    <w:rsid w:val="005C0676"/>
    <w:rsid w:val="005C08D1"/>
    <w:rsid w:val="005C713C"/>
    <w:rsid w:val="005C72BF"/>
    <w:rsid w:val="005C7D87"/>
    <w:rsid w:val="005D0FC3"/>
    <w:rsid w:val="005D381B"/>
    <w:rsid w:val="005D627F"/>
    <w:rsid w:val="005D6CA2"/>
    <w:rsid w:val="005E1DB9"/>
    <w:rsid w:val="005E21C1"/>
    <w:rsid w:val="005E2B17"/>
    <w:rsid w:val="005E2D99"/>
    <w:rsid w:val="005E5A0B"/>
    <w:rsid w:val="005E7DA5"/>
    <w:rsid w:val="005E7EC0"/>
    <w:rsid w:val="005F004A"/>
    <w:rsid w:val="005F13AD"/>
    <w:rsid w:val="005F2B42"/>
    <w:rsid w:val="005F2FF5"/>
    <w:rsid w:val="005F5561"/>
    <w:rsid w:val="005F59A5"/>
    <w:rsid w:val="005F6CEF"/>
    <w:rsid w:val="00603DB6"/>
    <w:rsid w:val="00604581"/>
    <w:rsid w:val="00604F0B"/>
    <w:rsid w:val="00605EBD"/>
    <w:rsid w:val="0060649D"/>
    <w:rsid w:val="00612C10"/>
    <w:rsid w:val="00612C1A"/>
    <w:rsid w:val="00613D77"/>
    <w:rsid w:val="0061504C"/>
    <w:rsid w:val="006164AF"/>
    <w:rsid w:val="006178DE"/>
    <w:rsid w:val="006205B5"/>
    <w:rsid w:val="006219C1"/>
    <w:rsid w:val="0062251A"/>
    <w:rsid w:val="00623EA4"/>
    <w:rsid w:val="00627954"/>
    <w:rsid w:val="006301C0"/>
    <w:rsid w:val="006328B1"/>
    <w:rsid w:val="00634311"/>
    <w:rsid w:val="006357F8"/>
    <w:rsid w:val="00640054"/>
    <w:rsid w:val="00640416"/>
    <w:rsid w:val="00650E10"/>
    <w:rsid w:val="006526DF"/>
    <w:rsid w:val="00652D30"/>
    <w:rsid w:val="0065455F"/>
    <w:rsid w:val="006603C2"/>
    <w:rsid w:val="00660C53"/>
    <w:rsid w:val="00661E65"/>
    <w:rsid w:val="0066241E"/>
    <w:rsid w:val="0066290B"/>
    <w:rsid w:val="00663AEB"/>
    <w:rsid w:val="00665807"/>
    <w:rsid w:val="00671665"/>
    <w:rsid w:val="00671BEC"/>
    <w:rsid w:val="00672452"/>
    <w:rsid w:val="00672DFA"/>
    <w:rsid w:val="0067318F"/>
    <w:rsid w:val="0067349D"/>
    <w:rsid w:val="006737B7"/>
    <w:rsid w:val="00673E44"/>
    <w:rsid w:val="00677D33"/>
    <w:rsid w:val="00682578"/>
    <w:rsid w:val="0068495F"/>
    <w:rsid w:val="00685229"/>
    <w:rsid w:val="006856CA"/>
    <w:rsid w:val="0068615E"/>
    <w:rsid w:val="00691451"/>
    <w:rsid w:val="00692EFF"/>
    <w:rsid w:val="00693B40"/>
    <w:rsid w:val="00696CA7"/>
    <w:rsid w:val="0069730E"/>
    <w:rsid w:val="006A26BA"/>
    <w:rsid w:val="006A2DF7"/>
    <w:rsid w:val="006A3EEC"/>
    <w:rsid w:val="006A48B7"/>
    <w:rsid w:val="006A551F"/>
    <w:rsid w:val="006A6520"/>
    <w:rsid w:val="006A693C"/>
    <w:rsid w:val="006A7509"/>
    <w:rsid w:val="006B0D37"/>
    <w:rsid w:val="006B16EF"/>
    <w:rsid w:val="006B2F4B"/>
    <w:rsid w:val="006B4204"/>
    <w:rsid w:val="006B443A"/>
    <w:rsid w:val="006B71E0"/>
    <w:rsid w:val="006B7E6E"/>
    <w:rsid w:val="006C09FC"/>
    <w:rsid w:val="006C23C8"/>
    <w:rsid w:val="006C2436"/>
    <w:rsid w:val="006C37FA"/>
    <w:rsid w:val="006C4A2F"/>
    <w:rsid w:val="006C6D73"/>
    <w:rsid w:val="006C6FA3"/>
    <w:rsid w:val="006D130F"/>
    <w:rsid w:val="006D2B39"/>
    <w:rsid w:val="006D30E5"/>
    <w:rsid w:val="006D4D91"/>
    <w:rsid w:val="006D6E5D"/>
    <w:rsid w:val="006D758B"/>
    <w:rsid w:val="006E1262"/>
    <w:rsid w:val="006E1369"/>
    <w:rsid w:val="006E13CA"/>
    <w:rsid w:val="006E4A64"/>
    <w:rsid w:val="006E617C"/>
    <w:rsid w:val="006E63BC"/>
    <w:rsid w:val="006E6E0C"/>
    <w:rsid w:val="006E7323"/>
    <w:rsid w:val="006E77B6"/>
    <w:rsid w:val="006F049E"/>
    <w:rsid w:val="006F0EDE"/>
    <w:rsid w:val="006F2895"/>
    <w:rsid w:val="006F4C06"/>
    <w:rsid w:val="006F75DC"/>
    <w:rsid w:val="006F7D50"/>
    <w:rsid w:val="00703D1D"/>
    <w:rsid w:val="0070444B"/>
    <w:rsid w:val="007056B3"/>
    <w:rsid w:val="00706258"/>
    <w:rsid w:val="00707697"/>
    <w:rsid w:val="00710317"/>
    <w:rsid w:val="0071038D"/>
    <w:rsid w:val="007104B3"/>
    <w:rsid w:val="007128B3"/>
    <w:rsid w:val="00712D9E"/>
    <w:rsid w:val="0071370D"/>
    <w:rsid w:val="00714C3E"/>
    <w:rsid w:val="00715614"/>
    <w:rsid w:val="00720091"/>
    <w:rsid w:val="00720196"/>
    <w:rsid w:val="0072418D"/>
    <w:rsid w:val="00725773"/>
    <w:rsid w:val="00725864"/>
    <w:rsid w:val="00726EA3"/>
    <w:rsid w:val="00727DF9"/>
    <w:rsid w:val="007309CA"/>
    <w:rsid w:val="00730D26"/>
    <w:rsid w:val="007314CD"/>
    <w:rsid w:val="007322F1"/>
    <w:rsid w:val="00736E48"/>
    <w:rsid w:val="00740108"/>
    <w:rsid w:val="00740539"/>
    <w:rsid w:val="00741C52"/>
    <w:rsid w:val="0074367F"/>
    <w:rsid w:val="00745881"/>
    <w:rsid w:val="007461EC"/>
    <w:rsid w:val="007467C1"/>
    <w:rsid w:val="00746C3A"/>
    <w:rsid w:val="00751889"/>
    <w:rsid w:val="007539AD"/>
    <w:rsid w:val="00754F7D"/>
    <w:rsid w:val="00755026"/>
    <w:rsid w:val="0075518A"/>
    <w:rsid w:val="007609B6"/>
    <w:rsid w:val="0076216B"/>
    <w:rsid w:val="007628E8"/>
    <w:rsid w:val="00763155"/>
    <w:rsid w:val="0076336C"/>
    <w:rsid w:val="00763FC8"/>
    <w:rsid w:val="00766419"/>
    <w:rsid w:val="00766531"/>
    <w:rsid w:val="0077022C"/>
    <w:rsid w:val="00771032"/>
    <w:rsid w:val="00771A4E"/>
    <w:rsid w:val="00772C26"/>
    <w:rsid w:val="00773D6D"/>
    <w:rsid w:val="00776643"/>
    <w:rsid w:val="007769F9"/>
    <w:rsid w:val="00776BA9"/>
    <w:rsid w:val="0078027F"/>
    <w:rsid w:val="00780E23"/>
    <w:rsid w:val="0078109E"/>
    <w:rsid w:val="007817ED"/>
    <w:rsid w:val="00783594"/>
    <w:rsid w:val="00783842"/>
    <w:rsid w:val="0078483F"/>
    <w:rsid w:val="007861C0"/>
    <w:rsid w:val="007903BB"/>
    <w:rsid w:val="007910B6"/>
    <w:rsid w:val="00793938"/>
    <w:rsid w:val="00793AD4"/>
    <w:rsid w:val="00796CF9"/>
    <w:rsid w:val="007975FE"/>
    <w:rsid w:val="007A03D9"/>
    <w:rsid w:val="007A2AA2"/>
    <w:rsid w:val="007A2EDF"/>
    <w:rsid w:val="007A341A"/>
    <w:rsid w:val="007A3703"/>
    <w:rsid w:val="007A3DDD"/>
    <w:rsid w:val="007A5793"/>
    <w:rsid w:val="007A78AA"/>
    <w:rsid w:val="007B0971"/>
    <w:rsid w:val="007B136A"/>
    <w:rsid w:val="007B265D"/>
    <w:rsid w:val="007B3A61"/>
    <w:rsid w:val="007B3F33"/>
    <w:rsid w:val="007B4688"/>
    <w:rsid w:val="007B7706"/>
    <w:rsid w:val="007B77C3"/>
    <w:rsid w:val="007C1131"/>
    <w:rsid w:val="007C128B"/>
    <w:rsid w:val="007C339D"/>
    <w:rsid w:val="007C3E31"/>
    <w:rsid w:val="007C4785"/>
    <w:rsid w:val="007C4B27"/>
    <w:rsid w:val="007C50E6"/>
    <w:rsid w:val="007C659C"/>
    <w:rsid w:val="007C7CAC"/>
    <w:rsid w:val="007D1C7B"/>
    <w:rsid w:val="007D356A"/>
    <w:rsid w:val="007D38DA"/>
    <w:rsid w:val="007D60BA"/>
    <w:rsid w:val="007D64FF"/>
    <w:rsid w:val="007D7B02"/>
    <w:rsid w:val="007E05E8"/>
    <w:rsid w:val="007E1A55"/>
    <w:rsid w:val="007F1B64"/>
    <w:rsid w:val="007F45F5"/>
    <w:rsid w:val="007F712E"/>
    <w:rsid w:val="007F7E19"/>
    <w:rsid w:val="007F7FE4"/>
    <w:rsid w:val="008015C8"/>
    <w:rsid w:val="00802CCB"/>
    <w:rsid w:val="0080484B"/>
    <w:rsid w:val="0081342C"/>
    <w:rsid w:val="00814D62"/>
    <w:rsid w:val="008151C5"/>
    <w:rsid w:val="008165E0"/>
    <w:rsid w:val="00816988"/>
    <w:rsid w:val="00817873"/>
    <w:rsid w:val="00817AA7"/>
    <w:rsid w:val="00823BA5"/>
    <w:rsid w:val="008253CB"/>
    <w:rsid w:val="00825F5D"/>
    <w:rsid w:val="008263C4"/>
    <w:rsid w:val="008267D8"/>
    <w:rsid w:val="00827009"/>
    <w:rsid w:val="008270C5"/>
    <w:rsid w:val="00830D51"/>
    <w:rsid w:val="00833C04"/>
    <w:rsid w:val="008346E0"/>
    <w:rsid w:val="0083540F"/>
    <w:rsid w:val="008359DF"/>
    <w:rsid w:val="008404BE"/>
    <w:rsid w:val="00841540"/>
    <w:rsid w:val="00842E6D"/>
    <w:rsid w:val="00845144"/>
    <w:rsid w:val="00846744"/>
    <w:rsid w:val="008470A2"/>
    <w:rsid w:val="008479E6"/>
    <w:rsid w:val="00847BC3"/>
    <w:rsid w:val="008500F0"/>
    <w:rsid w:val="0085131E"/>
    <w:rsid w:val="00851407"/>
    <w:rsid w:val="00853459"/>
    <w:rsid w:val="00853BA2"/>
    <w:rsid w:val="008556FA"/>
    <w:rsid w:val="0085591D"/>
    <w:rsid w:val="008561AA"/>
    <w:rsid w:val="00856C28"/>
    <w:rsid w:val="00861912"/>
    <w:rsid w:val="0086262D"/>
    <w:rsid w:val="00863A5F"/>
    <w:rsid w:val="008651DF"/>
    <w:rsid w:val="00866369"/>
    <w:rsid w:val="008677D3"/>
    <w:rsid w:val="00870637"/>
    <w:rsid w:val="00870BAA"/>
    <w:rsid w:val="0087268F"/>
    <w:rsid w:val="008733DE"/>
    <w:rsid w:val="00873C8E"/>
    <w:rsid w:val="008742E8"/>
    <w:rsid w:val="008763D6"/>
    <w:rsid w:val="008770FC"/>
    <w:rsid w:val="0087772C"/>
    <w:rsid w:val="00877F4D"/>
    <w:rsid w:val="00884877"/>
    <w:rsid w:val="008857DB"/>
    <w:rsid w:val="008862C5"/>
    <w:rsid w:val="00887D8C"/>
    <w:rsid w:val="00890017"/>
    <w:rsid w:val="00893CEA"/>
    <w:rsid w:val="008952DF"/>
    <w:rsid w:val="00896EB1"/>
    <w:rsid w:val="008A0D05"/>
    <w:rsid w:val="008A1CAF"/>
    <w:rsid w:val="008A7630"/>
    <w:rsid w:val="008B0930"/>
    <w:rsid w:val="008B23EE"/>
    <w:rsid w:val="008B4E6D"/>
    <w:rsid w:val="008B78A5"/>
    <w:rsid w:val="008B7BFE"/>
    <w:rsid w:val="008C1B6A"/>
    <w:rsid w:val="008C39AC"/>
    <w:rsid w:val="008C42E3"/>
    <w:rsid w:val="008C5568"/>
    <w:rsid w:val="008C6002"/>
    <w:rsid w:val="008D0B2E"/>
    <w:rsid w:val="008D103F"/>
    <w:rsid w:val="008D19D4"/>
    <w:rsid w:val="008D3E6C"/>
    <w:rsid w:val="008D4C9D"/>
    <w:rsid w:val="008E0553"/>
    <w:rsid w:val="008E2E72"/>
    <w:rsid w:val="008E55CF"/>
    <w:rsid w:val="008E7C01"/>
    <w:rsid w:val="008F0AEF"/>
    <w:rsid w:val="008F6CB6"/>
    <w:rsid w:val="008F6EB5"/>
    <w:rsid w:val="00902A67"/>
    <w:rsid w:val="0090525B"/>
    <w:rsid w:val="00907466"/>
    <w:rsid w:val="00912885"/>
    <w:rsid w:val="00913CDB"/>
    <w:rsid w:val="00915693"/>
    <w:rsid w:val="00917808"/>
    <w:rsid w:val="009201CD"/>
    <w:rsid w:val="0092181A"/>
    <w:rsid w:val="00921F52"/>
    <w:rsid w:val="00922CB4"/>
    <w:rsid w:val="009246DE"/>
    <w:rsid w:val="009259C1"/>
    <w:rsid w:val="00927589"/>
    <w:rsid w:val="00931E85"/>
    <w:rsid w:val="0093296C"/>
    <w:rsid w:val="009425D0"/>
    <w:rsid w:val="00942CAD"/>
    <w:rsid w:val="00950D05"/>
    <w:rsid w:val="009517D7"/>
    <w:rsid w:val="009550F5"/>
    <w:rsid w:val="00956931"/>
    <w:rsid w:val="009576D0"/>
    <w:rsid w:val="00961086"/>
    <w:rsid w:val="00962D3E"/>
    <w:rsid w:val="00963A2D"/>
    <w:rsid w:val="0096588F"/>
    <w:rsid w:val="0096750D"/>
    <w:rsid w:val="009708C4"/>
    <w:rsid w:val="00970EB6"/>
    <w:rsid w:val="0097286F"/>
    <w:rsid w:val="00973390"/>
    <w:rsid w:val="009766B2"/>
    <w:rsid w:val="009769E3"/>
    <w:rsid w:val="00976A75"/>
    <w:rsid w:val="009778B3"/>
    <w:rsid w:val="00980137"/>
    <w:rsid w:val="00984767"/>
    <w:rsid w:val="009926FA"/>
    <w:rsid w:val="00994F8F"/>
    <w:rsid w:val="009A040E"/>
    <w:rsid w:val="009A08A0"/>
    <w:rsid w:val="009A1DAB"/>
    <w:rsid w:val="009A2FD1"/>
    <w:rsid w:val="009A5EAA"/>
    <w:rsid w:val="009A6468"/>
    <w:rsid w:val="009A7BA9"/>
    <w:rsid w:val="009B09AD"/>
    <w:rsid w:val="009B0E32"/>
    <w:rsid w:val="009B0F07"/>
    <w:rsid w:val="009B1378"/>
    <w:rsid w:val="009B3699"/>
    <w:rsid w:val="009B41EF"/>
    <w:rsid w:val="009B4391"/>
    <w:rsid w:val="009B54AC"/>
    <w:rsid w:val="009B6660"/>
    <w:rsid w:val="009B7227"/>
    <w:rsid w:val="009B79F4"/>
    <w:rsid w:val="009C08B3"/>
    <w:rsid w:val="009C08B5"/>
    <w:rsid w:val="009C32B2"/>
    <w:rsid w:val="009C600F"/>
    <w:rsid w:val="009C69A8"/>
    <w:rsid w:val="009C7FA2"/>
    <w:rsid w:val="009D1300"/>
    <w:rsid w:val="009D171E"/>
    <w:rsid w:val="009D2BED"/>
    <w:rsid w:val="009D53C7"/>
    <w:rsid w:val="009D55DB"/>
    <w:rsid w:val="009D63D4"/>
    <w:rsid w:val="009D6FC4"/>
    <w:rsid w:val="009E029B"/>
    <w:rsid w:val="009E0387"/>
    <w:rsid w:val="009E4D8C"/>
    <w:rsid w:val="009E547E"/>
    <w:rsid w:val="009E5C58"/>
    <w:rsid w:val="009F4563"/>
    <w:rsid w:val="009F6792"/>
    <w:rsid w:val="009F791D"/>
    <w:rsid w:val="00A03EDF"/>
    <w:rsid w:val="00A04523"/>
    <w:rsid w:val="00A05982"/>
    <w:rsid w:val="00A06251"/>
    <w:rsid w:val="00A073AF"/>
    <w:rsid w:val="00A14C2B"/>
    <w:rsid w:val="00A15628"/>
    <w:rsid w:val="00A15B22"/>
    <w:rsid w:val="00A20E99"/>
    <w:rsid w:val="00A238CF"/>
    <w:rsid w:val="00A23BD8"/>
    <w:rsid w:val="00A23E99"/>
    <w:rsid w:val="00A2471C"/>
    <w:rsid w:val="00A24BC8"/>
    <w:rsid w:val="00A25E7E"/>
    <w:rsid w:val="00A2704E"/>
    <w:rsid w:val="00A27066"/>
    <w:rsid w:val="00A27B38"/>
    <w:rsid w:val="00A27CD5"/>
    <w:rsid w:val="00A32528"/>
    <w:rsid w:val="00A335EE"/>
    <w:rsid w:val="00A33957"/>
    <w:rsid w:val="00A3574C"/>
    <w:rsid w:val="00A417FB"/>
    <w:rsid w:val="00A4506E"/>
    <w:rsid w:val="00A45929"/>
    <w:rsid w:val="00A45EB6"/>
    <w:rsid w:val="00A461C8"/>
    <w:rsid w:val="00A470F1"/>
    <w:rsid w:val="00A54988"/>
    <w:rsid w:val="00A54A21"/>
    <w:rsid w:val="00A56181"/>
    <w:rsid w:val="00A56397"/>
    <w:rsid w:val="00A63450"/>
    <w:rsid w:val="00A6669A"/>
    <w:rsid w:val="00A70560"/>
    <w:rsid w:val="00A70E3A"/>
    <w:rsid w:val="00A7183D"/>
    <w:rsid w:val="00A71921"/>
    <w:rsid w:val="00A72908"/>
    <w:rsid w:val="00A75CFF"/>
    <w:rsid w:val="00A77A2C"/>
    <w:rsid w:val="00A77DFE"/>
    <w:rsid w:val="00A80D98"/>
    <w:rsid w:val="00A8133A"/>
    <w:rsid w:val="00A82E67"/>
    <w:rsid w:val="00A85417"/>
    <w:rsid w:val="00A8584C"/>
    <w:rsid w:val="00A8618D"/>
    <w:rsid w:val="00A86E15"/>
    <w:rsid w:val="00A913BB"/>
    <w:rsid w:val="00A9156C"/>
    <w:rsid w:val="00A91673"/>
    <w:rsid w:val="00A9192A"/>
    <w:rsid w:val="00A93A9B"/>
    <w:rsid w:val="00AA0669"/>
    <w:rsid w:val="00AA11A0"/>
    <w:rsid w:val="00AA24BB"/>
    <w:rsid w:val="00AA425E"/>
    <w:rsid w:val="00AA505D"/>
    <w:rsid w:val="00AA5449"/>
    <w:rsid w:val="00AA61F2"/>
    <w:rsid w:val="00AB0D63"/>
    <w:rsid w:val="00AB2EB7"/>
    <w:rsid w:val="00AB5F0F"/>
    <w:rsid w:val="00AB6ECB"/>
    <w:rsid w:val="00AB7132"/>
    <w:rsid w:val="00AC35A1"/>
    <w:rsid w:val="00AC38EE"/>
    <w:rsid w:val="00AD02DE"/>
    <w:rsid w:val="00AD082C"/>
    <w:rsid w:val="00AD0B5F"/>
    <w:rsid w:val="00AD2D42"/>
    <w:rsid w:val="00AD3AE8"/>
    <w:rsid w:val="00AD4A2F"/>
    <w:rsid w:val="00AD54BD"/>
    <w:rsid w:val="00AD60A1"/>
    <w:rsid w:val="00AE21EA"/>
    <w:rsid w:val="00AE7865"/>
    <w:rsid w:val="00AE7AF4"/>
    <w:rsid w:val="00AE7CC3"/>
    <w:rsid w:val="00AF2737"/>
    <w:rsid w:val="00AF2763"/>
    <w:rsid w:val="00AF5977"/>
    <w:rsid w:val="00B000FF"/>
    <w:rsid w:val="00B0234D"/>
    <w:rsid w:val="00B04308"/>
    <w:rsid w:val="00B04737"/>
    <w:rsid w:val="00B05C65"/>
    <w:rsid w:val="00B05F5D"/>
    <w:rsid w:val="00B06C1D"/>
    <w:rsid w:val="00B06CA7"/>
    <w:rsid w:val="00B07A04"/>
    <w:rsid w:val="00B11406"/>
    <w:rsid w:val="00B120F5"/>
    <w:rsid w:val="00B132FD"/>
    <w:rsid w:val="00B17B9B"/>
    <w:rsid w:val="00B2284B"/>
    <w:rsid w:val="00B23EA6"/>
    <w:rsid w:val="00B27EF8"/>
    <w:rsid w:val="00B30DE4"/>
    <w:rsid w:val="00B31AD8"/>
    <w:rsid w:val="00B33E0F"/>
    <w:rsid w:val="00B346BA"/>
    <w:rsid w:val="00B377FC"/>
    <w:rsid w:val="00B37D6B"/>
    <w:rsid w:val="00B40318"/>
    <w:rsid w:val="00B40B8E"/>
    <w:rsid w:val="00B41C56"/>
    <w:rsid w:val="00B42D56"/>
    <w:rsid w:val="00B44FB7"/>
    <w:rsid w:val="00B45D7A"/>
    <w:rsid w:val="00B46971"/>
    <w:rsid w:val="00B50ECB"/>
    <w:rsid w:val="00B51A7D"/>
    <w:rsid w:val="00B52EE5"/>
    <w:rsid w:val="00B5789C"/>
    <w:rsid w:val="00B63FAA"/>
    <w:rsid w:val="00B649AE"/>
    <w:rsid w:val="00B669E5"/>
    <w:rsid w:val="00B7059D"/>
    <w:rsid w:val="00B722B1"/>
    <w:rsid w:val="00B72B2A"/>
    <w:rsid w:val="00B72C62"/>
    <w:rsid w:val="00B751B4"/>
    <w:rsid w:val="00B75A1C"/>
    <w:rsid w:val="00B76486"/>
    <w:rsid w:val="00B7722C"/>
    <w:rsid w:val="00B7792E"/>
    <w:rsid w:val="00B80BD9"/>
    <w:rsid w:val="00B81D8C"/>
    <w:rsid w:val="00B86A67"/>
    <w:rsid w:val="00B91B9E"/>
    <w:rsid w:val="00B92D60"/>
    <w:rsid w:val="00B95809"/>
    <w:rsid w:val="00B95A7B"/>
    <w:rsid w:val="00BA36DE"/>
    <w:rsid w:val="00BA7716"/>
    <w:rsid w:val="00BB2FCE"/>
    <w:rsid w:val="00BB31DC"/>
    <w:rsid w:val="00BB34D7"/>
    <w:rsid w:val="00BB6BB8"/>
    <w:rsid w:val="00BC0E25"/>
    <w:rsid w:val="00BC1B19"/>
    <w:rsid w:val="00BC2339"/>
    <w:rsid w:val="00BC28EA"/>
    <w:rsid w:val="00BC3EE4"/>
    <w:rsid w:val="00BC5A3A"/>
    <w:rsid w:val="00BC6FDA"/>
    <w:rsid w:val="00BC7161"/>
    <w:rsid w:val="00BD0419"/>
    <w:rsid w:val="00BD41A7"/>
    <w:rsid w:val="00BD4E2F"/>
    <w:rsid w:val="00BD5572"/>
    <w:rsid w:val="00BD575C"/>
    <w:rsid w:val="00BD701E"/>
    <w:rsid w:val="00BE04C3"/>
    <w:rsid w:val="00BE04FA"/>
    <w:rsid w:val="00BE22AB"/>
    <w:rsid w:val="00BE524F"/>
    <w:rsid w:val="00BE5877"/>
    <w:rsid w:val="00BE735E"/>
    <w:rsid w:val="00BF0119"/>
    <w:rsid w:val="00BF2FE9"/>
    <w:rsid w:val="00BF37D6"/>
    <w:rsid w:val="00BF45B1"/>
    <w:rsid w:val="00BF4E4B"/>
    <w:rsid w:val="00BF5A3D"/>
    <w:rsid w:val="00BF5F61"/>
    <w:rsid w:val="00C00AB0"/>
    <w:rsid w:val="00C05DD2"/>
    <w:rsid w:val="00C06074"/>
    <w:rsid w:val="00C11F8B"/>
    <w:rsid w:val="00C133B4"/>
    <w:rsid w:val="00C13667"/>
    <w:rsid w:val="00C13F55"/>
    <w:rsid w:val="00C15D35"/>
    <w:rsid w:val="00C16A65"/>
    <w:rsid w:val="00C16FFC"/>
    <w:rsid w:val="00C1780D"/>
    <w:rsid w:val="00C17A0C"/>
    <w:rsid w:val="00C205C6"/>
    <w:rsid w:val="00C20906"/>
    <w:rsid w:val="00C22037"/>
    <w:rsid w:val="00C27898"/>
    <w:rsid w:val="00C27ACF"/>
    <w:rsid w:val="00C3677E"/>
    <w:rsid w:val="00C37DBC"/>
    <w:rsid w:val="00C4262A"/>
    <w:rsid w:val="00C4362B"/>
    <w:rsid w:val="00C43854"/>
    <w:rsid w:val="00C43A97"/>
    <w:rsid w:val="00C4573A"/>
    <w:rsid w:val="00C468B2"/>
    <w:rsid w:val="00C47234"/>
    <w:rsid w:val="00C47F94"/>
    <w:rsid w:val="00C5098D"/>
    <w:rsid w:val="00C520E4"/>
    <w:rsid w:val="00C53727"/>
    <w:rsid w:val="00C54814"/>
    <w:rsid w:val="00C55AFE"/>
    <w:rsid w:val="00C55D9B"/>
    <w:rsid w:val="00C56640"/>
    <w:rsid w:val="00C569DD"/>
    <w:rsid w:val="00C61AED"/>
    <w:rsid w:val="00C61E6E"/>
    <w:rsid w:val="00C642AF"/>
    <w:rsid w:val="00C65202"/>
    <w:rsid w:val="00C65E39"/>
    <w:rsid w:val="00C67257"/>
    <w:rsid w:val="00C67B19"/>
    <w:rsid w:val="00C6A1F2"/>
    <w:rsid w:val="00C714B5"/>
    <w:rsid w:val="00C71666"/>
    <w:rsid w:val="00C72912"/>
    <w:rsid w:val="00C731A5"/>
    <w:rsid w:val="00C737E9"/>
    <w:rsid w:val="00C74086"/>
    <w:rsid w:val="00C7460A"/>
    <w:rsid w:val="00C76E9A"/>
    <w:rsid w:val="00C76FC3"/>
    <w:rsid w:val="00C829DC"/>
    <w:rsid w:val="00C83598"/>
    <w:rsid w:val="00C8485A"/>
    <w:rsid w:val="00C8645D"/>
    <w:rsid w:val="00C86DD6"/>
    <w:rsid w:val="00C87264"/>
    <w:rsid w:val="00C90528"/>
    <w:rsid w:val="00C94564"/>
    <w:rsid w:val="00C94FCF"/>
    <w:rsid w:val="00C950F2"/>
    <w:rsid w:val="00C96017"/>
    <w:rsid w:val="00C962CA"/>
    <w:rsid w:val="00C97AEA"/>
    <w:rsid w:val="00CA119C"/>
    <w:rsid w:val="00CA1BDE"/>
    <w:rsid w:val="00CA35B8"/>
    <w:rsid w:val="00CA5882"/>
    <w:rsid w:val="00CB2518"/>
    <w:rsid w:val="00CB430B"/>
    <w:rsid w:val="00CB5116"/>
    <w:rsid w:val="00CC0990"/>
    <w:rsid w:val="00CC10AF"/>
    <w:rsid w:val="00CC1A03"/>
    <w:rsid w:val="00CC5B68"/>
    <w:rsid w:val="00CC71FD"/>
    <w:rsid w:val="00CC7A20"/>
    <w:rsid w:val="00CD0302"/>
    <w:rsid w:val="00CD35CE"/>
    <w:rsid w:val="00CD3C51"/>
    <w:rsid w:val="00CD438B"/>
    <w:rsid w:val="00CD6CD3"/>
    <w:rsid w:val="00CD78FC"/>
    <w:rsid w:val="00CE08C9"/>
    <w:rsid w:val="00CE0D41"/>
    <w:rsid w:val="00CE32E8"/>
    <w:rsid w:val="00CE32F4"/>
    <w:rsid w:val="00CE5999"/>
    <w:rsid w:val="00CE5CF5"/>
    <w:rsid w:val="00CE6DDB"/>
    <w:rsid w:val="00CE7FB4"/>
    <w:rsid w:val="00CF0311"/>
    <w:rsid w:val="00CF36DF"/>
    <w:rsid w:val="00CF569D"/>
    <w:rsid w:val="00CF58EA"/>
    <w:rsid w:val="00CF66BE"/>
    <w:rsid w:val="00CF7E90"/>
    <w:rsid w:val="00D00328"/>
    <w:rsid w:val="00D02905"/>
    <w:rsid w:val="00D035CB"/>
    <w:rsid w:val="00D04B17"/>
    <w:rsid w:val="00D05B76"/>
    <w:rsid w:val="00D12147"/>
    <w:rsid w:val="00D13202"/>
    <w:rsid w:val="00D14AEF"/>
    <w:rsid w:val="00D209BA"/>
    <w:rsid w:val="00D241D0"/>
    <w:rsid w:val="00D276CB"/>
    <w:rsid w:val="00D3020D"/>
    <w:rsid w:val="00D306D1"/>
    <w:rsid w:val="00D31A6F"/>
    <w:rsid w:val="00D31E5D"/>
    <w:rsid w:val="00D3419B"/>
    <w:rsid w:val="00D348A3"/>
    <w:rsid w:val="00D35199"/>
    <w:rsid w:val="00D35F47"/>
    <w:rsid w:val="00D378B0"/>
    <w:rsid w:val="00D42319"/>
    <w:rsid w:val="00D426C6"/>
    <w:rsid w:val="00D42F8B"/>
    <w:rsid w:val="00D46BDD"/>
    <w:rsid w:val="00D476E7"/>
    <w:rsid w:val="00D50379"/>
    <w:rsid w:val="00D50928"/>
    <w:rsid w:val="00D54C11"/>
    <w:rsid w:val="00D54F32"/>
    <w:rsid w:val="00D557FF"/>
    <w:rsid w:val="00D5633F"/>
    <w:rsid w:val="00D570DC"/>
    <w:rsid w:val="00D57AB3"/>
    <w:rsid w:val="00D620BD"/>
    <w:rsid w:val="00D63FC6"/>
    <w:rsid w:val="00D6445A"/>
    <w:rsid w:val="00D66986"/>
    <w:rsid w:val="00D70015"/>
    <w:rsid w:val="00D77593"/>
    <w:rsid w:val="00D775B1"/>
    <w:rsid w:val="00D81D7F"/>
    <w:rsid w:val="00D82CFA"/>
    <w:rsid w:val="00D83955"/>
    <w:rsid w:val="00D83E60"/>
    <w:rsid w:val="00D84364"/>
    <w:rsid w:val="00D90AB3"/>
    <w:rsid w:val="00D91765"/>
    <w:rsid w:val="00D92205"/>
    <w:rsid w:val="00D9704E"/>
    <w:rsid w:val="00DA231E"/>
    <w:rsid w:val="00DA2E21"/>
    <w:rsid w:val="00DA45E0"/>
    <w:rsid w:val="00DA52A2"/>
    <w:rsid w:val="00DA60A6"/>
    <w:rsid w:val="00DA6DFC"/>
    <w:rsid w:val="00DB0925"/>
    <w:rsid w:val="00DB1368"/>
    <w:rsid w:val="00DB139D"/>
    <w:rsid w:val="00DB1967"/>
    <w:rsid w:val="00DB2143"/>
    <w:rsid w:val="00DB5FB3"/>
    <w:rsid w:val="00DB78CB"/>
    <w:rsid w:val="00DC169F"/>
    <w:rsid w:val="00DC16BD"/>
    <w:rsid w:val="00DC1CDA"/>
    <w:rsid w:val="00DC2F8B"/>
    <w:rsid w:val="00DC3A28"/>
    <w:rsid w:val="00DC5220"/>
    <w:rsid w:val="00DD0C56"/>
    <w:rsid w:val="00DD3012"/>
    <w:rsid w:val="00DD5268"/>
    <w:rsid w:val="00DD5908"/>
    <w:rsid w:val="00DD5CF5"/>
    <w:rsid w:val="00DE10CB"/>
    <w:rsid w:val="00DE598B"/>
    <w:rsid w:val="00DE6B50"/>
    <w:rsid w:val="00DE7C95"/>
    <w:rsid w:val="00DF158A"/>
    <w:rsid w:val="00DF1C32"/>
    <w:rsid w:val="00DF293B"/>
    <w:rsid w:val="00DF3EF4"/>
    <w:rsid w:val="00E01A9A"/>
    <w:rsid w:val="00E0201E"/>
    <w:rsid w:val="00E02596"/>
    <w:rsid w:val="00E040C4"/>
    <w:rsid w:val="00E0458A"/>
    <w:rsid w:val="00E078E6"/>
    <w:rsid w:val="00E07C9C"/>
    <w:rsid w:val="00E1068E"/>
    <w:rsid w:val="00E10C56"/>
    <w:rsid w:val="00E13724"/>
    <w:rsid w:val="00E159C5"/>
    <w:rsid w:val="00E202BE"/>
    <w:rsid w:val="00E22044"/>
    <w:rsid w:val="00E22830"/>
    <w:rsid w:val="00E22915"/>
    <w:rsid w:val="00E22D5B"/>
    <w:rsid w:val="00E23D8B"/>
    <w:rsid w:val="00E26565"/>
    <w:rsid w:val="00E26B62"/>
    <w:rsid w:val="00E274DC"/>
    <w:rsid w:val="00E30C1E"/>
    <w:rsid w:val="00E348F4"/>
    <w:rsid w:val="00E37B3A"/>
    <w:rsid w:val="00E433C2"/>
    <w:rsid w:val="00E4570D"/>
    <w:rsid w:val="00E45EE6"/>
    <w:rsid w:val="00E53129"/>
    <w:rsid w:val="00E54796"/>
    <w:rsid w:val="00E555D3"/>
    <w:rsid w:val="00E55B0B"/>
    <w:rsid w:val="00E60A89"/>
    <w:rsid w:val="00E6158F"/>
    <w:rsid w:val="00E65E6E"/>
    <w:rsid w:val="00E678B0"/>
    <w:rsid w:val="00E67DFF"/>
    <w:rsid w:val="00E70561"/>
    <w:rsid w:val="00E71382"/>
    <w:rsid w:val="00E72932"/>
    <w:rsid w:val="00E73785"/>
    <w:rsid w:val="00E74403"/>
    <w:rsid w:val="00E7671B"/>
    <w:rsid w:val="00E76C14"/>
    <w:rsid w:val="00E77390"/>
    <w:rsid w:val="00E805BC"/>
    <w:rsid w:val="00E8218D"/>
    <w:rsid w:val="00E84E86"/>
    <w:rsid w:val="00E86723"/>
    <w:rsid w:val="00E9020C"/>
    <w:rsid w:val="00E91BE6"/>
    <w:rsid w:val="00E93CCA"/>
    <w:rsid w:val="00E94D2E"/>
    <w:rsid w:val="00E95A92"/>
    <w:rsid w:val="00E95E5C"/>
    <w:rsid w:val="00E970EA"/>
    <w:rsid w:val="00EA140B"/>
    <w:rsid w:val="00EA4E0F"/>
    <w:rsid w:val="00EA7137"/>
    <w:rsid w:val="00EB1669"/>
    <w:rsid w:val="00EB31A8"/>
    <w:rsid w:val="00EB4E5B"/>
    <w:rsid w:val="00EB6BD0"/>
    <w:rsid w:val="00EB71F4"/>
    <w:rsid w:val="00EB7CD5"/>
    <w:rsid w:val="00EC04DE"/>
    <w:rsid w:val="00EC1653"/>
    <w:rsid w:val="00EC1BD7"/>
    <w:rsid w:val="00EC1D5F"/>
    <w:rsid w:val="00EC774F"/>
    <w:rsid w:val="00ED3868"/>
    <w:rsid w:val="00ED4073"/>
    <w:rsid w:val="00ED47F3"/>
    <w:rsid w:val="00EE0C4F"/>
    <w:rsid w:val="00EE4C9D"/>
    <w:rsid w:val="00EE56F6"/>
    <w:rsid w:val="00EE623E"/>
    <w:rsid w:val="00EE7ED1"/>
    <w:rsid w:val="00EF155D"/>
    <w:rsid w:val="00EF367F"/>
    <w:rsid w:val="00EF5F92"/>
    <w:rsid w:val="00EF6DD0"/>
    <w:rsid w:val="00EF74C7"/>
    <w:rsid w:val="00EF7FF6"/>
    <w:rsid w:val="00F017D8"/>
    <w:rsid w:val="00F02905"/>
    <w:rsid w:val="00F02FC5"/>
    <w:rsid w:val="00F03D3D"/>
    <w:rsid w:val="00F045A4"/>
    <w:rsid w:val="00F04AB2"/>
    <w:rsid w:val="00F06522"/>
    <w:rsid w:val="00F06C97"/>
    <w:rsid w:val="00F1025E"/>
    <w:rsid w:val="00F10782"/>
    <w:rsid w:val="00F14CF8"/>
    <w:rsid w:val="00F163F6"/>
    <w:rsid w:val="00F173E0"/>
    <w:rsid w:val="00F20289"/>
    <w:rsid w:val="00F20673"/>
    <w:rsid w:val="00F21C74"/>
    <w:rsid w:val="00F21C81"/>
    <w:rsid w:val="00F228DC"/>
    <w:rsid w:val="00F25E75"/>
    <w:rsid w:val="00F32419"/>
    <w:rsid w:val="00F32A7A"/>
    <w:rsid w:val="00F334F6"/>
    <w:rsid w:val="00F34E0C"/>
    <w:rsid w:val="00F36C3F"/>
    <w:rsid w:val="00F36DCA"/>
    <w:rsid w:val="00F371E9"/>
    <w:rsid w:val="00F3784C"/>
    <w:rsid w:val="00F41BC4"/>
    <w:rsid w:val="00F4459D"/>
    <w:rsid w:val="00F453ED"/>
    <w:rsid w:val="00F466C4"/>
    <w:rsid w:val="00F472D9"/>
    <w:rsid w:val="00F52C4C"/>
    <w:rsid w:val="00F540D0"/>
    <w:rsid w:val="00F550E0"/>
    <w:rsid w:val="00F57A56"/>
    <w:rsid w:val="00F60275"/>
    <w:rsid w:val="00F6200F"/>
    <w:rsid w:val="00F6228A"/>
    <w:rsid w:val="00F63A84"/>
    <w:rsid w:val="00F65EE8"/>
    <w:rsid w:val="00F66038"/>
    <w:rsid w:val="00F66350"/>
    <w:rsid w:val="00F66CAC"/>
    <w:rsid w:val="00F70723"/>
    <w:rsid w:val="00F72340"/>
    <w:rsid w:val="00F72583"/>
    <w:rsid w:val="00F7263B"/>
    <w:rsid w:val="00F72981"/>
    <w:rsid w:val="00F737B7"/>
    <w:rsid w:val="00F750F3"/>
    <w:rsid w:val="00F76C90"/>
    <w:rsid w:val="00F7785F"/>
    <w:rsid w:val="00F778F8"/>
    <w:rsid w:val="00F83BA2"/>
    <w:rsid w:val="00F83F34"/>
    <w:rsid w:val="00F85456"/>
    <w:rsid w:val="00F86BD9"/>
    <w:rsid w:val="00F86D48"/>
    <w:rsid w:val="00F87B8D"/>
    <w:rsid w:val="00F9158E"/>
    <w:rsid w:val="00F96B84"/>
    <w:rsid w:val="00FA39F1"/>
    <w:rsid w:val="00FA5292"/>
    <w:rsid w:val="00FA76E8"/>
    <w:rsid w:val="00FB23DF"/>
    <w:rsid w:val="00FB25C3"/>
    <w:rsid w:val="00FB61E3"/>
    <w:rsid w:val="00FC06A0"/>
    <w:rsid w:val="00FC0A0B"/>
    <w:rsid w:val="00FC0BAF"/>
    <w:rsid w:val="00FC24BA"/>
    <w:rsid w:val="00FC4920"/>
    <w:rsid w:val="00FC5CC9"/>
    <w:rsid w:val="00FC7645"/>
    <w:rsid w:val="00FC792E"/>
    <w:rsid w:val="00FD037D"/>
    <w:rsid w:val="00FD0F78"/>
    <w:rsid w:val="00FD1B30"/>
    <w:rsid w:val="00FD2AC2"/>
    <w:rsid w:val="00FD3775"/>
    <w:rsid w:val="00FD3BA3"/>
    <w:rsid w:val="00FD5678"/>
    <w:rsid w:val="00FD6137"/>
    <w:rsid w:val="00FD6D06"/>
    <w:rsid w:val="00FE14D7"/>
    <w:rsid w:val="00FE23FC"/>
    <w:rsid w:val="00FE2A25"/>
    <w:rsid w:val="00FE4FA4"/>
    <w:rsid w:val="00FE63FA"/>
    <w:rsid w:val="00FF0692"/>
    <w:rsid w:val="00FF0DB8"/>
    <w:rsid w:val="00FF277E"/>
    <w:rsid w:val="00FF514F"/>
    <w:rsid w:val="00FF5222"/>
    <w:rsid w:val="00FF5776"/>
    <w:rsid w:val="00FF759E"/>
    <w:rsid w:val="013042FD"/>
    <w:rsid w:val="01CB12DC"/>
    <w:rsid w:val="024964DF"/>
    <w:rsid w:val="03153C48"/>
    <w:rsid w:val="0502B39E"/>
    <w:rsid w:val="0513C35D"/>
    <w:rsid w:val="06702624"/>
    <w:rsid w:val="075A4830"/>
    <w:rsid w:val="076BF398"/>
    <w:rsid w:val="07D4DC27"/>
    <w:rsid w:val="0925753E"/>
    <w:rsid w:val="0BB84CD7"/>
    <w:rsid w:val="0C63E5EB"/>
    <w:rsid w:val="0D1ED542"/>
    <w:rsid w:val="0F3A415D"/>
    <w:rsid w:val="0F53A153"/>
    <w:rsid w:val="11232980"/>
    <w:rsid w:val="12923D0A"/>
    <w:rsid w:val="138E16C6"/>
    <w:rsid w:val="13A21EBC"/>
    <w:rsid w:val="149C99F4"/>
    <w:rsid w:val="17695A55"/>
    <w:rsid w:val="17C91A02"/>
    <w:rsid w:val="1A70DABB"/>
    <w:rsid w:val="1A7C8198"/>
    <w:rsid w:val="1B13FA6E"/>
    <w:rsid w:val="1CA7ABD9"/>
    <w:rsid w:val="1DD029DF"/>
    <w:rsid w:val="1E437C3A"/>
    <w:rsid w:val="20F94D12"/>
    <w:rsid w:val="218C566B"/>
    <w:rsid w:val="21B74DEA"/>
    <w:rsid w:val="22C9DC68"/>
    <w:rsid w:val="232826CC"/>
    <w:rsid w:val="254F1465"/>
    <w:rsid w:val="256FF2E5"/>
    <w:rsid w:val="257AB0B7"/>
    <w:rsid w:val="279D4D8B"/>
    <w:rsid w:val="29524649"/>
    <w:rsid w:val="2BD59D73"/>
    <w:rsid w:val="2C3E2570"/>
    <w:rsid w:val="2C5266F7"/>
    <w:rsid w:val="2C9A54EC"/>
    <w:rsid w:val="2CC25792"/>
    <w:rsid w:val="2D9F5104"/>
    <w:rsid w:val="2E82E6FE"/>
    <w:rsid w:val="3360155C"/>
    <w:rsid w:val="344381EF"/>
    <w:rsid w:val="3497417F"/>
    <w:rsid w:val="350CCEAC"/>
    <w:rsid w:val="3867C74A"/>
    <w:rsid w:val="38785BDB"/>
    <w:rsid w:val="3903126D"/>
    <w:rsid w:val="3917C1A2"/>
    <w:rsid w:val="39461F7D"/>
    <w:rsid w:val="397221E9"/>
    <w:rsid w:val="3AB39203"/>
    <w:rsid w:val="3B0F830C"/>
    <w:rsid w:val="3C4F6264"/>
    <w:rsid w:val="3DEB32C5"/>
    <w:rsid w:val="407E1EB0"/>
    <w:rsid w:val="41364134"/>
    <w:rsid w:val="42BEA3E8"/>
    <w:rsid w:val="4330C9C2"/>
    <w:rsid w:val="435C99BC"/>
    <w:rsid w:val="438FEBEB"/>
    <w:rsid w:val="43F1D475"/>
    <w:rsid w:val="452C20F3"/>
    <w:rsid w:val="4612716E"/>
    <w:rsid w:val="46DA9EBD"/>
    <w:rsid w:val="488352D7"/>
    <w:rsid w:val="48B416C3"/>
    <w:rsid w:val="49D3A721"/>
    <w:rsid w:val="4A47ED9C"/>
    <w:rsid w:val="4D87A6FC"/>
    <w:rsid w:val="4D98B6BB"/>
    <w:rsid w:val="4F4F4757"/>
    <w:rsid w:val="4F571338"/>
    <w:rsid w:val="50A17F10"/>
    <w:rsid w:val="50A3F39C"/>
    <w:rsid w:val="515A382E"/>
    <w:rsid w:val="516064C0"/>
    <w:rsid w:val="5252FF81"/>
    <w:rsid w:val="533ED4EE"/>
    <w:rsid w:val="5422B87A"/>
    <w:rsid w:val="56ADDBEB"/>
    <w:rsid w:val="592AE47B"/>
    <w:rsid w:val="5A4D01A7"/>
    <w:rsid w:val="5E54B626"/>
    <w:rsid w:val="604E0D60"/>
    <w:rsid w:val="60CD52EA"/>
    <w:rsid w:val="610FD5EA"/>
    <w:rsid w:val="61D7A0D6"/>
    <w:rsid w:val="61F44D40"/>
    <w:rsid w:val="63CD7398"/>
    <w:rsid w:val="651376DA"/>
    <w:rsid w:val="667B5EA3"/>
    <w:rsid w:val="67FA3813"/>
    <w:rsid w:val="68017EF4"/>
    <w:rsid w:val="68FB1290"/>
    <w:rsid w:val="69E6E7FD"/>
    <w:rsid w:val="6A0A0204"/>
    <w:rsid w:val="6ACA9309"/>
    <w:rsid w:val="6B479806"/>
    <w:rsid w:val="6B82B85E"/>
    <w:rsid w:val="6C35DA80"/>
    <w:rsid w:val="6CEAA027"/>
    <w:rsid w:val="6F10263F"/>
    <w:rsid w:val="6FB1303A"/>
    <w:rsid w:val="72A014BB"/>
    <w:rsid w:val="74584CF2"/>
    <w:rsid w:val="74F5B20C"/>
    <w:rsid w:val="7691826D"/>
    <w:rsid w:val="79D110B5"/>
    <w:rsid w:val="7D00C3F1"/>
    <w:rsid w:val="7E50C03B"/>
    <w:rsid w:val="7E9D4A18"/>
    <w:rsid w:val="7ED1B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FA599"/>
  <w15:chartTrackingRefBased/>
  <w15:docId w15:val="{C15F7CF4-52B8-4939-A065-A69C0F99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0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locked="0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45B97"/>
    <w:pPr>
      <w:spacing w:line="312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520"/>
    <w:pPr>
      <w:keepNext/>
      <w:keepLines/>
      <w:pBdr>
        <w:bottom w:val="single" w:sz="4" w:space="1" w:color="FFBF3F" w:themeColor="accent4"/>
      </w:pBdr>
      <w:spacing w:before="360" w:after="240" w:line="276" w:lineRule="auto"/>
      <w:outlineLvl w:val="0"/>
    </w:pPr>
    <w:rPr>
      <w:rFonts w:asciiTheme="majorHAnsi" w:eastAsiaTheme="majorEastAsia" w:hAnsiTheme="majorHAnsi" w:cstheme="majorBidi"/>
      <w:color w:val="002F6C" w:themeColor="text1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5FA1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2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5FA1"/>
    <w:pPr>
      <w:spacing w:before="240" w:after="0"/>
      <w:outlineLvl w:val="2"/>
    </w:pPr>
    <w:rPr>
      <w:b/>
      <w:color w:val="00000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2D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006AF8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006AF8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006AF8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006AF8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6A6520"/>
    <w:pPr>
      <w:numPr>
        <w:numId w:val="13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F87B8D"/>
    <w:pPr>
      <w:numPr>
        <w:numId w:val="6"/>
      </w:numPr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6A6520"/>
    <w:rPr>
      <w:rFonts w:asciiTheme="majorHAnsi" w:eastAsiaTheme="majorEastAsia" w:hAnsiTheme="majorHAnsi" w:cstheme="majorBidi"/>
      <w:color w:val="002F6C" w:themeColor="text1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95FA1"/>
    <w:rPr>
      <w:rFonts w:asciiTheme="majorHAnsi" w:eastAsiaTheme="majorEastAsia" w:hAnsiTheme="majorHAnsi" w:cstheme="majorBidi"/>
      <w:color w:val="000000" w:themeColor="text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95FA1"/>
    <w:rPr>
      <w:b/>
      <w:color w:val="000000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2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006AF8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006AF8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006AF8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006AF8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005AD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2F6C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6520"/>
    <w:pPr>
      <w:pBdr>
        <w:left w:val="single" w:sz="36" w:space="12" w:color="FFBF3F" w:themeColor="accent4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6A6520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358CFF" w:themeColor="text1" w:themeTint="80"/>
        <w:bottom w:val="single" w:sz="4" w:space="0" w:color="358CF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358C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58C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58CFF" w:themeColor="text1" w:themeTint="80"/>
          <w:right w:val="single" w:sz="4" w:space="0" w:color="358CFF" w:themeColor="text1" w:themeTint="80"/>
        </w:tcBorders>
      </w:tcPr>
    </w:tblStylePr>
    <w:tblStylePr w:type="band2Vert">
      <w:tblPr/>
      <w:tcPr>
        <w:tcBorders>
          <w:left w:val="single" w:sz="4" w:space="0" w:color="358CFF" w:themeColor="text1" w:themeTint="80"/>
          <w:right w:val="single" w:sz="4" w:space="0" w:color="358CFF" w:themeColor="text1" w:themeTint="80"/>
        </w:tcBorders>
      </w:tcPr>
    </w:tblStylePr>
    <w:tblStylePr w:type="band1Horz">
      <w:tblPr/>
      <w:tcPr>
        <w:tcBorders>
          <w:top w:val="single" w:sz="4" w:space="0" w:color="358CFF" w:themeColor="text1" w:themeTint="80"/>
          <w:bottom w:val="single" w:sz="4" w:space="0" w:color="358CF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0D75FF" w:themeColor="text1" w:themeTint="99"/>
        <w:left w:val="single" w:sz="4" w:space="0" w:color="0D75FF" w:themeColor="text1" w:themeTint="99"/>
        <w:bottom w:val="single" w:sz="4" w:space="0" w:color="0D75FF" w:themeColor="text1" w:themeTint="99"/>
        <w:right w:val="single" w:sz="4" w:space="0" w:color="0D75FF" w:themeColor="text1" w:themeTint="99"/>
        <w:insideH w:val="single" w:sz="4" w:space="0" w:color="0D75FF" w:themeColor="text1" w:themeTint="99"/>
        <w:insideV w:val="single" w:sz="4" w:space="0" w:color="0D75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1FF" w:themeFill="text1" w:themeFillTint="33"/>
      </w:tcPr>
    </w:tblStylePr>
    <w:tblStylePr w:type="band1Horz">
      <w:tblPr/>
      <w:tcPr>
        <w:shd w:val="clear" w:color="auto" w:fill="AED1FF" w:themeFill="text1" w:themeFillTint="33"/>
      </w:tcPr>
    </w:tblStylePr>
    <w:tblStylePr w:type="neCell">
      <w:tblPr/>
      <w:tcPr>
        <w:tcBorders>
          <w:bottom w:val="single" w:sz="4" w:space="0" w:color="0D75FF" w:themeColor="text1" w:themeTint="99"/>
        </w:tcBorders>
      </w:tcPr>
    </w:tblStylePr>
    <w:tblStylePr w:type="nwCell">
      <w:tblPr/>
      <w:tcPr>
        <w:tcBorders>
          <w:bottom w:val="single" w:sz="4" w:space="0" w:color="0D75FF" w:themeColor="text1" w:themeTint="99"/>
        </w:tcBorders>
      </w:tcPr>
    </w:tblStylePr>
    <w:tblStylePr w:type="seCell">
      <w:tblPr/>
      <w:tcPr>
        <w:tcBorders>
          <w:top w:val="single" w:sz="4" w:space="0" w:color="0D75FF" w:themeColor="text1" w:themeTint="99"/>
        </w:tcBorders>
      </w:tcPr>
    </w:tblStylePr>
    <w:tblStylePr w:type="swCell">
      <w:tblPr/>
      <w:tcPr>
        <w:tcBorders>
          <w:top w:val="single" w:sz="4" w:space="0" w:color="0D75FF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paragraph" w:customStyle="1" w:styleId="Boldtext">
    <w:name w:val="Bold text"/>
    <w:basedOn w:val="Normal"/>
    <w:qFormat/>
    <w:rsid w:val="0002446C"/>
    <w:pPr>
      <w:spacing w:line="276" w:lineRule="auto"/>
    </w:pPr>
    <w:rPr>
      <w:b/>
    </w:rPr>
  </w:style>
  <w:style w:type="table" w:styleId="TableGrid">
    <w:name w:val="Table Grid"/>
    <w:basedOn w:val="TableNormal"/>
    <w:uiPriority w:val="5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locked/>
    <w:rsid w:val="003023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F6C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396"/>
    <w:rPr>
      <w:rFonts w:asciiTheme="majorHAnsi" w:eastAsiaTheme="majorEastAsia" w:hAnsiTheme="majorHAnsi" w:cstheme="majorBidi"/>
      <w:color w:val="002F6C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302396"/>
    <w:pPr>
      <w:numPr>
        <w:ilvl w:val="1"/>
      </w:numPr>
      <w:spacing w:after="160"/>
    </w:pPr>
    <w:rPr>
      <w:color w:val="000000" w:themeColor="text2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2396"/>
    <w:rPr>
      <w:color w:val="000000" w:themeColor="text2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rsid w:val="001D2598"/>
    <w:rPr>
      <w:color w:val="000000" w:themeColor="text2"/>
      <w:u w:val="single"/>
    </w:rPr>
  </w:style>
  <w:style w:type="paragraph" w:customStyle="1" w:styleId="largeprinttext">
    <w:name w:val="large print text"/>
    <w:basedOn w:val="Normal"/>
    <w:qFormat/>
    <w:rsid w:val="005E2D99"/>
    <w:pPr>
      <w:framePr w:hSpace="181" w:wrap="around" w:vAnchor="text" w:hAnchor="text" w:y="1"/>
      <w:spacing w:before="120" w:after="0" w:line="360" w:lineRule="auto"/>
      <w:suppressOverlap/>
    </w:pPr>
    <w:rPr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3E72CE"/>
    <w:pPr>
      <w:tabs>
        <w:tab w:val="right" w:leader="dot" w:pos="10466"/>
      </w:tabs>
      <w:spacing w:after="100"/>
    </w:pPr>
    <w:rPr>
      <w:b/>
      <w:noProof/>
    </w:rPr>
  </w:style>
  <w:style w:type="paragraph" w:customStyle="1" w:styleId="contentsheading">
    <w:name w:val="contents heading"/>
    <w:basedOn w:val="Normal"/>
    <w:qFormat/>
    <w:rsid w:val="00282693"/>
    <w:pPr>
      <w:pBdr>
        <w:bottom w:val="single" w:sz="4" w:space="1" w:color="009CDE" w:themeColor="accent1"/>
      </w:pBdr>
      <w:spacing w:after="240"/>
    </w:pPr>
    <w:rPr>
      <w:color w:val="009CDE" w:themeColor="accent1"/>
      <w:sz w:val="40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BD41A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D41A7"/>
    <w:pPr>
      <w:spacing w:after="100"/>
      <w:ind w:left="480"/>
    </w:p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C20906"/>
  </w:style>
  <w:style w:type="character" w:customStyle="1" w:styleId="BodyTextChar">
    <w:name w:val="Body Text Char"/>
    <w:basedOn w:val="DefaultParagraphFont"/>
    <w:link w:val="BodyText"/>
    <w:uiPriority w:val="99"/>
    <w:semiHidden/>
    <w:rsid w:val="00C20906"/>
    <w:rPr>
      <w:sz w:val="24"/>
    </w:rPr>
  </w:style>
  <w:style w:type="table" w:styleId="ListTable4-Accent4">
    <w:name w:val="List Table 4 Accent 4"/>
    <w:basedOn w:val="TableNormal"/>
    <w:uiPriority w:val="49"/>
    <w:locked/>
    <w:rsid w:val="00FC492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D209BA"/>
    <w:pPr>
      <w:spacing w:after="0" w:line="240" w:lineRule="auto"/>
    </w:pPr>
    <w:tblPr>
      <w:tblStyleRowBandSize w:val="1"/>
      <w:tblStyleColBandSize w:val="1"/>
      <w:tblBorders>
        <w:top w:val="single" w:sz="4" w:space="0" w:color="31FF8B" w:themeColor="accent3" w:themeTint="99"/>
        <w:left w:val="single" w:sz="4" w:space="0" w:color="31FF8B" w:themeColor="accent3" w:themeTint="99"/>
        <w:bottom w:val="single" w:sz="4" w:space="0" w:color="31FF8B" w:themeColor="accent3" w:themeTint="99"/>
        <w:right w:val="single" w:sz="4" w:space="0" w:color="31FF8B" w:themeColor="accent3" w:themeTint="99"/>
        <w:insideH w:val="single" w:sz="4" w:space="0" w:color="31FF8B" w:themeColor="accent3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4A" w:themeColor="accent3"/>
          <w:left w:val="single" w:sz="4" w:space="0" w:color="00A74A" w:themeColor="accent3"/>
          <w:bottom w:val="single" w:sz="4" w:space="0" w:color="00A74A" w:themeColor="accent3"/>
          <w:right w:val="single" w:sz="4" w:space="0" w:color="00A74A" w:themeColor="accent3"/>
          <w:insideH w:val="nil"/>
        </w:tcBorders>
        <w:shd w:val="clear" w:color="auto" w:fill="00A74A" w:themeFill="accent3"/>
      </w:tcPr>
    </w:tblStylePr>
    <w:tblStylePr w:type="lastRow">
      <w:rPr>
        <w:b/>
        <w:bCs/>
      </w:rPr>
      <w:tblPr/>
      <w:tcPr>
        <w:tcBorders>
          <w:top w:val="double" w:sz="4" w:space="0" w:color="31FF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D8" w:themeFill="accent3" w:themeFillTint="33"/>
      </w:tcPr>
    </w:tblStylePr>
    <w:tblStylePr w:type="band1Horz">
      <w:tblPr/>
      <w:tcPr>
        <w:shd w:val="clear" w:color="auto" w:fill="BAFFD8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locked/>
    <w:rsid w:val="00E65E6E"/>
    <w:rPr>
      <w:rFonts w:ascii="Times New Roman" w:hAnsi="Times New Roman" w:cs="Times New Roman"/>
      <w:szCs w:val="24"/>
    </w:rPr>
  </w:style>
  <w:style w:type="table" w:styleId="ListTable4-Accent6">
    <w:name w:val="List Table 4 Accent 6"/>
    <w:basedOn w:val="TableNormal"/>
    <w:uiPriority w:val="49"/>
    <w:locked/>
    <w:rsid w:val="00095FA1"/>
    <w:pPr>
      <w:spacing w:after="0" w:line="240" w:lineRule="auto"/>
    </w:pPr>
    <w:tblPr>
      <w:tblStyleRowBandSize w:val="1"/>
      <w:tblStyleColBandSize w:val="1"/>
      <w:tblBorders>
        <w:top w:val="single" w:sz="4" w:space="0" w:color="E98BCF" w:themeColor="accent6" w:themeTint="99"/>
        <w:left w:val="single" w:sz="4" w:space="0" w:color="E98BCF" w:themeColor="accent6" w:themeTint="99"/>
        <w:bottom w:val="single" w:sz="4" w:space="0" w:color="E98BCF" w:themeColor="accent6" w:themeTint="99"/>
        <w:right w:val="single" w:sz="4" w:space="0" w:color="E98BCF" w:themeColor="accent6" w:themeTint="99"/>
        <w:insideH w:val="single" w:sz="4" w:space="0" w:color="E98BCF" w:themeColor="accent6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3EB1" w:themeColor="accent6"/>
          <w:left w:val="single" w:sz="4" w:space="0" w:color="DB3EB1" w:themeColor="accent6"/>
          <w:bottom w:val="single" w:sz="4" w:space="0" w:color="DB3EB1" w:themeColor="accent6"/>
          <w:right w:val="single" w:sz="4" w:space="0" w:color="DB3EB1" w:themeColor="accent6"/>
          <w:insideH w:val="nil"/>
        </w:tcBorders>
        <w:shd w:val="clear" w:color="auto" w:fill="DB3EB1" w:themeFill="accent6"/>
      </w:tcPr>
    </w:tblStylePr>
    <w:tblStylePr w:type="lastRow">
      <w:rPr>
        <w:b/>
        <w:bCs/>
      </w:rPr>
      <w:tblPr/>
      <w:tcPr>
        <w:tcBorders>
          <w:top w:val="double" w:sz="4" w:space="0" w:color="E98BC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8EF" w:themeFill="accent6" w:themeFillTint="33"/>
      </w:tcPr>
    </w:tblStylePr>
    <w:tblStylePr w:type="band1Horz">
      <w:tblPr/>
      <w:tcPr>
        <w:shd w:val="clear" w:color="auto" w:fill="F7D8EF" w:themeFill="accent6" w:themeFillTint="33"/>
      </w:tcPr>
    </w:tblStylePr>
  </w:style>
  <w:style w:type="character" w:styleId="FollowedHyperlink">
    <w:name w:val="FollowedHyperlink"/>
    <w:basedOn w:val="DefaultParagraphFont"/>
    <w:uiPriority w:val="99"/>
    <w:rsid w:val="001D2598"/>
    <w:rPr>
      <w:color w:val="000000" w:themeColor="text2"/>
      <w:u w:val="single"/>
    </w:rPr>
  </w:style>
  <w:style w:type="table" w:styleId="GridTable1Light-Accent6">
    <w:name w:val="Grid Table 1 Light Accent 6"/>
    <w:basedOn w:val="TableNormal"/>
    <w:uiPriority w:val="46"/>
    <w:locked/>
    <w:rsid w:val="001D2598"/>
    <w:pPr>
      <w:spacing w:after="0" w:line="240" w:lineRule="auto"/>
    </w:pPr>
    <w:tblPr>
      <w:tblStyleRowBandSize w:val="1"/>
      <w:tblStyleColBandSize w:val="1"/>
      <w:tblBorders>
        <w:top w:val="single" w:sz="4" w:space="0" w:color="F0B1DF" w:themeColor="accent6" w:themeTint="66"/>
        <w:left w:val="single" w:sz="4" w:space="0" w:color="F0B1DF" w:themeColor="accent6" w:themeTint="66"/>
        <w:bottom w:val="single" w:sz="4" w:space="0" w:color="F0B1DF" w:themeColor="accent6" w:themeTint="66"/>
        <w:right w:val="single" w:sz="4" w:space="0" w:color="F0B1DF" w:themeColor="accent6" w:themeTint="66"/>
        <w:insideH w:val="single" w:sz="4" w:space="0" w:color="F0B1DF" w:themeColor="accent6" w:themeTint="66"/>
        <w:insideV w:val="single" w:sz="4" w:space="0" w:color="F0B1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98BC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8BC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D209BA"/>
    <w:pPr>
      <w:spacing w:after="0" w:line="240" w:lineRule="auto"/>
    </w:pPr>
    <w:tblPr>
      <w:tblStyleRowBandSize w:val="1"/>
      <w:tblStyleColBandSize w:val="1"/>
      <w:tblBorders>
        <w:top w:val="single" w:sz="4" w:space="0" w:color="75FFB1" w:themeColor="accent3" w:themeTint="66"/>
        <w:left w:val="single" w:sz="4" w:space="0" w:color="75FFB1" w:themeColor="accent3" w:themeTint="66"/>
        <w:bottom w:val="single" w:sz="4" w:space="0" w:color="75FFB1" w:themeColor="accent3" w:themeTint="66"/>
        <w:right w:val="single" w:sz="4" w:space="0" w:color="75FFB1" w:themeColor="accent3" w:themeTint="66"/>
        <w:insideH w:val="single" w:sz="4" w:space="0" w:color="75FFB1" w:themeColor="accent3" w:themeTint="66"/>
        <w:insideV w:val="single" w:sz="4" w:space="0" w:color="75FFB1" w:themeColor="accent3" w:themeTint="66"/>
      </w:tblBorders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31FF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FF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82693"/>
    <w:pPr>
      <w:spacing w:after="0" w:line="240" w:lineRule="auto"/>
    </w:pPr>
    <w:tblPr>
      <w:tblStyleRowBandSize w:val="1"/>
      <w:tblStyleColBandSize w:val="1"/>
      <w:tblBorders>
        <w:top w:val="single" w:sz="4" w:space="0" w:color="8BDCFF" w:themeColor="accent1" w:themeTint="66"/>
        <w:left w:val="single" w:sz="4" w:space="0" w:color="8BDCFF" w:themeColor="accent1" w:themeTint="66"/>
        <w:bottom w:val="single" w:sz="4" w:space="0" w:color="8BDCFF" w:themeColor="accent1" w:themeTint="66"/>
        <w:right w:val="single" w:sz="4" w:space="0" w:color="8BDCFF" w:themeColor="accent1" w:themeTint="66"/>
        <w:insideH w:val="single" w:sz="4" w:space="0" w:color="8BDCFF" w:themeColor="accent1" w:themeTint="66"/>
        <w:insideV w:val="single" w:sz="4" w:space="0" w:color="8BDCFF" w:themeColor="accent1" w:themeTint="66"/>
      </w:tblBorders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52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1">
    <w:name w:val="List Table 4 Accent 1"/>
    <w:basedOn w:val="TableNormal"/>
    <w:uiPriority w:val="49"/>
    <w:rsid w:val="00282693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52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ListTable4">
    <w:name w:val="List Table 4"/>
    <w:basedOn w:val="TableNormal"/>
    <w:uiPriority w:val="49"/>
    <w:locked/>
    <w:rsid w:val="002958AD"/>
    <w:pPr>
      <w:spacing w:after="0" w:line="240" w:lineRule="auto"/>
    </w:pPr>
    <w:tblPr>
      <w:tblStyleRowBandSize w:val="1"/>
      <w:tblStyleColBandSize w:val="1"/>
      <w:tblBorders>
        <w:top w:val="single" w:sz="4" w:space="0" w:color="0D75FF" w:themeColor="text1" w:themeTint="99"/>
        <w:left w:val="single" w:sz="4" w:space="0" w:color="0D75FF" w:themeColor="text1" w:themeTint="99"/>
        <w:bottom w:val="single" w:sz="4" w:space="0" w:color="0D75FF" w:themeColor="text1" w:themeTint="99"/>
        <w:right w:val="single" w:sz="4" w:space="0" w:color="0D75FF" w:themeColor="text1" w:themeTint="99"/>
        <w:insideH w:val="single" w:sz="4" w:space="0" w:color="0D75FF" w:themeColor="text1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F6C" w:themeColor="text1"/>
          <w:left w:val="single" w:sz="4" w:space="0" w:color="002F6C" w:themeColor="text1"/>
          <w:bottom w:val="single" w:sz="4" w:space="0" w:color="002F6C" w:themeColor="text1"/>
          <w:right w:val="single" w:sz="4" w:space="0" w:color="002F6C" w:themeColor="text1"/>
          <w:insideH w:val="nil"/>
        </w:tcBorders>
        <w:shd w:val="clear" w:color="auto" w:fill="002F6C" w:themeFill="text1"/>
      </w:tcPr>
    </w:tblStylePr>
    <w:tblStylePr w:type="lastRow">
      <w:rPr>
        <w:b/>
        <w:bCs/>
      </w:rPr>
      <w:tblPr/>
      <w:tcPr>
        <w:tcBorders>
          <w:top w:val="double" w:sz="4" w:space="0" w:color="0D75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1FF" w:themeFill="text1" w:themeFillTint="33"/>
      </w:tcPr>
    </w:tblStylePr>
    <w:tblStylePr w:type="band1Horz">
      <w:tblPr/>
      <w:tcPr>
        <w:shd w:val="clear" w:color="auto" w:fill="AED1FF" w:themeFill="text1" w:themeFillTint="33"/>
      </w:tcPr>
    </w:tblStylePr>
  </w:style>
  <w:style w:type="table" w:styleId="PlainTable5">
    <w:name w:val="Plain Table 5"/>
    <w:basedOn w:val="TableNormal"/>
    <w:uiPriority w:val="45"/>
    <w:locked/>
    <w:rsid w:val="00E737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58C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58C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58C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58C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locked/>
    <w:rsid w:val="00E73785"/>
    <w:pPr>
      <w:spacing w:after="0" w:line="240" w:lineRule="auto"/>
    </w:pPr>
    <w:tblPr>
      <w:tblStyleRowBandSize w:val="1"/>
      <w:tblStyleColBandSize w:val="1"/>
      <w:tblBorders>
        <w:top w:val="single" w:sz="4" w:space="0" w:color="002F6C" w:themeColor="text1"/>
        <w:left w:val="single" w:sz="4" w:space="0" w:color="002F6C" w:themeColor="text1"/>
        <w:bottom w:val="single" w:sz="4" w:space="0" w:color="002F6C" w:themeColor="text1"/>
        <w:right w:val="single" w:sz="4" w:space="0" w:color="002F6C" w:themeColor="text1"/>
        <w:insideH w:val="single" w:sz="4" w:space="0" w:color="002F6C" w:themeColor="text1"/>
        <w:insideV w:val="single" w:sz="4" w:space="0" w:color="002F6C" w:themeColor="text1"/>
      </w:tblBorders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002F6C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2F6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7B7706"/>
    <w:pPr>
      <w:spacing w:after="0" w:line="240" w:lineRule="auto"/>
    </w:pPr>
    <w:tblPr>
      <w:tblStyleRowBandSize w:val="1"/>
      <w:tblStyleColBandSize w:val="1"/>
      <w:tblBorders>
        <w:top w:val="single" w:sz="8" w:space="0" w:color="FF585D" w:themeColor="accent2"/>
        <w:left w:val="single" w:sz="8" w:space="0" w:color="FF585D" w:themeColor="accent2"/>
        <w:bottom w:val="single" w:sz="8" w:space="0" w:color="FF585D" w:themeColor="accent2"/>
        <w:right w:val="single" w:sz="8" w:space="0" w:color="FF585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585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585D" w:themeColor="accent2"/>
          <w:left w:val="single" w:sz="8" w:space="0" w:color="FF585D" w:themeColor="accent2"/>
          <w:bottom w:val="single" w:sz="8" w:space="0" w:color="FF585D" w:themeColor="accent2"/>
          <w:right w:val="single" w:sz="8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585D" w:themeColor="accent2"/>
          <w:left w:val="single" w:sz="8" w:space="0" w:color="FF585D" w:themeColor="accent2"/>
          <w:bottom w:val="single" w:sz="8" w:space="0" w:color="FF585D" w:themeColor="accent2"/>
          <w:right w:val="single" w:sz="8" w:space="0" w:color="FF585D" w:themeColor="accent2"/>
        </w:tcBorders>
      </w:tcPr>
    </w:tblStylePr>
    <w:tblStylePr w:type="band1Horz">
      <w:tblPr/>
      <w:tcPr>
        <w:tcBorders>
          <w:top w:val="single" w:sz="8" w:space="0" w:color="FF585D" w:themeColor="accent2"/>
          <w:left w:val="single" w:sz="8" w:space="0" w:color="FF585D" w:themeColor="accent2"/>
          <w:bottom w:val="single" w:sz="8" w:space="0" w:color="FF585D" w:themeColor="accent2"/>
          <w:right w:val="single" w:sz="8" w:space="0" w:color="FF585D" w:themeColor="accent2"/>
        </w:tcBorders>
      </w:tcPr>
    </w:tblStylePr>
  </w:style>
  <w:style w:type="character" w:styleId="Strong">
    <w:name w:val="Strong"/>
    <w:basedOn w:val="DefaultParagraphFont"/>
    <w:uiPriority w:val="22"/>
    <w:qFormat/>
    <w:locked/>
    <w:rsid w:val="00EF367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7C4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C4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B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C4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B2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81698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8109E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3F4D25"/>
  </w:style>
  <w:style w:type="paragraph" w:customStyle="1" w:styleId="xmsonormal">
    <w:name w:val="x_msonormal"/>
    <w:basedOn w:val="Normal"/>
    <w:rsid w:val="003E2F71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torbay.gov.uk/meetings-and-decisions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rbay.gov.uk/budget-202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consultation@torbay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orbay.gov.uk/budget-2023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orbay.gov.uk/scrutiny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ouncil 2020">
      <a:dk1>
        <a:srgbClr val="002F6C"/>
      </a:dk1>
      <a:lt1>
        <a:sysClr val="window" lastClr="FFFFFF"/>
      </a:lt1>
      <a:dk2>
        <a:srgbClr val="000000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d03dd5-e79e-4ca4-bb1b-641307a07905">
      <UserInfo>
        <DisplayName>Acct_grp</DisplayName>
        <AccountId>12</AccountId>
        <AccountType/>
      </UserInfo>
      <UserInfo>
        <DisplayName>Bond, Anne-Marie</DisplayName>
        <AccountId>129</AccountId>
        <AccountType/>
      </UserInfo>
      <UserInfo>
        <DisplayName>Phillips, Martin</DisplayName>
        <AccountId>16</AccountId>
        <AccountType/>
      </UserInfo>
      <UserInfo>
        <DisplayName>Williams, Joanna</DisplayName>
        <AccountId>150</AccountId>
        <AccountType/>
      </UserInfo>
      <UserInfo>
        <DisplayName>Sargeant, Lincoln</DisplayName>
        <AccountId>151</AccountId>
        <AccountType/>
      </UserInfo>
      <UserInfo>
        <DisplayName>Meehan, Nancy</DisplayName>
        <AccountId>152</AccountId>
        <AccountType/>
      </UserInfo>
      <UserInfo>
        <DisplayName>Mowat, Kevin</DisplayName>
        <AccountId>79</AccountId>
        <AccountType/>
      </UserInfo>
      <UserInfo>
        <DisplayName>Spencer, Kate</DisplayName>
        <AccountId>33</AccountId>
        <AccountType/>
      </UserInfo>
      <UserInfo>
        <DisplayName>Pierce, Michelle</DisplayName>
        <AccountId>103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10" ma:contentTypeDescription="Create a new document." ma:contentTypeScope="" ma:versionID="371367360a7c56dac8c3fba7c8d2c3b8">
  <xsd:schema xmlns:xsd="http://www.w3.org/2001/XMLSchema" xmlns:xs="http://www.w3.org/2001/XMLSchema" xmlns:p="http://schemas.microsoft.com/office/2006/metadata/properties" xmlns:ns2="8e239eea-0d7d-49c0-9933-01c9c411b1b2" xmlns:ns3="47d03dd5-e79e-4ca4-bb1b-641307a07905" targetNamespace="http://schemas.microsoft.com/office/2006/metadata/properties" ma:root="true" ma:fieldsID="869b6d6f71618dd2d107b5265c6c96fc" ns2:_="" ns3:_="">
    <xsd:import namespace="8e239eea-0d7d-49c0-9933-01c9c411b1b2"/>
    <xsd:import namespace="47d03dd5-e79e-4ca4-bb1b-641307a07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39eea-0d7d-49c0-9933-01c9c411b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3dd5-e79e-4ca4-bb1b-641307a07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50E4C-3C2B-4141-AF01-58F2C166D226}">
  <ds:schemaRefs>
    <ds:schemaRef ds:uri="http://schemas.microsoft.com/office/2006/metadata/properties"/>
    <ds:schemaRef ds:uri="http://schemas.microsoft.com/office/infopath/2007/PartnerControls"/>
    <ds:schemaRef ds:uri="47d03dd5-e79e-4ca4-bb1b-641307a07905"/>
  </ds:schemaRefs>
</ds:datastoreItem>
</file>

<file path=customXml/itemProps2.xml><?xml version="1.0" encoding="utf-8"?>
<ds:datastoreItem xmlns:ds="http://schemas.openxmlformats.org/officeDocument/2006/customXml" ds:itemID="{8056E862-BBF8-4098-81F4-E471454AF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39eea-0d7d-49c0-9933-01c9c411b1b2"/>
    <ds:schemaRef ds:uri="47d03dd5-e79e-4ca4-bb1b-641307a07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9D37F-93A6-43D3-8AF3-22E06DB8E8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BCE35-09D1-4097-85A7-DF5A9F44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12</Pages>
  <Words>2678</Words>
  <Characters>15269</Characters>
  <Application>Microsoft Office Word</Application>
  <DocSecurity>0</DocSecurity>
  <Lines>127</Lines>
  <Paragraphs>35</Paragraphs>
  <ScaleCrop>false</ScaleCrop>
  <Company>Torbay Council</Company>
  <LinksUpToDate>false</LinksUpToDate>
  <CharactersWithSpaces>17912</CharactersWithSpaces>
  <SharedDoc>false</SharedDoc>
  <HLinks>
    <vt:vector size="66" baseType="variant">
      <vt:variant>
        <vt:i4>2424916</vt:i4>
      </vt:variant>
      <vt:variant>
        <vt:i4>51</vt:i4>
      </vt:variant>
      <vt:variant>
        <vt:i4>0</vt:i4>
      </vt:variant>
      <vt:variant>
        <vt:i4>5</vt:i4>
      </vt:variant>
      <vt:variant>
        <vt:lpwstr>mailto:consultation@torbay.gov.uk</vt:lpwstr>
      </vt:variant>
      <vt:variant>
        <vt:lpwstr/>
      </vt:variant>
      <vt:variant>
        <vt:i4>2818173</vt:i4>
      </vt:variant>
      <vt:variant>
        <vt:i4>48</vt:i4>
      </vt:variant>
      <vt:variant>
        <vt:i4>0</vt:i4>
      </vt:variant>
      <vt:variant>
        <vt:i4>5</vt:i4>
      </vt:variant>
      <vt:variant>
        <vt:lpwstr>http://www.torbay.gov.uk/meetings-and-decisions</vt:lpwstr>
      </vt:variant>
      <vt:variant>
        <vt:lpwstr/>
      </vt:variant>
      <vt:variant>
        <vt:i4>458761</vt:i4>
      </vt:variant>
      <vt:variant>
        <vt:i4>45</vt:i4>
      </vt:variant>
      <vt:variant>
        <vt:i4>0</vt:i4>
      </vt:variant>
      <vt:variant>
        <vt:i4>5</vt:i4>
      </vt:variant>
      <vt:variant>
        <vt:lpwstr>http://www.torbay.gov.uk/budget-2021</vt:lpwstr>
      </vt:variant>
      <vt:variant>
        <vt:lpwstr/>
      </vt:variant>
      <vt:variant>
        <vt:i4>327689</vt:i4>
      </vt:variant>
      <vt:variant>
        <vt:i4>42</vt:i4>
      </vt:variant>
      <vt:variant>
        <vt:i4>0</vt:i4>
      </vt:variant>
      <vt:variant>
        <vt:i4>5</vt:i4>
      </vt:variant>
      <vt:variant>
        <vt:lpwstr>http://www.torbay.gov.uk/budget-2023</vt:lpwstr>
      </vt:variant>
      <vt:variant>
        <vt:lpwstr/>
      </vt:variant>
      <vt:variant>
        <vt:i4>5439504</vt:i4>
      </vt:variant>
      <vt:variant>
        <vt:i4>39</vt:i4>
      </vt:variant>
      <vt:variant>
        <vt:i4>0</vt:i4>
      </vt:variant>
      <vt:variant>
        <vt:i4>5</vt:i4>
      </vt:variant>
      <vt:variant>
        <vt:lpwstr>http://www.torbay.gov.uk/scrutiny</vt:lpwstr>
      </vt:variant>
      <vt:variant>
        <vt:lpwstr/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_Toc96013477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_Toc96013476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_Toc96013475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_Toc96013474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_Toc96013473</vt:lpwstr>
      </vt:variant>
      <vt:variant>
        <vt:i4>1441853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_Toc96013472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Beth</dc:creator>
  <cp:keywords/>
  <dc:description/>
  <cp:lastModifiedBy>Spencer, Kate</cp:lastModifiedBy>
  <cp:revision>272</cp:revision>
  <cp:lastPrinted>2022-01-11T13:10:00Z</cp:lastPrinted>
  <dcterms:created xsi:type="dcterms:W3CDTF">2023-02-13T15:38:00Z</dcterms:created>
  <dcterms:modified xsi:type="dcterms:W3CDTF">2023-02-23T11:55:00Z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0x0101008EC9DA24427AA245BF703B9839910EF9</vt:lpwstr>
  </property>
  <property fmtid="{D5CDD505-2E9C-101B-9397-08002B2CF9AE}" pid="3" name="Order">
    <vt:r8>737000</vt:r8>
  </property>
</Properties>
</file>