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31E9" w14:textId="56B10233" w:rsidR="003E7679" w:rsidRDefault="003E7679" w:rsidP="00D14E4E">
      <w:pPr>
        <w:pStyle w:val="Title"/>
      </w:pPr>
      <w:r>
        <w:rPr>
          <w:rFonts w:eastAsia="Century Gothic"/>
          <w:noProof/>
          <w:sz w:val="18"/>
          <w:szCs w:val="18"/>
        </w:rPr>
        <w:drawing>
          <wp:inline distT="0" distB="0" distL="0" distR="0" wp14:anchorId="3626E404" wp14:editId="0D063503">
            <wp:extent cx="1329562" cy="810000"/>
            <wp:effectExtent l="0" t="0" r="0" b="0"/>
            <wp:docPr id="1062190675" name="Picture 3" descr="Avison Young"/>
            <wp:cNvGraphicFramePr/>
            <a:graphic xmlns:a="http://schemas.openxmlformats.org/drawingml/2006/main">
              <a:graphicData uri="http://schemas.openxmlformats.org/drawingml/2006/picture">
                <pic:pic xmlns:pic="http://schemas.openxmlformats.org/drawingml/2006/picture">
                  <pic:nvPicPr>
                    <pic:cNvPr id="1062190675" name="Picture 3" descr="Avison Young"/>
                    <pic:cNvPicPr/>
                  </pic:nvPicPr>
                  <pic:blipFill>
                    <a:blip r:embed="rId13"/>
                    <a:srcRect/>
                    <a:stretch/>
                  </pic:blipFill>
                  <pic:spPr>
                    <a:xfrm>
                      <a:off x="0" y="0"/>
                      <a:ext cx="1329562" cy="810000"/>
                    </a:xfrm>
                    <a:prstGeom prst="rect">
                      <a:avLst/>
                    </a:prstGeom>
                  </pic:spPr>
                </pic:pic>
              </a:graphicData>
            </a:graphic>
          </wp:inline>
        </w:drawing>
      </w:r>
    </w:p>
    <w:p w14:paraId="5FAE3704" w14:textId="77777777" w:rsidR="003E7679" w:rsidRPr="003E7679" w:rsidRDefault="003E7679" w:rsidP="003E7679">
      <w:pPr>
        <w:pStyle w:val="Subtitle"/>
      </w:pPr>
    </w:p>
    <w:p w14:paraId="53E1640A" w14:textId="4EAFD35B" w:rsidR="00D14E4E" w:rsidRPr="004A2AC7" w:rsidRDefault="00142BF7" w:rsidP="00D14E4E">
      <w:pPr>
        <w:pStyle w:val="Title"/>
      </w:pPr>
      <w:r>
        <w:t>Torbay Council</w:t>
      </w:r>
    </w:p>
    <w:p w14:paraId="08C7C441" w14:textId="77777777" w:rsidR="00D14E4E" w:rsidRPr="00EE7275" w:rsidRDefault="00142BF7" w:rsidP="00D14E4E">
      <w:pPr>
        <w:pStyle w:val="Subtitle"/>
      </w:pPr>
      <w:r>
        <w:t>Torbay Retail Study 2022</w:t>
      </w:r>
    </w:p>
    <w:p w14:paraId="72C0A550" w14:textId="28BFAF52" w:rsidR="00EB5B43" w:rsidRDefault="00D064CE">
      <w:pPr>
        <w:pStyle w:val="CoverDate"/>
      </w:pPr>
      <w:r>
        <w:t>October</w:t>
      </w:r>
      <w:r w:rsidR="00B12891">
        <w:t xml:space="preserve"> </w:t>
      </w:r>
      <w:r w:rsidR="001241F3">
        <w:t>2022</w:t>
      </w:r>
    </w:p>
    <w:p w14:paraId="6392D4A3" w14:textId="77777777" w:rsidR="004C405F" w:rsidRDefault="00F57A5D" w:rsidP="003F7ED5">
      <w:pPr>
        <w:pStyle w:val="BodyText"/>
        <w:ind w:left="0"/>
      </w:pPr>
      <w:r>
        <w:br w:type="page"/>
      </w:r>
    </w:p>
    <w:p w14:paraId="12F464AF" w14:textId="77777777" w:rsidR="004C405F" w:rsidRPr="00885066" w:rsidRDefault="00F57A5D" w:rsidP="00C03D1C">
      <w:pPr>
        <w:pStyle w:val="TOCHeader"/>
      </w:pPr>
      <w:r w:rsidRPr="00885066">
        <w:lastRenderedPageBreak/>
        <w:t>Contents</w:t>
      </w:r>
    </w:p>
    <w:p w14:paraId="14C4567B" w14:textId="61000894" w:rsidR="00B44051" w:rsidRDefault="00843071">
      <w:pPr>
        <w:pStyle w:val="TOC1"/>
        <w:rPr>
          <w:rFonts w:asciiTheme="minorHAnsi" w:hAnsiTheme="minorHAnsi"/>
          <w:noProof/>
          <w:sz w:val="24"/>
          <w:szCs w:val="24"/>
          <w:lang w:eastAsia="en-GB"/>
        </w:rPr>
      </w:pPr>
      <w:r>
        <w:rPr>
          <w:bCs/>
          <w:noProof/>
        </w:rPr>
        <w:fldChar w:fldCharType="begin"/>
      </w:r>
      <w:r>
        <w:rPr>
          <w:bCs/>
          <w:noProof/>
        </w:rPr>
        <w:instrText xml:space="preserve"> TOC \o "1-1" \t "List Heading 2,2" </w:instrText>
      </w:r>
      <w:r>
        <w:rPr>
          <w:bCs/>
          <w:noProof/>
        </w:rPr>
        <w:fldChar w:fldCharType="separate"/>
      </w:r>
      <w:r w:rsidR="00B44051">
        <w:rPr>
          <w:noProof/>
        </w:rPr>
        <w:t>1.</w:t>
      </w:r>
      <w:r w:rsidR="00B44051">
        <w:rPr>
          <w:rFonts w:asciiTheme="minorHAnsi" w:hAnsiTheme="minorHAnsi"/>
          <w:noProof/>
          <w:sz w:val="24"/>
          <w:szCs w:val="24"/>
          <w:lang w:eastAsia="en-GB"/>
        </w:rPr>
        <w:tab/>
      </w:r>
      <w:r w:rsidR="00B44051">
        <w:rPr>
          <w:noProof/>
        </w:rPr>
        <w:t>Introduction</w:t>
      </w:r>
      <w:r w:rsidR="00B44051">
        <w:rPr>
          <w:noProof/>
        </w:rPr>
        <w:tab/>
      </w:r>
      <w:r w:rsidR="00B44051">
        <w:rPr>
          <w:noProof/>
        </w:rPr>
        <w:fldChar w:fldCharType="begin"/>
      </w:r>
      <w:r w:rsidR="00B44051">
        <w:rPr>
          <w:noProof/>
        </w:rPr>
        <w:instrText xml:space="preserve"> PAGEREF _Toc116897144 \h </w:instrText>
      </w:r>
      <w:r w:rsidR="00B44051">
        <w:rPr>
          <w:noProof/>
        </w:rPr>
      </w:r>
      <w:r w:rsidR="00B44051">
        <w:rPr>
          <w:noProof/>
        </w:rPr>
        <w:fldChar w:fldCharType="separate"/>
      </w:r>
      <w:r w:rsidR="00B44051">
        <w:rPr>
          <w:noProof/>
        </w:rPr>
        <w:t>4</w:t>
      </w:r>
      <w:r w:rsidR="00B44051">
        <w:rPr>
          <w:noProof/>
        </w:rPr>
        <w:fldChar w:fldCharType="end"/>
      </w:r>
    </w:p>
    <w:p w14:paraId="4B3671C4" w14:textId="78AC717F" w:rsidR="00B44051" w:rsidRDefault="00B44051">
      <w:pPr>
        <w:pStyle w:val="TOC1"/>
        <w:rPr>
          <w:rFonts w:asciiTheme="minorHAnsi" w:hAnsiTheme="minorHAnsi"/>
          <w:noProof/>
          <w:sz w:val="24"/>
          <w:szCs w:val="24"/>
          <w:lang w:eastAsia="en-GB"/>
        </w:rPr>
      </w:pPr>
      <w:r>
        <w:rPr>
          <w:noProof/>
        </w:rPr>
        <w:t>2.</w:t>
      </w:r>
      <w:r>
        <w:rPr>
          <w:rFonts w:asciiTheme="minorHAnsi" w:hAnsiTheme="minorHAnsi"/>
          <w:noProof/>
          <w:sz w:val="24"/>
          <w:szCs w:val="24"/>
          <w:lang w:eastAsia="en-GB"/>
        </w:rPr>
        <w:tab/>
      </w:r>
      <w:r>
        <w:rPr>
          <w:noProof/>
        </w:rPr>
        <w:t>Planning Policy Context</w:t>
      </w:r>
      <w:r>
        <w:rPr>
          <w:noProof/>
        </w:rPr>
        <w:tab/>
      </w:r>
      <w:r>
        <w:rPr>
          <w:noProof/>
        </w:rPr>
        <w:fldChar w:fldCharType="begin"/>
      </w:r>
      <w:r>
        <w:rPr>
          <w:noProof/>
        </w:rPr>
        <w:instrText xml:space="preserve"> PAGEREF _Toc116897145 \h </w:instrText>
      </w:r>
      <w:r>
        <w:rPr>
          <w:noProof/>
        </w:rPr>
      </w:r>
      <w:r>
        <w:rPr>
          <w:noProof/>
        </w:rPr>
        <w:fldChar w:fldCharType="separate"/>
      </w:r>
      <w:r>
        <w:rPr>
          <w:noProof/>
        </w:rPr>
        <w:t>7</w:t>
      </w:r>
      <w:r>
        <w:rPr>
          <w:noProof/>
        </w:rPr>
        <w:fldChar w:fldCharType="end"/>
      </w:r>
    </w:p>
    <w:p w14:paraId="02B7582E" w14:textId="5D652C9B" w:rsidR="00B44051" w:rsidRDefault="00B44051">
      <w:pPr>
        <w:pStyle w:val="TOC1"/>
        <w:rPr>
          <w:rFonts w:asciiTheme="minorHAnsi" w:hAnsiTheme="minorHAnsi"/>
          <w:noProof/>
          <w:sz w:val="24"/>
          <w:szCs w:val="24"/>
          <w:lang w:eastAsia="en-GB"/>
        </w:rPr>
      </w:pPr>
      <w:r>
        <w:rPr>
          <w:noProof/>
        </w:rPr>
        <w:t>3.</w:t>
      </w:r>
      <w:r>
        <w:rPr>
          <w:rFonts w:asciiTheme="minorHAnsi" w:hAnsiTheme="minorHAnsi"/>
          <w:noProof/>
          <w:sz w:val="24"/>
          <w:szCs w:val="24"/>
          <w:lang w:eastAsia="en-GB"/>
        </w:rPr>
        <w:tab/>
      </w:r>
      <w:r>
        <w:rPr>
          <w:noProof/>
        </w:rPr>
        <w:t>Retail Expenditure Trends</w:t>
      </w:r>
      <w:r>
        <w:rPr>
          <w:noProof/>
        </w:rPr>
        <w:tab/>
      </w:r>
      <w:r>
        <w:rPr>
          <w:noProof/>
        </w:rPr>
        <w:fldChar w:fldCharType="begin"/>
      </w:r>
      <w:r>
        <w:rPr>
          <w:noProof/>
        </w:rPr>
        <w:instrText xml:space="preserve"> PAGEREF _Toc116897146 \h </w:instrText>
      </w:r>
      <w:r>
        <w:rPr>
          <w:noProof/>
        </w:rPr>
      </w:r>
      <w:r>
        <w:rPr>
          <w:noProof/>
        </w:rPr>
        <w:fldChar w:fldCharType="separate"/>
      </w:r>
      <w:r>
        <w:rPr>
          <w:noProof/>
        </w:rPr>
        <w:t>12</w:t>
      </w:r>
      <w:r>
        <w:rPr>
          <w:noProof/>
        </w:rPr>
        <w:fldChar w:fldCharType="end"/>
      </w:r>
    </w:p>
    <w:p w14:paraId="4EBE865F" w14:textId="1DE3957F" w:rsidR="00B44051" w:rsidRDefault="00B44051">
      <w:pPr>
        <w:pStyle w:val="TOC1"/>
        <w:rPr>
          <w:rFonts w:asciiTheme="minorHAnsi" w:hAnsiTheme="minorHAnsi"/>
          <w:noProof/>
          <w:sz w:val="24"/>
          <w:szCs w:val="24"/>
          <w:lang w:eastAsia="en-GB"/>
        </w:rPr>
      </w:pPr>
      <w:r>
        <w:rPr>
          <w:noProof/>
        </w:rPr>
        <w:t>4.</w:t>
      </w:r>
      <w:r>
        <w:rPr>
          <w:rFonts w:asciiTheme="minorHAnsi" w:hAnsiTheme="minorHAnsi"/>
          <w:noProof/>
          <w:sz w:val="24"/>
          <w:szCs w:val="24"/>
          <w:lang w:eastAsia="en-GB"/>
        </w:rPr>
        <w:tab/>
      </w:r>
      <w:r>
        <w:rPr>
          <w:noProof/>
        </w:rPr>
        <w:t>Town Centre Health Checks</w:t>
      </w:r>
      <w:r>
        <w:rPr>
          <w:noProof/>
        </w:rPr>
        <w:tab/>
      </w:r>
      <w:r>
        <w:rPr>
          <w:noProof/>
        </w:rPr>
        <w:fldChar w:fldCharType="begin"/>
      </w:r>
      <w:r>
        <w:rPr>
          <w:noProof/>
        </w:rPr>
        <w:instrText xml:space="preserve"> PAGEREF _Toc116897147 \h </w:instrText>
      </w:r>
      <w:r>
        <w:rPr>
          <w:noProof/>
        </w:rPr>
      </w:r>
      <w:r>
        <w:rPr>
          <w:noProof/>
        </w:rPr>
        <w:fldChar w:fldCharType="separate"/>
      </w:r>
      <w:r>
        <w:rPr>
          <w:noProof/>
        </w:rPr>
        <w:t>18</w:t>
      </w:r>
      <w:r>
        <w:rPr>
          <w:noProof/>
        </w:rPr>
        <w:fldChar w:fldCharType="end"/>
      </w:r>
    </w:p>
    <w:p w14:paraId="7E35C40D" w14:textId="2D611003" w:rsidR="00B44051" w:rsidRDefault="00B44051">
      <w:pPr>
        <w:pStyle w:val="TOC1"/>
        <w:rPr>
          <w:rFonts w:asciiTheme="minorHAnsi" w:hAnsiTheme="minorHAnsi"/>
          <w:noProof/>
          <w:sz w:val="24"/>
          <w:szCs w:val="24"/>
          <w:lang w:eastAsia="en-GB"/>
        </w:rPr>
      </w:pPr>
      <w:r>
        <w:rPr>
          <w:noProof/>
        </w:rPr>
        <w:t>5.</w:t>
      </w:r>
      <w:r>
        <w:rPr>
          <w:rFonts w:asciiTheme="minorHAnsi" w:hAnsiTheme="minorHAnsi"/>
          <w:noProof/>
          <w:sz w:val="24"/>
          <w:szCs w:val="24"/>
          <w:lang w:eastAsia="en-GB"/>
        </w:rPr>
        <w:tab/>
      </w:r>
      <w:r>
        <w:rPr>
          <w:noProof/>
        </w:rPr>
        <w:t>Assessment of Need</w:t>
      </w:r>
      <w:r>
        <w:rPr>
          <w:noProof/>
        </w:rPr>
        <w:tab/>
      </w:r>
      <w:r>
        <w:rPr>
          <w:noProof/>
        </w:rPr>
        <w:fldChar w:fldCharType="begin"/>
      </w:r>
      <w:r>
        <w:rPr>
          <w:noProof/>
        </w:rPr>
        <w:instrText xml:space="preserve"> PAGEREF _Toc116897148 \h </w:instrText>
      </w:r>
      <w:r>
        <w:rPr>
          <w:noProof/>
        </w:rPr>
      </w:r>
      <w:r>
        <w:rPr>
          <w:noProof/>
        </w:rPr>
        <w:fldChar w:fldCharType="separate"/>
      </w:r>
      <w:r>
        <w:rPr>
          <w:noProof/>
        </w:rPr>
        <w:t>42</w:t>
      </w:r>
      <w:r>
        <w:rPr>
          <w:noProof/>
        </w:rPr>
        <w:fldChar w:fldCharType="end"/>
      </w:r>
    </w:p>
    <w:p w14:paraId="6FAF19E3" w14:textId="646B3B21" w:rsidR="00B44051" w:rsidRDefault="00B44051">
      <w:pPr>
        <w:pStyle w:val="TOC1"/>
        <w:rPr>
          <w:rFonts w:asciiTheme="minorHAnsi" w:hAnsiTheme="minorHAnsi"/>
          <w:noProof/>
          <w:sz w:val="24"/>
          <w:szCs w:val="24"/>
          <w:lang w:eastAsia="en-GB"/>
        </w:rPr>
      </w:pPr>
      <w:r>
        <w:rPr>
          <w:noProof/>
        </w:rPr>
        <w:t>6.</w:t>
      </w:r>
      <w:r>
        <w:rPr>
          <w:rFonts w:asciiTheme="minorHAnsi" w:hAnsiTheme="minorHAnsi"/>
          <w:noProof/>
          <w:sz w:val="24"/>
          <w:szCs w:val="24"/>
          <w:lang w:eastAsia="en-GB"/>
        </w:rPr>
        <w:tab/>
      </w:r>
      <w:r>
        <w:rPr>
          <w:noProof/>
        </w:rPr>
        <w:t>Planning Policy Advice</w:t>
      </w:r>
      <w:r>
        <w:rPr>
          <w:noProof/>
        </w:rPr>
        <w:tab/>
      </w:r>
      <w:r>
        <w:rPr>
          <w:noProof/>
        </w:rPr>
        <w:fldChar w:fldCharType="begin"/>
      </w:r>
      <w:r>
        <w:rPr>
          <w:noProof/>
        </w:rPr>
        <w:instrText xml:space="preserve"> PAGEREF _Toc116897149 \h </w:instrText>
      </w:r>
      <w:r>
        <w:rPr>
          <w:noProof/>
        </w:rPr>
      </w:r>
      <w:r>
        <w:rPr>
          <w:noProof/>
        </w:rPr>
        <w:fldChar w:fldCharType="separate"/>
      </w:r>
      <w:r>
        <w:rPr>
          <w:noProof/>
        </w:rPr>
        <w:t>58</w:t>
      </w:r>
      <w:r>
        <w:rPr>
          <w:noProof/>
        </w:rPr>
        <w:fldChar w:fldCharType="end"/>
      </w:r>
    </w:p>
    <w:p w14:paraId="2B80FA59" w14:textId="0D92B231" w:rsidR="00B44051" w:rsidRDefault="00B44051">
      <w:pPr>
        <w:pStyle w:val="TOC1"/>
        <w:rPr>
          <w:rFonts w:asciiTheme="minorHAnsi" w:hAnsiTheme="minorHAnsi"/>
          <w:noProof/>
          <w:sz w:val="24"/>
          <w:szCs w:val="24"/>
          <w:lang w:eastAsia="en-GB"/>
        </w:rPr>
      </w:pPr>
      <w:r>
        <w:rPr>
          <w:noProof/>
        </w:rPr>
        <w:t>7.</w:t>
      </w:r>
      <w:r>
        <w:rPr>
          <w:rFonts w:asciiTheme="minorHAnsi" w:hAnsiTheme="minorHAnsi"/>
          <w:noProof/>
          <w:sz w:val="24"/>
          <w:szCs w:val="24"/>
          <w:lang w:eastAsia="en-GB"/>
        </w:rPr>
        <w:tab/>
      </w:r>
      <w:r>
        <w:rPr>
          <w:noProof/>
        </w:rPr>
        <w:t>Summary and Conclusions</w:t>
      </w:r>
      <w:r>
        <w:rPr>
          <w:noProof/>
        </w:rPr>
        <w:tab/>
      </w:r>
      <w:r>
        <w:rPr>
          <w:noProof/>
        </w:rPr>
        <w:fldChar w:fldCharType="begin"/>
      </w:r>
      <w:r>
        <w:rPr>
          <w:noProof/>
        </w:rPr>
        <w:instrText xml:space="preserve"> PAGEREF _Toc116897150 \h </w:instrText>
      </w:r>
      <w:r>
        <w:rPr>
          <w:noProof/>
        </w:rPr>
      </w:r>
      <w:r>
        <w:rPr>
          <w:noProof/>
        </w:rPr>
        <w:fldChar w:fldCharType="separate"/>
      </w:r>
      <w:r>
        <w:rPr>
          <w:noProof/>
        </w:rPr>
        <w:t>65</w:t>
      </w:r>
      <w:r>
        <w:rPr>
          <w:noProof/>
        </w:rPr>
        <w:fldChar w:fldCharType="end"/>
      </w:r>
    </w:p>
    <w:p w14:paraId="683A8FD3" w14:textId="0E10FCEE" w:rsidR="001A784C" w:rsidRDefault="00843071" w:rsidP="00C03D1C">
      <w:pPr>
        <w:pStyle w:val="TOCAppendices"/>
        <w:rPr>
          <w:rFonts w:ascii="Open Sans" w:eastAsiaTheme="minorEastAsia" w:hAnsi="Open Sans" w:cstheme="minorBidi"/>
          <w:bCs w:val="0"/>
          <w:noProof/>
          <w:kern w:val="0"/>
          <w:sz w:val="20"/>
          <w:szCs w:val="22"/>
        </w:rPr>
      </w:pPr>
      <w:r>
        <w:rPr>
          <w:rFonts w:ascii="Open Sans" w:eastAsiaTheme="minorEastAsia" w:hAnsi="Open Sans" w:cstheme="minorBidi"/>
          <w:bCs w:val="0"/>
          <w:noProof/>
          <w:kern w:val="0"/>
          <w:sz w:val="20"/>
          <w:szCs w:val="22"/>
        </w:rPr>
        <w:fldChar w:fldCharType="end"/>
      </w:r>
    </w:p>
    <w:p w14:paraId="56E6AF78" w14:textId="77777777" w:rsidR="001A784C" w:rsidRDefault="001A784C" w:rsidP="00C03D1C">
      <w:pPr>
        <w:pStyle w:val="TOCAppendices"/>
        <w:rPr>
          <w:rFonts w:ascii="Open Sans" w:eastAsiaTheme="minorEastAsia" w:hAnsi="Open Sans" w:cstheme="minorBidi"/>
          <w:bCs w:val="0"/>
          <w:noProof/>
          <w:kern w:val="0"/>
          <w:sz w:val="20"/>
          <w:szCs w:val="22"/>
        </w:rPr>
      </w:pPr>
    </w:p>
    <w:p w14:paraId="4E5DF3D2" w14:textId="77777777" w:rsidR="002F1CAE" w:rsidRDefault="002F1CAE">
      <w:pPr>
        <w:spacing w:after="160" w:line="259" w:lineRule="auto"/>
        <w:rPr>
          <w:rFonts w:ascii="Open Sans SemiBold" w:eastAsia="Times New Roman" w:hAnsi="Open Sans SemiBold" w:cs="Arial"/>
          <w:b/>
          <w:bCs/>
          <w:kern w:val="32"/>
          <w:sz w:val="24"/>
          <w:szCs w:val="24"/>
        </w:rPr>
      </w:pPr>
      <w:r>
        <w:br w:type="page"/>
      </w:r>
    </w:p>
    <w:p w14:paraId="2A904779" w14:textId="378D9A1C" w:rsidR="004C405F" w:rsidRDefault="00F57A5D" w:rsidP="00C03D1C">
      <w:pPr>
        <w:pStyle w:val="TOCAppendices"/>
      </w:pPr>
      <w:r>
        <w:lastRenderedPageBreak/>
        <w:t>Appendices</w:t>
      </w:r>
    </w:p>
    <w:p w14:paraId="17DBB826" w14:textId="5D833E5B" w:rsidR="009B4F7F" w:rsidRDefault="00AD3DF5" w:rsidP="009B4F7F">
      <w:pPr>
        <w:pStyle w:val="TOC1"/>
        <w:tabs>
          <w:tab w:val="clear" w:pos="1418"/>
          <w:tab w:val="left" w:pos="2127"/>
        </w:tabs>
        <w:rPr>
          <w:rFonts w:asciiTheme="minorHAnsi" w:hAnsiTheme="minorHAnsi"/>
          <w:noProof/>
          <w:sz w:val="22"/>
          <w:lang w:eastAsia="en-GB"/>
        </w:rPr>
      </w:pPr>
      <w:r>
        <w:fldChar w:fldCharType="begin"/>
      </w:r>
      <w:r w:rsidRPr="002C2870">
        <w:instrText xml:space="preserve"> TOC \n \h \z \t "Appendix,1" </w:instrText>
      </w:r>
      <w:r>
        <w:fldChar w:fldCharType="separate"/>
      </w:r>
      <w:hyperlink w:anchor="_Toc113450257"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I</w:t>
        </w:r>
        <w:r w:rsidR="009B4F7F">
          <w:rPr>
            <w:rFonts w:asciiTheme="minorHAnsi" w:hAnsiTheme="minorHAnsi"/>
            <w:noProof/>
            <w:sz w:val="22"/>
            <w:lang w:eastAsia="en-GB"/>
          </w:rPr>
          <w:tab/>
        </w:r>
        <w:r w:rsidR="009B4F7F" w:rsidRPr="00CE19A3">
          <w:rPr>
            <w:rStyle w:val="Hyperlink"/>
            <w:noProof/>
          </w:rPr>
          <w:t>2022 Household Survey Area</w:t>
        </w:r>
      </w:hyperlink>
    </w:p>
    <w:p w14:paraId="63344C90" w14:textId="769D50FD" w:rsidR="009B4F7F" w:rsidRDefault="00000000" w:rsidP="009B4F7F">
      <w:pPr>
        <w:pStyle w:val="TOC1"/>
        <w:tabs>
          <w:tab w:val="clear" w:pos="1418"/>
          <w:tab w:val="left" w:pos="2127"/>
        </w:tabs>
        <w:rPr>
          <w:rFonts w:asciiTheme="minorHAnsi" w:hAnsiTheme="minorHAnsi"/>
          <w:noProof/>
          <w:sz w:val="22"/>
          <w:lang w:eastAsia="en-GB"/>
        </w:rPr>
      </w:pPr>
      <w:hyperlink w:anchor="_Toc113450258"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II</w:t>
        </w:r>
        <w:r w:rsidR="009B4F7F">
          <w:rPr>
            <w:rFonts w:asciiTheme="minorHAnsi" w:hAnsiTheme="minorHAnsi"/>
            <w:noProof/>
            <w:sz w:val="22"/>
            <w:lang w:eastAsia="en-GB"/>
          </w:rPr>
          <w:tab/>
        </w:r>
        <w:r w:rsidR="009B4F7F" w:rsidRPr="00CE19A3">
          <w:rPr>
            <w:rStyle w:val="Hyperlink"/>
            <w:noProof/>
          </w:rPr>
          <w:t>Policies Map for Torquay Town Centre</w:t>
        </w:r>
      </w:hyperlink>
    </w:p>
    <w:p w14:paraId="686A2A72" w14:textId="7FF726D4" w:rsidR="009B4F7F" w:rsidRDefault="00000000" w:rsidP="009B4F7F">
      <w:pPr>
        <w:pStyle w:val="TOC1"/>
        <w:tabs>
          <w:tab w:val="clear" w:pos="1418"/>
          <w:tab w:val="left" w:pos="2127"/>
        </w:tabs>
        <w:rPr>
          <w:rFonts w:asciiTheme="minorHAnsi" w:hAnsiTheme="minorHAnsi"/>
          <w:noProof/>
          <w:sz w:val="22"/>
          <w:lang w:eastAsia="en-GB"/>
        </w:rPr>
      </w:pPr>
      <w:hyperlink w:anchor="_Toc113450259"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III</w:t>
        </w:r>
        <w:r w:rsidR="009B4F7F">
          <w:rPr>
            <w:rFonts w:asciiTheme="minorHAnsi" w:hAnsiTheme="minorHAnsi"/>
            <w:noProof/>
            <w:sz w:val="22"/>
            <w:lang w:eastAsia="en-GB"/>
          </w:rPr>
          <w:tab/>
        </w:r>
        <w:r w:rsidR="009B4F7F" w:rsidRPr="00CE19A3">
          <w:rPr>
            <w:rStyle w:val="Hyperlink"/>
            <w:noProof/>
          </w:rPr>
          <w:t>Torbay Town Centre Boundary</w:t>
        </w:r>
      </w:hyperlink>
    </w:p>
    <w:p w14:paraId="4BEB341A" w14:textId="69FF39AC" w:rsidR="009B4F7F" w:rsidRDefault="00000000" w:rsidP="009B4F7F">
      <w:pPr>
        <w:pStyle w:val="TOC1"/>
        <w:tabs>
          <w:tab w:val="clear" w:pos="1418"/>
          <w:tab w:val="left" w:pos="2127"/>
        </w:tabs>
        <w:rPr>
          <w:rFonts w:asciiTheme="minorHAnsi" w:hAnsiTheme="minorHAnsi"/>
          <w:noProof/>
          <w:sz w:val="22"/>
          <w:lang w:eastAsia="en-GB"/>
        </w:rPr>
      </w:pPr>
      <w:hyperlink w:anchor="_Toc113450260"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IV</w:t>
        </w:r>
        <w:r w:rsidR="009B4F7F">
          <w:rPr>
            <w:rFonts w:asciiTheme="minorHAnsi" w:hAnsiTheme="minorHAnsi"/>
            <w:noProof/>
            <w:sz w:val="22"/>
            <w:lang w:eastAsia="en-GB"/>
          </w:rPr>
          <w:tab/>
        </w:r>
        <w:r w:rsidR="009B4F7F" w:rsidRPr="00CE19A3">
          <w:rPr>
            <w:rStyle w:val="Hyperlink"/>
            <w:noProof/>
          </w:rPr>
          <w:t>Torquay Primary Shopping Area Boundary</w:t>
        </w:r>
      </w:hyperlink>
    </w:p>
    <w:p w14:paraId="193A9760" w14:textId="63F224F3" w:rsidR="009B4F7F" w:rsidRDefault="00000000" w:rsidP="009B4F7F">
      <w:pPr>
        <w:pStyle w:val="TOC1"/>
        <w:tabs>
          <w:tab w:val="clear" w:pos="1418"/>
          <w:tab w:val="left" w:pos="2127"/>
        </w:tabs>
        <w:rPr>
          <w:rFonts w:asciiTheme="minorHAnsi" w:hAnsiTheme="minorHAnsi"/>
          <w:noProof/>
          <w:sz w:val="22"/>
          <w:lang w:eastAsia="en-GB"/>
        </w:rPr>
      </w:pPr>
      <w:hyperlink w:anchor="_Toc113450261"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V</w:t>
        </w:r>
        <w:r w:rsidR="009B4F7F">
          <w:rPr>
            <w:rFonts w:asciiTheme="minorHAnsi" w:hAnsiTheme="minorHAnsi"/>
            <w:noProof/>
            <w:sz w:val="22"/>
            <w:lang w:eastAsia="en-GB"/>
          </w:rPr>
          <w:tab/>
        </w:r>
        <w:r w:rsidR="009B4F7F" w:rsidRPr="00CE19A3">
          <w:rPr>
            <w:rStyle w:val="Hyperlink"/>
            <w:noProof/>
          </w:rPr>
          <w:t>Torquay Town Centre Primary and Secondary Retail Frontages</w:t>
        </w:r>
      </w:hyperlink>
    </w:p>
    <w:p w14:paraId="77CDEDC0" w14:textId="66C3FCEE" w:rsidR="009B4F7F" w:rsidRDefault="00000000" w:rsidP="009B4F7F">
      <w:pPr>
        <w:pStyle w:val="TOC1"/>
        <w:tabs>
          <w:tab w:val="clear" w:pos="1418"/>
          <w:tab w:val="left" w:pos="2127"/>
        </w:tabs>
        <w:rPr>
          <w:rFonts w:asciiTheme="minorHAnsi" w:hAnsiTheme="minorHAnsi"/>
          <w:noProof/>
          <w:sz w:val="22"/>
          <w:lang w:eastAsia="en-GB"/>
        </w:rPr>
      </w:pPr>
      <w:hyperlink w:anchor="_Toc113450262"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VI</w:t>
        </w:r>
        <w:r w:rsidR="009B4F7F">
          <w:rPr>
            <w:rFonts w:asciiTheme="minorHAnsi" w:hAnsiTheme="minorHAnsi"/>
            <w:noProof/>
            <w:sz w:val="22"/>
            <w:lang w:eastAsia="en-GB"/>
          </w:rPr>
          <w:tab/>
        </w:r>
        <w:r w:rsidR="009B4F7F" w:rsidRPr="00CE19A3">
          <w:rPr>
            <w:rStyle w:val="Hyperlink"/>
            <w:noProof/>
          </w:rPr>
          <w:t>Policies Map for Paignton Town Centre</w:t>
        </w:r>
      </w:hyperlink>
    </w:p>
    <w:p w14:paraId="3226E193" w14:textId="16149670" w:rsidR="009B4F7F" w:rsidRDefault="00000000" w:rsidP="009B4F7F">
      <w:pPr>
        <w:pStyle w:val="TOC1"/>
        <w:tabs>
          <w:tab w:val="clear" w:pos="1418"/>
          <w:tab w:val="left" w:pos="2127"/>
        </w:tabs>
        <w:rPr>
          <w:rFonts w:asciiTheme="minorHAnsi" w:hAnsiTheme="minorHAnsi"/>
          <w:noProof/>
          <w:sz w:val="22"/>
          <w:lang w:eastAsia="en-GB"/>
        </w:rPr>
      </w:pPr>
      <w:hyperlink w:anchor="_Toc113450263"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VII</w:t>
        </w:r>
        <w:r w:rsidR="009B4F7F">
          <w:rPr>
            <w:rFonts w:asciiTheme="minorHAnsi" w:hAnsiTheme="minorHAnsi"/>
            <w:noProof/>
            <w:sz w:val="22"/>
            <w:lang w:eastAsia="en-GB"/>
          </w:rPr>
          <w:tab/>
        </w:r>
        <w:r w:rsidR="009B4F7F" w:rsidRPr="00CE19A3">
          <w:rPr>
            <w:rStyle w:val="Hyperlink"/>
            <w:noProof/>
          </w:rPr>
          <w:t>Paignton Town Centre Boundary</w:t>
        </w:r>
      </w:hyperlink>
    </w:p>
    <w:p w14:paraId="18A8A3F0" w14:textId="4A3B165C" w:rsidR="009B4F7F" w:rsidRDefault="00000000" w:rsidP="009B4F7F">
      <w:pPr>
        <w:pStyle w:val="TOC1"/>
        <w:tabs>
          <w:tab w:val="clear" w:pos="1418"/>
          <w:tab w:val="left" w:pos="2127"/>
        </w:tabs>
        <w:rPr>
          <w:rFonts w:asciiTheme="minorHAnsi" w:hAnsiTheme="minorHAnsi"/>
          <w:noProof/>
          <w:sz w:val="22"/>
          <w:lang w:eastAsia="en-GB"/>
        </w:rPr>
      </w:pPr>
      <w:hyperlink w:anchor="_Toc113450264"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VIII</w:t>
        </w:r>
        <w:r w:rsidR="009B4F7F">
          <w:rPr>
            <w:rFonts w:asciiTheme="minorHAnsi" w:hAnsiTheme="minorHAnsi"/>
            <w:noProof/>
            <w:sz w:val="22"/>
            <w:lang w:eastAsia="en-GB"/>
          </w:rPr>
          <w:tab/>
        </w:r>
        <w:r w:rsidR="009B4F7F" w:rsidRPr="00CE19A3">
          <w:rPr>
            <w:rStyle w:val="Hyperlink"/>
            <w:noProof/>
          </w:rPr>
          <w:t>Paignton Primary Shopping Area Boundary</w:t>
        </w:r>
      </w:hyperlink>
    </w:p>
    <w:p w14:paraId="18A5F85F" w14:textId="372B74F2" w:rsidR="009B4F7F" w:rsidRDefault="00000000" w:rsidP="009B4F7F">
      <w:pPr>
        <w:pStyle w:val="TOC1"/>
        <w:tabs>
          <w:tab w:val="clear" w:pos="1418"/>
          <w:tab w:val="left" w:pos="2127"/>
        </w:tabs>
        <w:rPr>
          <w:rFonts w:asciiTheme="minorHAnsi" w:hAnsiTheme="minorHAnsi"/>
          <w:noProof/>
          <w:sz w:val="22"/>
          <w:lang w:eastAsia="en-GB"/>
        </w:rPr>
      </w:pPr>
      <w:hyperlink w:anchor="_Toc113450265"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IX</w:t>
        </w:r>
        <w:r w:rsidR="009B4F7F">
          <w:rPr>
            <w:rFonts w:asciiTheme="minorHAnsi" w:hAnsiTheme="minorHAnsi"/>
            <w:noProof/>
            <w:sz w:val="22"/>
            <w:lang w:eastAsia="en-GB"/>
          </w:rPr>
          <w:tab/>
        </w:r>
        <w:r w:rsidR="009B4F7F" w:rsidRPr="00CE19A3">
          <w:rPr>
            <w:rStyle w:val="Hyperlink"/>
            <w:noProof/>
          </w:rPr>
          <w:t>Paignton Town Centre Primary and Secondary Retail Frontages</w:t>
        </w:r>
      </w:hyperlink>
    </w:p>
    <w:p w14:paraId="3236013F" w14:textId="392B0E1D" w:rsidR="009B4F7F" w:rsidRDefault="00000000" w:rsidP="009B4F7F">
      <w:pPr>
        <w:pStyle w:val="TOC1"/>
        <w:tabs>
          <w:tab w:val="clear" w:pos="1418"/>
          <w:tab w:val="left" w:pos="2127"/>
        </w:tabs>
        <w:rPr>
          <w:rFonts w:asciiTheme="minorHAnsi" w:hAnsiTheme="minorHAnsi"/>
          <w:noProof/>
          <w:sz w:val="22"/>
          <w:lang w:eastAsia="en-GB"/>
        </w:rPr>
      </w:pPr>
      <w:hyperlink w:anchor="_Toc113450266"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X</w:t>
        </w:r>
        <w:r w:rsidR="009B4F7F">
          <w:rPr>
            <w:rFonts w:asciiTheme="minorHAnsi" w:hAnsiTheme="minorHAnsi"/>
            <w:noProof/>
            <w:sz w:val="22"/>
            <w:lang w:eastAsia="en-GB"/>
          </w:rPr>
          <w:tab/>
        </w:r>
        <w:r w:rsidR="009B4F7F" w:rsidRPr="00CE19A3">
          <w:rPr>
            <w:rStyle w:val="Hyperlink"/>
            <w:noProof/>
          </w:rPr>
          <w:t>Brixham Town Centre Policies Map</w:t>
        </w:r>
      </w:hyperlink>
    </w:p>
    <w:p w14:paraId="5CDA9238" w14:textId="18D1003E" w:rsidR="009B4F7F" w:rsidRDefault="00000000" w:rsidP="009B4F7F">
      <w:pPr>
        <w:pStyle w:val="TOC1"/>
        <w:tabs>
          <w:tab w:val="clear" w:pos="1418"/>
          <w:tab w:val="left" w:pos="2127"/>
        </w:tabs>
        <w:rPr>
          <w:rFonts w:asciiTheme="minorHAnsi" w:hAnsiTheme="minorHAnsi"/>
          <w:noProof/>
          <w:sz w:val="22"/>
          <w:lang w:eastAsia="en-GB"/>
        </w:rPr>
      </w:pPr>
      <w:hyperlink w:anchor="_Toc113450267"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XI</w:t>
        </w:r>
        <w:r w:rsidR="009B4F7F">
          <w:rPr>
            <w:rFonts w:asciiTheme="minorHAnsi" w:hAnsiTheme="minorHAnsi"/>
            <w:noProof/>
            <w:sz w:val="22"/>
            <w:lang w:eastAsia="en-GB"/>
          </w:rPr>
          <w:tab/>
        </w:r>
        <w:r w:rsidR="009B4F7F" w:rsidRPr="00CE19A3">
          <w:rPr>
            <w:rStyle w:val="Hyperlink"/>
            <w:noProof/>
          </w:rPr>
          <w:t>Brixham Town Centre Boundary</w:t>
        </w:r>
      </w:hyperlink>
    </w:p>
    <w:p w14:paraId="4828615C" w14:textId="02802D84" w:rsidR="009B4F7F" w:rsidRDefault="00000000" w:rsidP="009B4F7F">
      <w:pPr>
        <w:pStyle w:val="TOC1"/>
        <w:tabs>
          <w:tab w:val="clear" w:pos="1418"/>
          <w:tab w:val="left" w:pos="2127"/>
        </w:tabs>
        <w:rPr>
          <w:rFonts w:asciiTheme="minorHAnsi" w:hAnsiTheme="minorHAnsi"/>
          <w:noProof/>
          <w:sz w:val="22"/>
          <w:lang w:eastAsia="en-GB"/>
        </w:rPr>
      </w:pPr>
      <w:hyperlink w:anchor="_Toc113450268"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XII</w:t>
        </w:r>
        <w:r w:rsidR="009B4F7F">
          <w:rPr>
            <w:rFonts w:asciiTheme="minorHAnsi" w:hAnsiTheme="minorHAnsi"/>
            <w:noProof/>
            <w:sz w:val="22"/>
            <w:lang w:eastAsia="en-GB"/>
          </w:rPr>
          <w:tab/>
        </w:r>
        <w:r w:rsidR="009B4F7F" w:rsidRPr="00CE19A3">
          <w:rPr>
            <w:rStyle w:val="Hyperlink"/>
            <w:noProof/>
          </w:rPr>
          <w:t>Brixham Primary Shopping Area Boundary</w:t>
        </w:r>
      </w:hyperlink>
    </w:p>
    <w:p w14:paraId="502BD94B" w14:textId="72DA53B4" w:rsidR="009B4F7F" w:rsidRDefault="00000000" w:rsidP="009B4F7F">
      <w:pPr>
        <w:pStyle w:val="TOC1"/>
        <w:tabs>
          <w:tab w:val="clear" w:pos="1418"/>
          <w:tab w:val="left" w:pos="2127"/>
        </w:tabs>
        <w:rPr>
          <w:rFonts w:asciiTheme="minorHAnsi" w:hAnsiTheme="minorHAnsi"/>
          <w:noProof/>
          <w:sz w:val="22"/>
          <w:lang w:eastAsia="en-GB"/>
        </w:rPr>
      </w:pPr>
      <w:hyperlink w:anchor="_Toc113450269"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XIII</w:t>
        </w:r>
        <w:r w:rsidR="009B4F7F">
          <w:rPr>
            <w:rFonts w:asciiTheme="minorHAnsi" w:hAnsiTheme="minorHAnsi"/>
            <w:noProof/>
            <w:sz w:val="22"/>
            <w:lang w:eastAsia="en-GB"/>
          </w:rPr>
          <w:tab/>
        </w:r>
        <w:r w:rsidR="009B4F7F" w:rsidRPr="00CE19A3">
          <w:rPr>
            <w:rStyle w:val="Hyperlink"/>
            <w:noProof/>
          </w:rPr>
          <w:t>Brixham Town Centre Primary and Secondary Retail Frontages</w:t>
        </w:r>
      </w:hyperlink>
    </w:p>
    <w:p w14:paraId="3D3BE80A" w14:textId="2D546AF1" w:rsidR="009B4F7F" w:rsidRDefault="00000000" w:rsidP="009B4F7F">
      <w:pPr>
        <w:pStyle w:val="TOC1"/>
        <w:tabs>
          <w:tab w:val="clear" w:pos="1418"/>
          <w:tab w:val="left" w:pos="2127"/>
        </w:tabs>
        <w:rPr>
          <w:rFonts w:asciiTheme="minorHAnsi" w:hAnsiTheme="minorHAnsi"/>
          <w:noProof/>
          <w:sz w:val="22"/>
          <w:lang w:eastAsia="en-GB"/>
        </w:rPr>
      </w:pPr>
      <w:hyperlink w:anchor="_Toc113450270"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XIV</w:t>
        </w:r>
        <w:r w:rsidR="009B4F7F">
          <w:rPr>
            <w:rFonts w:asciiTheme="minorHAnsi" w:hAnsiTheme="minorHAnsi"/>
            <w:noProof/>
            <w:sz w:val="22"/>
            <w:lang w:eastAsia="en-GB"/>
          </w:rPr>
          <w:tab/>
        </w:r>
        <w:r w:rsidR="009B4F7F" w:rsidRPr="00CE19A3">
          <w:rPr>
            <w:rStyle w:val="Hyperlink"/>
            <w:noProof/>
          </w:rPr>
          <w:t>The Willows District Centre</w:t>
        </w:r>
      </w:hyperlink>
    </w:p>
    <w:p w14:paraId="3E41A0A6" w14:textId="3CD448A2" w:rsidR="009B4F7F" w:rsidRDefault="00000000" w:rsidP="009B4F7F">
      <w:pPr>
        <w:pStyle w:val="TOC1"/>
        <w:tabs>
          <w:tab w:val="clear" w:pos="1418"/>
          <w:tab w:val="left" w:pos="2127"/>
        </w:tabs>
        <w:rPr>
          <w:rFonts w:asciiTheme="minorHAnsi" w:hAnsiTheme="minorHAnsi"/>
          <w:noProof/>
          <w:sz w:val="22"/>
          <w:lang w:eastAsia="en-GB"/>
        </w:rPr>
      </w:pPr>
      <w:hyperlink w:anchor="_Toc113450271"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XV</w:t>
        </w:r>
        <w:r w:rsidR="009B4F7F">
          <w:rPr>
            <w:rFonts w:asciiTheme="minorHAnsi" w:hAnsiTheme="minorHAnsi"/>
            <w:noProof/>
            <w:sz w:val="22"/>
            <w:lang w:eastAsia="en-GB"/>
          </w:rPr>
          <w:tab/>
        </w:r>
        <w:r w:rsidR="009B4F7F" w:rsidRPr="00CE19A3">
          <w:rPr>
            <w:rStyle w:val="Hyperlink"/>
            <w:noProof/>
          </w:rPr>
          <w:t>St Marychurch District Centre</w:t>
        </w:r>
      </w:hyperlink>
    </w:p>
    <w:p w14:paraId="76BCD20C" w14:textId="2FA58F8D" w:rsidR="009B4F7F" w:rsidRDefault="00000000" w:rsidP="009B4F7F">
      <w:pPr>
        <w:pStyle w:val="TOC1"/>
        <w:tabs>
          <w:tab w:val="clear" w:pos="1418"/>
          <w:tab w:val="left" w:pos="2127"/>
        </w:tabs>
        <w:rPr>
          <w:rFonts w:asciiTheme="minorHAnsi" w:hAnsiTheme="minorHAnsi"/>
          <w:noProof/>
          <w:sz w:val="22"/>
          <w:lang w:eastAsia="en-GB"/>
        </w:rPr>
      </w:pPr>
      <w:hyperlink w:anchor="_Toc113450272"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XVI</w:t>
        </w:r>
        <w:r w:rsidR="009B4F7F">
          <w:rPr>
            <w:rFonts w:asciiTheme="minorHAnsi" w:hAnsiTheme="minorHAnsi"/>
            <w:noProof/>
            <w:sz w:val="22"/>
            <w:lang w:eastAsia="en-GB"/>
          </w:rPr>
          <w:tab/>
        </w:r>
        <w:r w:rsidR="009B4F7F" w:rsidRPr="00CE19A3">
          <w:rPr>
            <w:rStyle w:val="Hyperlink"/>
            <w:noProof/>
          </w:rPr>
          <w:t>Preston District Centre</w:t>
        </w:r>
      </w:hyperlink>
    </w:p>
    <w:p w14:paraId="44D31D15" w14:textId="5276B8CF" w:rsidR="009B4F7F" w:rsidRDefault="00000000" w:rsidP="009B4F7F">
      <w:pPr>
        <w:pStyle w:val="TOC1"/>
        <w:tabs>
          <w:tab w:val="clear" w:pos="1418"/>
          <w:tab w:val="left" w:pos="2127"/>
        </w:tabs>
        <w:rPr>
          <w:rFonts w:asciiTheme="minorHAnsi" w:hAnsiTheme="minorHAnsi"/>
          <w:noProof/>
          <w:sz w:val="22"/>
          <w:lang w:eastAsia="en-GB"/>
        </w:rPr>
      </w:pPr>
      <w:hyperlink w:anchor="_Toc113450273" w:history="1">
        <w:r w:rsidR="009B4F7F" w:rsidRPr="00CE19A3">
          <w:rPr>
            <w:rStyle w:val="Hyperlink"/>
            <w:rFonts w:ascii="Open Sans SemiBold" w:hAnsi="Open Sans SemiBold"/>
            <w:noProof/>
            <w14:scene3d>
              <w14:camera w14:prst="orthographicFront"/>
              <w14:lightRig w14:rig="threePt" w14:dir="t">
                <w14:rot w14:lat="0" w14:lon="0" w14:rev="0"/>
              </w14:lightRig>
            </w14:scene3d>
          </w:rPr>
          <w:t>Appendix XVII</w:t>
        </w:r>
        <w:r w:rsidR="009B4F7F">
          <w:rPr>
            <w:rFonts w:asciiTheme="minorHAnsi" w:hAnsiTheme="minorHAnsi"/>
            <w:noProof/>
            <w:sz w:val="22"/>
            <w:lang w:eastAsia="en-GB"/>
          </w:rPr>
          <w:tab/>
        </w:r>
        <w:r w:rsidR="009B4F7F" w:rsidRPr="00CE19A3">
          <w:rPr>
            <w:rStyle w:val="Hyperlink"/>
            <w:noProof/>
          </w:rPr>
          <w:t>Quantitative Need Assessment</w:t>
        </w:r>
      </w:hyperlink>
    </w:p>
    <w:p w14:paraId="0FA19CAD" w14:textId="03C8D7DA" w:rsidR="006857B6" w:rsidRDefault="00AD3DF5" w:rsidP="000A784B">
      <w:pPr>
        <w:pStyle w:val="NoSpacing"/>
        <w:spacing w:before="480" w:after="60"/>
        <w:rPr>
          <w:b/>
          <w:bCs/>
        </w:rPr>
      </w:pPr>
      <w:r>
        <w:rPr>
          <w:rFonts w:eastAsiaTheme="minorEastAsia"/>
        </w:rPr>
        <w:fldChar w:fldCharType="end"/>
      </w:r>
    </w:p>
    <w:p w14:paraId="46045FF4" w14:textId="77777777" w:rsidR="003F7ED5" w:rsidRPr="00D734A2" w:rsidRDefault="003F7ED5" w:rsidP="00D734A2">
      <w:pPr>
        <w:pStyle w:val="NoSpacing"/>
        <w:spacing w:before="240" w:after="240"/>
        <w:rPr>
          <w:b/>
          <w:bCs/>
        </w:rPr>
      </w:pPr>
    </w:p>
    <w:p w14:paraId="30E1FBF1" w14:textId="77777777" w:rsidR="003F7ED5" w:rsidRDefault="003F7ED5" w:rsidP="000E6198">
      <w:pPr>
        <w:pStyle w:val="BodyText"/>
        <w:numPr>
          <w:ilvl w:val="1"/>
          <w:numId w:val="9"/>
        </w:numPr>
        <w:rPr>
          <w:color w:val="3A4458" w:themeColor="text2"/>
          <w:sz w:val="32"/>
        </w:rPr>
        <w:sectPr w:rsidR="003F7ED5">
          <w:headerReference w:type="default" r:id="rId14"/>
          <w:footerReference w:type="default" r:id="rId15"/>
          <w:pgSz w:w="11906" w:h="16838" w:code="9"/>
          <w:pgMar w:top="851" w:right="851" w:bottom="1134" w:left="851" w:header="567" w:footer="567" w:gutter="284"/>
          <w:cols w:space="708"/>
          <w:titlePg/>
          <w:docGrid w:linePitch="360"/>
        </w:sectPr>
      </w:pPr>
    </w:p>
    <w:p w14:paraId="688B2065" w14:textId="117B8AAD" w:rsidR="00C03D1C" w:rsidRDefault="000A784B" w:rsidP="00667FA9">
      <w:pPr>
        <w:pStyle w:val="ListHeading1"/>
      </w:pPr>
      <w:bookmarkStart w:id="0" w:name="_Toc116897144"/>
      <w:r>
        <w:lastRenderedPageBreak/>
        <w:t>Introduction</w:t>
      </w:r>
      <w:bookmarkEnd w:id="0"/>
    </w:p>
    <w:p w14:paraId="226237A9" w14:textId="23D43CE6" w:rsidR="00733A74" w:rsidRPr="00733A74" w:rsidRDefault="00733A74" w:rsidP="00733A74">
      <w:pPr>
        <w:pStyle w:val="Level1"/>
      </w:pPr>
      <w:r w:rsidRPr="00733A74">
        <w:t xml:space="preserve">This Retail </w:t>
      </w:r>
      <w:r>
        <w:t>Study</w:t>
      </w:r>
      <w:r w:rsidRPr="00733A74">
        <w:t xml:space="preserve"> report (hereafter referred to as ‘the Study’) has been prepared by Avison Young (‘AY’) for </w:t>
      </w:r>
      <w:r>
        <w:t>Torbay</w:t>
      </w:r>
      <w:r w:rsidRPr="00733A74">
        <w:t xml:space="preserve"> Council (‘</w:t>
      </w:r>
      <w:r>
        <w:t>T</w:t>
      </w:r>
      <w:r w:rsidRPr="00733A74">
        <w:t xml:space="preserve">C’) </w:t>
      </w:r>
      <w:proofErr w:type="gramStart"/>
      <w:r w:rsidRPr="00733A74">
        <w:t>in order to</w:t>
      </w:r>
      <w:proofErr w:type="gramEnd"/>
      <w:r w:rsidRPr="00733A74">
        <w:t xml:space="preserve"> provide up to date evidence </w:t>
      </w:r>
      <w:r w:rsidR="00027AE6">
        <w:t xml:space="preserve">on retail land use and town centre health issues </w:t>
      </w:r>
      <w:r w:rsidRPr="00733A74">
        <w:t xml:space="preserve">for </w:t>
      </w:r>
      <w:r w:rsidR="001A784C">
        <w:t xml:space="preserve">an update to the Torbay Local Plan.  </w:t>
      </w:r>
    </w:p>
    <w:p w14:paraId="40848F1F" w14:textId="77777777" w:rsidR="00E7089A" w:rsidRDefault="00365A7C" w:rsidP="00733A74">
      <w:pPr>
        <w:pStyle w:val="Level1"/>
      </w:pPr>
      <w:r>
        <w:t>Preparation of t</w:t>
      </w:r>
      <w:r w:rsidR="00733A74" w:rsidRPr="00733A74">
        <w:t xml:space="preserve">he </w:t>
      </w:r>
      <w:r>
        <w:t xml:space="preserve">Local Plan Update </w:t>
      </w:r>
      <w:r w:rsidR="00027AE6" w:rsidRPr="00D064CE">
        <w:t xml:space="preserve">in Torbay </w:t>
      </w:r>
      <w:r w:rsidRPr="00D064CE">
        <w:t>commenced in 202</w:t>
      </w:r>
      <w:r w:rsidR="007831EE" w:rsidRPr="00B44051">
        <w:t>1</w:t>
      </w:r>
      <w:r w:rsidR="007831EE" w:rsidRPr="00D064CE">
        <w:t xml:space="preserve"> </w:t>
      </w:r>
      <w:r w:rsidRPr="00D064CE">
        <w:t xml:space="preserve">and is focused </w:t>
      </w:r>
      <w:proofErr w:type="gramStart"/>
      <w:r w:rsidRPr="00D064CE">
        <w:t>around</w:t>
      </w:r>
      <w:proofErr w:type="gramEnd"/>
      <w:r w:rsidRPr="00D064CE">
        <w:t xml:space="preserve"> a series of core topic areas</w:t>
      </w:r>
      <w:r w:rsidR="007831EE" w:rsidRPr="00D064CE">
        <w:t>.</w:t>
      </w:r>
      <w:r w:rsidR="004A1D31" w:rsidRPr="00D064CE">
        <w:t xml:space="preserve"> </w:t>
      </w:r>
      <w:r w:rsidR="007831EE" w:rsidRPr="00D064CE">
        <w:t xml:space="preserve"> </w:t>
      </w:r>
      <w:proofErr w:type="gramStart"/>
      <w:r w:rsidR="007831EE" w:rsidRPr="00D064CE">
        <w:t>In particular</w:t>
      </w:r>
      <w:r w:rsidR="004A1D31" w:rsidRPr="00D064CE">
        <w:t xml:space="preserve">, </w:t>
      </w:r>
      <w:r w:rsidR="00E7089A">
        <w:t>TC</w:t>
      </w:r>
      <w:proofErr w:type="gramEnd"/>
      <w:r w:rsidR="004A1D31" w:rsidRPr="00D064CE">
        <w:t xml:space="preserve"> reviewed the current Local Plan </w:t>
      </w:r>
      <w:r w:rsidR="00F22D49" w:rsidRPr="00D064CE">
        <w:t>(adopted in 2015) in December 2020 and identified a need to update housi</w:t>
      </w:r>
      <w:r w:rsidR="00071EFF" w:rsidRPr="00D064CE">
        <w:t>ng policies</w:t>
      </w:r>
      <w:r w:rsidR="00DA21E1" w:rsidRPr="00D064CE">
        <w:rPr>
          <w:rStyle w:val="FootnoteReference"/>
        </w:rPr>
        <w:footnoteReference w:id="1"/>
      </w:r>
      <w:r w:rsidR="00071EFF" w:rsidRPr="00D064CE">
        <w:t xml:space="preserve">.  </w:t>
      </w:r>
      <w:r w:rsidR="00CA75A6" w:rsidRPr="00D064CE">
        <w:t xml:space="preserve">Linked to this is a need to understand how town centres are functioning </w:t>
      </w:r>
      <w:r w:rsidR="00D86A3B" w:rsidRPr="00D064CE">
        <w:t xml:space="preserve">and whether there is scope to relax town centre boundaries or </w:t>
      </w:r>
      <w:r w:rsidR="001A31A0" w:rsidRPr="00D064CE">
        <w:t xml:space="preserve">boost town centre regeneration in other ways. </w:t>
      </w:r>
      <w:r w:rsidR="005B7224" w:rsidRPr="00D064CE">
        <w:t xml:space="preserve"> </w:t>
      </w:r>
    </w:p>
    <w:p w14:paraId="22BD3B31" w14:textId="77777777" w:rsidR="00E7089A" w:rsidRDefault="005B7224" w:rsidP="00733A74">
      <w:pPr>
        <w:pStyle w:val="Level1"/>
      </w:pPr>
      <w:r w:rsidRPr="00B44051">
        <w:t xml:space="preserve">The Council seeks to understand the impact of </w:t>
      </w:r>
      <w:r w:rsidR="00F0620E" w:rsidRPr="00B44051">
        <w:t xml:space="preserve">recent changes, particularly the introduction of a wide Class E for town centre </w:t>
      </w:r>
      <w:r w:rsidR="00E7089A">
        <w:t>uses</w:t>
      </w:r>
      <w:r w:rsidR="00F0620E" w:rsidRPr="00B44051">
        <w:t>.</w:t>
      </w:r>
      <w:r w:rsidR="00F0620E" w:rsidRPr="00D064CE">
        <w:t xml:space="preserve">  </w:t>
      </w:r>
      <w:r w:rsidR="001A31A0" w:rsidRPr="00D064CE">
        <w:t xml:space="preserve"> T</w:t>
      </w:r>
      <w:r w:rsidR="00E7089A">
        <w:t xml:space="preserve">C </w:t>
      </w:r>
      <w:r w:rsidR="001A31A0" w:rsidRPr="00D064CE">
        <w:t>has also received a steady stream of retail applications</w:t>
      </w:r>
      <w:r w:rsidR="00E7089A">
        <w:t xml:space="preserve"> in recent years</w:t>
      </w:r>
      <w:r w:rsidR="001A31A0" w:rsidRPr="00D064CE">
        <w:t>, with more sites being promoted to the Local Plan</w:t>
      </w:r>
      <w:r w:rsidR="001262F9" w:rsidRPr="00D064CE">
        <w:t>, and it is therefore necessary to obtain an updated assessment of retail need</w:t>
      </w:r>
      <w:r w:rsidR="00E7089A">
        <w:t>s, trading performance and town centre health</w:t>
      </w:r>
      <w:r w:rsidR="001262F9" w:rsidRPr="00D064CE">
        <w:t>.</w:t>
      </w:r>
    </w:p>
    <w:p w14:paraId="1139F0F0" w14:textId="29F7CE97" w:rsidR="00365A7C" w:rsidRDefault="00365A7C" w:rsidP="00733A74">
      <w:pPr>
        <w:pStyle w:val="Level1"/>
      </w:pPr>
      <w:r w:rsidRPr="00D064CE">
        <w:t>Following initial stages of consultation in 2020 and 2021, proposed site options and strategic housing policies are due to be consulted upon later in 2022</w:t>
      </w:r>
      <w:r w:rsidR="00F0620E" w:rsidRPr="00D064CE">
        <w:t xml:space="preserve">.  </w:t>
      </w:r>
      <w:r w:rsidR="00F0620E" w:rsidRPr="00B44051">
        <w:t>A consultation on other polices</w:t>
      </w:r>
      <w:r w:rsidR="00A0259E" w:rsidRPr="00B44051">
        <w:t>, including retail and town centres will take place in early 2023</w:t>
      </w:r>
      <w:r w:rsidR="00581469" w:rsidRPr="00D064CE">
        <w:t>. A</w:t>
      </w:r>
      <w:r w:rsidRPr="00D064CE">
        <w:t xml:space="preserve"> ‘preferred options’</w:t>
      </w:r>
      <w:r w:rsidR="00A0259E" w:rsidRPr="00D064CE">
        <w:t xml:space="preserve"> version of the Plan</w:t>
      </w:r>
      <w:r w:rsidR="00581469" w:rsidRPr="00D064CE">
        <w:t xml:space="preserve"> is scheduled for</w:t>
      </w:r>
      <w:r w:rsidR="006E106B" w:rsidRPr="00D064CE">
        <w:t xml:space="preserve"> </w:t>
      </w:r>
      <w:r w:rsidR="006E106B" w:rsidRPr="00B44051">
        <w:t xml:space="preserve">in </w:t>
      </w:r>
      <w:r w:rsidR="00FA39B5" w:rsidRPr="00B44051">
        <w:t>mid 2023</w:t>
      </w:r>
      <w:r w:rsidR="00FA39B5" w:rsidRPr="00D064CE">
        <w:t xml:space="preserve">, </w:t>
      </w:r>
      <w:r w:rsidRPr="00D064CE">
        <w:t xml:space="preserve">and Submission to the </w:t>
      </w:r>
      <w:r w:rsidR="00BE4800" w:rsidRPr="00D064CE">
        <w:t>Secretary of State for Examination is due in Autumn 2023.</w:t>
      </w:r>
    </w:p>
    <w:p w14:paraId="4AAD76E9" w14:textId="7F7BE32B" w:rsidR="00BE4800" w:rsidRDefault="00BE4800" w:rsidP="00BE4800">
      <w:pPr>
        <w:pStyle w:val="Level1"/>
      </w:pPr>
      <w:r>
        <w:t xml:space="preserve">In relation to retail and town centre issues, the </w:t>
      </w:r>
      <w:r w:rsidRPr="00D064CE">
        <w:t>latest (July 20</w:t>
      </w:r>
      <w:r w:rsidR="0016190B" w:rsidRPr="00B44051">
        <w:t>2</w:t>
      </w:r>
      <w:r w:rsidRPr="00D064CE">
        <w:t>1) version</w:t>
      </w:r>
      <w:r>
        <w:t xml:space="preserve"> of the National Planning Policy Framework (‘NPPF’) indicates that development plan policies should:</w:t>
      </w:r>
    </w:p>
    <w:p w14:paraId="1FDB26FC" w14:textId="5D9C680F" w:rsidR="00BE4800" w:rsidRPr="00020C5A" w:rsidRDefault="00020C5A" w:rsidP="006E57CC">
      <w:pPr>
        <w:pStyle w:val="Level1"/>
        <w:numPr>
          <w:ilvl w:val="0"/>
          <w:numId w:val="0"/>
        </w:numPr>
        <w:ind w:left="1440"/>
        <w:rPr>
          <w:i/>
          <w:iCs/>
        </w:rPr>
      </w:pPr>
      <w:r w:rsidRPr="00020C5A">
        <w:rPr>
          <w:i/>
          <w:iCs/>
        </w:rPr>
        <w:t>“</w:t>
      </w:r>
      <w:r w:rsidR="00BE4800" w:rsidRPr="00020C5A">
        <w:rPr>
          <w:i/>
          <w:iCs/>
        </w:rPr>
        <w:t xml:space="preserve">a) define a network and hierarchy of town centres and promote their long-term vitality and viability – by allowing them to grow and diversify in a way that can respond to rapid changes in the retail and leisure industries, allows a suitable mix of uses (including housing) and reflects their distinctive </w:t>
      </w:r>
      <w:proofErr w:type="gramStart"/>
      <w:r w:rsidR="00BE4800" w:rsidRPr="00020C5A">
        <w:rPr>
          <w:i/>
          <w:iCs/>
        </w:rPr>
        <w:t>characters;</w:t>
      </w:r>
      <w:proofErr w:type="gramEnd"/>
    </w:p>
    <w:p w14:paraId="35734B9E" w14:textId="77777777" w:rsidR="00BE4800" w:rsidRPr="00020C5A" w:rsidRDefault="00BE4800" w:rsidP="006E57CC">
      <w:pPr>
        <w:pStyle w:val="Level1"/>
        <w:numPr>
          <w:ilvl w:val="0"/>
          <w:numId w:val="0"/>
        </w:numPr>
        <w:ind w:left="1440"/>
        <w:rPr>
          <w:i/>
          <w:iCs/>
        </w:rPr>
      </w:pPr>
      <w:r w:rsidRPr="00020C5A">
        <w:rPr>
          <w:i/>
          <w:iCs/>
        </w:rPr>
        <w:t xml:space="preserve">b) define the extent of town centres and primary shopping areas, and make clear the range of uses permitted in such locations, as part of a positive strategy for the future of each </w:t>
      </w:r>
      <w:proofErr w:type="gramStart"/>
      <w:r w:rsidRPr="00020C5A">
        <w:rPr>
          <w:i/>
          <w:iCs/>
        </w:rPr>
        <w:t>centre;</w:t>
      </w:r>
      <w:proofErr w:type="gramEnd"/>
    </w:p>
    <w:p w14:paraId="2328BD79" w14:textId="77777777" w:rsidR="00BE4800" w:rsidRPr="00020C5A" w:rsidRDefault="00BE4800" w:rsidP="006E57CC">
      <w:pPr>
        <w:pStyle w:val="Level1"/>
        <w:numPr>
          <w:ilvl w:val="0"/>
          <w:numId w:val="0"/>
        </w:numPr>
        <w:ind w:left="1440"/>
        <w:rPr>
          <w:i/>
          <w:iCs/>
        </w:rPr>
      </w:pPr>
      <w:r w:rsidRPr="00020C5A">
        <w:rPr>
          <w:i/>
          <w:iCs/>
        </w:rPr>
        <w:t xml:space="preserve">c) retain and enhance existing markets and, where appropriate, re-introduce or create new </w:t>
      </w:r>
      <w:proofErr w:type="gramStart"/>
      <w:r w:rsidRPr="00020C5A">
        <w:rPr>
          <w:i/>
          <w:iCs/>
        </w:rPr>
        <w:t>ones;</w:t>
      </w:r>
      <w:proofErr w:type="gramEnd"/>
    </w:p>
    <w:p w14:paraId="6CF992F6" w14:textId="77777777" w:rsidR="00BE4800" w:rsidRPr="00020C5A" w:rsidRDefault="00BE4800" w:rsidP="006E57CC">
      <w:pPr>
        <w:pStyle w:val="Level1"/>
        <w:numPr>
          <w:ilvl w:val="0"/>
          <w:numId w:val="0"/>
        </w:numPr>
        <w:ind w:left="1440"/>
        <w:rPr>
          <w:i/>
          <w:iCs/>
        </w:rPr>
      </w:pPr>
      <w:r w:rsidRPr="00020C5A">
        <w:rPr>
          <w:i/>
          <w:iCs/>
        </w:rPr>
        <w:t xml:space="preserve">d) allocate a range of suitable sites in town centres to meet the scale and type of development likely to be needed, looking at least ten years ahead. Meeting anticipated needs for retail, leisure, office and other main town centre uses over this period should not be compromised by limited site availability, so town centre boundaries should be kept under review where </w:t>
      </w:r>
      <w:proofErr w:type="gramStart"/>
      <w:r w:rsidRPr="00020C5A">
        <w:rPr>
          <w:i/>
          <w:iCs/>
        </w:rPr>
        <w:t>necessary;</w:t>
      </w:r>
      <w:proofErr w:type="gramEnd"/>
    </w:p>
    <w:p w14:paraId="3D87D690" w14:textId="77777777" w:rsidR="00BE4800" w:rsidRPr="00020C5A" w:rsidRDefault="00BE4800" w:rsidP="006E57CC">
      <w:pPr>
        <w:pStyle w:val="Level1"/>
        <w:numPr>
          <w:ilvl w:val="0"/>
          <w:numId w:val="0"/>
        </w:numPr>
        <w:ind w:left="1440"/>
        <w:rPr>
          <w:i/>
          <w:iCs/>
        </w:rPr>
      </w:pPr>
      <w:r w:rsidRPr="00020C5A">
        <w:rPr>
          <w:i/>
          <w:iCs/>
        </w:rPr>
        <w:t>e) where suitable and viable town centre sites are not available for main town centre uses, allocate appropriate edge of centre sites that are well connected to the town centre. If sufficient edge of centre sites cannot be identified, policies should explain how identified needs can be met in other accessible locations that are well connected to the town centre; and</w:t>
      </w:r>
    </w:p>
    <w:p w14:paraId="766A0EB0" w14:textId="50949374" w:rsidR="00BE4800" w:rsidRDefault="00BE4800" w:rsidP="006E57CC">
      <w:pPr>
        <w:pStyle w:val="Level1"/>
        <w:numPr>
          <w:ilvl w:val="0"/>
          <w:numId w:val="0"/>
        </w:numPr>
        <w:ind w:left="1440"/>
        <w:rPr>
          <w:i/>
          <w:iCs/>
        </w:rPr>
      </w:pPr>
      <w:r w:rsidRPr="00020C5A">
        <w:rPr>
          <w:i/>
          <w:iCs/>
        </w:rPr>
        <w:t>f) recognise that residential development often plays an important role in ensuring the vitality of centres and encourage residential development on appropriate sites</w:t>
      </w:r>
      <w:r w:rsidR="00020C5A" w:rsidRPr="00020C5A">
        <w:rPr>
          <w:i/>
          <w:iCs/>
        </w:rPr>
        <w:t>”</w:t>
      </w:r>
      <w:r w:rsidRPr="00020C5A">
        <w:rPr>
          <w:i/>
          <w:iCs/>
        </w:rPr>
        <w:t>.</w:t>
      </w:r>
    </w:p>
    <w:p w14:paraId="6EE99C02" w14:textId="77777777" w:rsidR="00E7089A" w:rsidRPr="00020C5A" w:rsidRDefault="00E7089A" w:rsidP="006E57CC">
      <w:pPr>
        <w:pStyle w:val="Level1"/>
        <w:numPr>
          <w:ilvl w:val="0"/>
          <w:numId w:val="0"/>
        </w:numPr>
        <w:ind w:left="1440"/>
        <w:rPr>
          <w:i/>
          <w:iCs/>
        </w:rPr>
      </w:pPr>
    </w:p>
    <w:p w14:paraId="6F58BDE0" w14:textId="4C2AB870" w:rsidR="00733A74" w:rsidRPr="00733A74" w:rsidRDefault="00733A74" w:rsidP="00733A74">
      <w:pPr>
        <w:pStyle w:val="Level1"/>
      </w:pPr>
      <w:r w:rsidRPr="00733A74">
        <w:lastRenderedPageBreak/>
        <w:t xml:space="preserve">The </w:t>
      </w:r>
      <w:r w:rsidR="00027AE6">
        <w:t xml:space="preserve">agreed </w:t>
      </w:r>
      <w:r w:rsidRPr="00733A74">
        <w:t>brief for this Study requires the following information and assessments to be provided:</w:t>
      </w:r>
    </w:p>
    <w:p w14:paraId="08D58DFF" w14:textId="1CA4FFAF" w:rsidR="00733A74" w:rsidRDefault="00683292" w:rsidP="006E57CC">
      <w:pPr>
        <w:pStyle w:val="ListBullet"/>
      </w:pPr>
      <w:r>
        <w:t xml:space="preserve">an analysis of recent/current </w:t>
      </w:r>
      <w:r w:rsidR="008F10F5">
        <w:t>retail trends</w:t>
      </w:r>
      <w:r>
        <w:t xml:space="preserve">, including </w:t>
      </w:r>
      <w:r w:rsidR="00134219">
        <w:t xml:space="preserve">changes in expected retail expenditure and </w:t>
      </w:r>
      <w:r>
        <w:t>the</w:t>
      </w:r>
      <w:r w:rsidR="00134219">
        <w:t xml:space="preserve"> on-going effects of</w:t>
      </w:r>
      <w:r>
        <w:t xml:space="preserve"> on-line retailing</w:t>
      </w:r>
      <w:r w:rsidR="00134219">
        <w:t xml:space="preserve"> / </w:t>
      </w:r>
      <w:r>
        <w:t>the impact of COVID-19</w:t>
      </w:r>
      <w:r w:rsidR="00A467F9">
        <w:t xml:space="preserve"> on shopping and leisure patterns</w:t>
      </w:r>
      <w:r>
        <w:t>.</w:t>
      </w:r>
    </w:p>
    <w:p w14:paraId="5D70A5DA" w14:textId="1855F83A" w:rsidR="00683292" w:rsidRDefault="00683292" w:rsidP="006E57CC">
      <w:pPr>
        <w:pStyle w:val="ListBullet"/>
      </w:pPr>
      <w:r>
        <w:t>an assessment of current shopping patterns for food and non-food goods</w:t>
      </w:r>
      <w:r w:rsidR="008E795F">
        <w:t xml:space="preserve">, along with the usage of food and beverage facilities, </w:t>
      </w:r>
      <w:r w:rsidR="00A467F9">
        <w:t>plus</w:t>
      </w:r>
      <w:r w:rsidR="008E795F">
        <w:t xml:space="preserve"> the three main town centres in Torbay.</w:t>
      </w:r>
    </w:p>
    <w:p w14:paraId="19374DC2" w14:textId="6AB43C19" w:rsidR="008E795F" w:rsidRDefault="008E795F" w:rsidP="006E57CC">
      <w:pPr>
        <w:pStyle w:val="ListBullet"/>
      </w:pPr>
      <w:r>
        <w:t xml:space="preserve">in order to inform future </w:t>
      </w:r>
      <w:proofErr w:type="gramStart"/>
      <w:r>
        <w:t>policy-making</w:t>
      </w:r>
      <w:proofErr w:type="gramEnd"/>
      <w:r>
        <w:t xml:space="preserve">, the provision of focused heath check reviews of the three main town centres in Torbay, along with </w:t>
      </w:r>
      <w:r w:rsidR="0098095F">
        <w:t>the three district centres</w:t>
      </w:r>
      <w:r w:rsidR="00A467F9">
        <w:t xml:space="preserve"> in Torquay and Paignton</w:t>
      </w:r>
      <w:r w:rsidR="00E6585A">
        <w:t>.</w:t>
      </w:r>
    </w:p>
    <w:p w14:paraId="212A1E01" w14:textId="1261FB6D" w:rsidR="00E6585A" w:rsidRDefault="00E6585A" w:rsidP="006E57CC">
      <w:pPr>
        <w:pStyle w:val="ListBullet"/>
      </w:pPr>
      <w:r>
        <w:t xml:space="preserve">an assessment of the </w:t>
      </w:r>
      <w:r w:rsidR="00A467F9">
        <w:t>‘</w:t>
      </w:r>
      <w:r>
        <w:t>need</w:t>
      </w:r>
      <w:r w:rsidR="00A467F9">
        <w:t>’</w:t>
      </w:r>
      <w:r>
        <w:t xml:space="preserve"> for food and non-food retail floorspace across the three main settlements in Torbay</w:t>
      </w:r>
      <w:r w:rsidR="00BC006B">
        <w:t xml:space="preserve"> (along with the quantitative need for food and beverage floorspace provision)</w:t>
      </w:r>
      <w:r>
        <w:t>.</w:t>
      </w:r>
    </w:p>
    <w:p w14:paraId="115127F9" w14:textId="7D96E82D" w:rsidR="00E6585A" w:rsidRPr="00D064CE" w:rsidRDefault="00E6585A" w:rsidP="006E57CC">
      <w:pPr>
        <w:pStyle w:val="ListBullet"/>
      </w:pPr>
      <w:r>
        <w:t xml:space="preserve">advice on the content of </w:t>
      </w:r>
      <w:r w:rsidRPr="00D064CE">
        <w:t xml:space="preserve">retail and town centre </w:t>
      </w:r>
      <w:r w:rsidR="00AD36E4" w:rsidRPr="00D064CE">
        <w:t>planning policies, in relation to proposals within or outside of defined ‘town centres’, including the approach to the new Class E use category and the provision of new local / neighbourhood centres.</w:t>
      </w:r>
    </w:p>
    <w:p w14:paraId="3C975E2A" w14:textId="103DF299" w:rsidR="0016190B" w:rsidRPr="00B44051" w:rsidRDefault="004531BF" w:rsidP="00733A74">
      <w:pPr>
        <w:pStyle w:val="Level1"/>
      </w:pPr>
      <w:r w:rsidRPr="00B44051">
        <w:t xml:space="preserve">The government introduced a significant </w:t>
      </w:r>
      <w:r w:rsidR="00BC006B">
        <w:t>amendment</w:t>
      </w:r>
      <w:r w:rsidRPr="00B44051">
        <w:t xml:space="preserve"> of use classes in September 2020, with the introduction of a single Class E use class, encompassing </w:t>
      </w:r>
      <w:r w:rsidR="00A87427" w:rsidRPr="00B44051">
        <w:t>most town centre and commercial uses.  This has significant implications for planning for town centres</w:t>
      </w:r>
      <w:r w:rsidR="00551560" w:rsidRPr="00B44051">
        <w:t xml:space="preserve">, which are examined in more detail in this document.  At the time of writing, it is too early to say what </w:t>
      </w:r>
      <w:r w:rsidR="007C3519" w:rsidRPr="00B44051">
        <w:t xml:space="preserve">polices </w:t>
      </w:r>
      <w:r w:rsidR="00D064CE" w:rsidRPr="00B44051">
        <w:t>the current</w:t>
      </w:r>
      <w:r w:rsidR="007C3519" w:rsidRPr="00B44051">
        <w:t xml:space="preserve"> government will follow on town </w:t>
      </w:r>
      <w:proofErr w:type="gramStart"/>
      <w:r w:rsidR="007C3519" w:rsidRPr="00B44051">
        <w:t>centres, and</w:t>
      </w:r>
      <w:proofErr w:type="gramEnd"/>
      <w:r w:rsidR="007C3519" w:rsidRPr="00B44051">
        <w:t xml:space="preserve"> planning more widely.  </w:t>
      </w:r>
      <w:r w:rsidR="006B75CD" w:rsidRPr="00B44051">
        <w:t xml:space="preserve">However, initial announcements point to </w:t>
      </w:r>
      <w:r w:rsidR="00052068" w:rsidRPr="00B44051">
        <w:t xml:space="preserve">significant deregulation </w:t>
      </w:r>
      <w:proofErr w:type="gramStart"/>
      <w:r w:rsidR="00052068" w:rsidRPr="00B44051">
        <w:t>in an attempt to</w:t>
      </w:r>
      <w:proofErr w:type="gramEnd"/>
      <w:r w:rsidR="00052068" w:rsidRPr="00B44051">
        <w:t xml:space="preserve"> boost economic growth.  </w:t>
      </w:r>
    </w:p>
    <w:p w14:paraId="199CE22F" w14:textId="4EC6D2F2" w:rsidR="00733A74" w:rsidRPr="00733A74" w:rsidRDefault="00733A74" w:rsidP="00733A74">
      <w:pPr>
        <w:pStyle w:val="Level1"/>
      </w:pPr>
      <w:proofErr w:type="gramStart"/>
      <w:r w:rsidRPr="00D064CE">
        <w:t>In order to</w:t>
      </w:r>
      <w:proofErr w:type="gramEnd"/>
      <w:r w:rsidRPr="00D064CE">
        <w:t xml:space="preserve"> address the requirements of the </w:t>
      </w:r>
      <w:r w:rsidR="00AE342F" w:rsidRPr="00D064CE">
        <w:t xml:space="preserve">agreed project </w:t>
      </w:r>
      <w:r w:rsidRPr="00D064CE">
        <w:t xml:space="preserve">brief, this Study provides a comprehensive review of the role and function of the main town </w:t>
      </w:r>
      <w:r w:rsidR="006E57CC" w:rsidRPr="00D064CE">
        <w:t xml:space="preserve">and district </w:t>
      </w:r>
      <w:r w:rsidRPr="00D064CE">
        <w:t xml:space="preserve">centres across </w:t>
      </w:r>
      <w:r w:rsidR="006E57CC" w:rsidRPr="00D064CE">
        <w:t xml:space="preserve">Torbay, </w:t>
      </w:r>
      <w:r w:rsidRPr="00D064CE">
        <w:t>along with a comprehensive review of current shopping patterns and</w:t>
      </w:r>
      <w:r w:rsidRPr="00733A74">
        <w:t xml:space="preserve"> trading performance of stores and centres over time.  </w:t>
      </w:r>
      <w:proofErr w:type="gramStart"/>
      <w:r w:rsidRPr="00733A74">
        <w:t>In order to</w:t>
      </w:r>
      <w:proofErr w:type="gramEnd"/>
      <w:r w:rsidRPr="00733A74">
        <w:t xml:space="preserve"> inform this assessment, two main pieces of empirical research have been undertaken:</w:t>
      </w:r>
    </w:p>
    <w:p w14:paraId="329DED28" w14:textId="3624E00D" w:rsidR="00733A74" w:rsidRPr="00733A74" w:rsidRDefault="00733A74" w:rsidP="006E57CC">
      <w:pPr>
        <w:pStyle w:val="ListBullet"/>
      </w:pPr>
      <w:r w:rsidRPr="00CC3EFA">
        <w:rPr>
          <w:u w:val="single"/>
        </w:rPr>
        <w:t>Land use surveys of the main town</w:t>
      </w:r>
      <w:r w:rsidR="00AE342F" w:rsidRPr="00CC3EFA">
        <w:rPr>
          <w:u w:val="single"/>
        </w:rPr>
        <w:t xml:space="preserve"> and</w:t>
      </w:r>
      <w:r w:rsidRPr="00CC3EFA">
        <w:rPr>
          <w:u w:val="single"/>
        </w:rPr>
        <w:t xml:space="preserve"> district</w:t>
      </w:r>
      <w:r w:rsidR="00AE342F" w:rsidRPr="00CC3EFA">
        <w:rPr>
          <w:u w:val="single"/>
        </w:rPr>
        <w:t xml:space="preserve"> </w:t>
      </w:r>
      <w:r w:rsidRPr="00CC3EFA">
        <w:rPr>
          <w:u w:val="single"/>
        </w:rPr>
        <w:t>centres</w:t>
      </w:r>
      <w:r w:rsidR="00AE342F">
        <w:t xml:space="preserve">.  </w:t>
      </w:r>
      <w:r w:rsidRPr="00733A74">
        <w:t xml:space="preserve">This has utilised </w:t>
      </w:r>
      <w:r w:rsidR="00AE342F">
        <w:t xml:space="preserve">raw land use </w:t>
      </w:r>
      <w:r w:rsidRPr="00733A74">
        <w:t xml:space="preserve">data </w:t>
      </w:r>
      <w:r w:rsidR="00AE342F">
        <w:t xml:space="preserve">collected by TC in 2021, which has then been </w:t>
      </w:r>
      <w:r w:rsidR="00334538">
        <w:t>analysed by AY to provide a summary of the main retail land use categories in each of the main centres.</w:t>
      </w:r>
    </w:p>
    <w:p w14:paraId="6F9FE754" w14:textId="53700DEE" w:rsidR="00733A74" w:rsidRPr="00511712" w:rsidRDefault="00334538" w:rsidP="006E57CC">
      <w:pPr>
        <w:pStyle w:val="ListBullet"/>
      </w:pPr>
      <w:r w:rsidRPr="00CC3EFA">
        <w:rPr>
          <w:u w:val="single"/>
        </w:rPr>
        <w:t>Shopping and leisure patterns</w:t>
      </w:r>
      <w:r w:rsidRPr="002F1CAE">
        <w:t>.  For the purposes of this Study, a</w:t>
      </w:r>
      <w:r w:rsidR="00733A74" w:rsidRPr="002F1CAE">
        <w:t xml:space="preserve"> new telephone survey of shopping </w:t>
      </w:r>
      <w:r w:rsidRPr="002F1CAE">
        <w:t xml:space="preserve">and leisure </w:t>
      </w:r>
      <w:r w:rsidR="00733A74" w:rsidRPr="002F1CAE">
        <w:t>patterns</w:t>
      </w:r>
      <w:r w:rsidRPr="002F1CAE">
        <w:t xml:space="preserve"> has been commissioned.  The survey has been undertaken by N</w:t>
      </w:r>
      <w:r w:rsidR="00733A74" w:rsidRPr="002F1CAE">
        <w:t xml:space="preserve">EMS Market Research in </w:t>
      </w:r>
      <w:r w:rsidR="002F1CAE" w:rsidRPr="002F1CAE">
        <w:t>January/February 2022</w:t>
      </w:r>
      <w:r w:rsidR="00733A74" w:rsidRPr="002F1CAE">
        <w:t xml:space="preserve">.  The survey has obtained information on convenience and </w:t>
      </w:r>
      <w:proofErr w:type="gramStart"/>
      <w:r w:rsidR="00733A74" w:rsidRPr="002F1CAE">
        <w:t>comparison goods shopping</w:t>
      </w:r>
      <w:proofErr w:type="gramEnd"/>
      <w:r w:rsidR="00733A74" w:rsidRPr="002F1CAE">
        <w:t xml:space="preserve"> patterns along with leisure activities</w:t>
      </w:r>
      <w:r w:rsidRPr="002F1CAE">
        <w:t xml:space="preserve"> and the usage of the main town centres.</w:t>
      </w:r>
      <w:r w:rsidR="002F1CAE" w:rsidRPr="002F1CAE">
        <w:t xml:space="preserve"> Further details regarding the survey can be found in Section 4 of this document.</w:t>
      </w:r>
    </w:p>
    <w:p w14:paraId="6734DACF" w14:textId="5FAC157B" w:rsidR="00733A74" w:rsidRPr="00511712" w:rsidRDefault="00733A74" w:rsidP="00733A74">
      <w:pPr>
        <w:pStyle w:val="Level1"/>
      </w:pPr>
      <w:r w:rsidRPr="00511712">
        <w:t xml:space="preserve">Throughout this Study references will be made to previous retail and town centres studies commissioned by </w:t>
      </w:r>
      <w:r w:rsidR="00334538" w:rsidRPr="00511712">
        <w:t xml:space="preserve">TC across </w:t>
      </w:r>
      <w:r w:rsidRPr="00511712">
        <w:t xml:space="preserve">the </w:t>
      </w:r>
      <w:r w:rsidR="00334538" w:rsidRPr="00511712">
        <w:t>Torbay area</w:t>
      </w:r>
      <w:r w:rsidRPr="00511712">
        <w:t xml:space="preserve">.  </w:t>
      </w:r>
      <w:r w:rsidR="00334538" w:rsidRPr="00511712">
        <w:t>These include</w:t>
      </w:r>
      <w:r w:rsidR="00FB0F47" w:rsidRPr="00511712">
        <w:t>:</w:t>
      </w:r>
    </w:p>
    <w:p w14:paraId="41CA23B8" w14:textId="77777777" w:rsidR="00511712" w:rsidRPr="00511712" w:rsidRDefault="00511712" w:rsidP="00FB0F47">
      <w:pPr>
        <w:pStyle w:val="ListBullet"/>
      </w:pPr>
      <w:r w:rsidRPr="00511712">
        <w:t>the Torbay Retail Study Update 2011; and</w:t>
      </w:r>
    </w:p>
    <w:p w14:paraId="67C0FAE7" w14:textId="77A496AD" w:rsidR="00FB0F47" w:rsidRPr="00511712" w:rsidRDefault="00511712" w:rsidP="00FB0F47">
      <w:pPr>
        <w:pStyle w:val="ListBullet"/>
      </w:pPr>
      <w:r w:rsidRPr="00511712">
        <w:t>the Torbay Retail Study Update 2013</w:t>
      </w:r>
      <w:r w:rsidRPr="00511712">
        <w:rPr>
          <w:rStyle w:val="FootnoteReference"/>
        </w:rPr>
        <w:footnoteReference w:id="2"/>
      </w:r>
      <w:r w:rsidRPr="00511712">
        <w:t>.</w:t>
      </w:r>
    </w:p>
    <w:p w14:paraId="3799A33E" w14:textId="5FEEE50D" w:rsidR="00865CB4" w:rsidRDefault="00733A74" w:rsidP="00733A74">
      <w:pPr>
        <w:pStyle w:val="Level1"/>
      </w:pPr>
      <w:r w:rsidRPr="00511712">
        <w:t>From the outset of this Study, it should be noted</w:t>
      </w:r>
      <w:r w:rsidRPr="00733A74">
        <w:t xml:space="preserve"> that </w:t>
      </w:r>
      <w:r w:rsidR="005C2BF4">
        <w:t xml:space="preserve">issues associated with town centre health and the usage of retail and leisure provision will have been </w:t>
      </w:r>
      <w:r w:rsidR="00C77F46">
        <w:t xml:space="preserve">influenced by </w:t>
      </w:r>
      <w:r w:rsidR="00865CB4">
        <w:t>t</w:t>
      </w:r>
      <w:r w:rsidRPr="00733A74">
        <w:t xml:space="preserve">he severe impact of the COVID-19 </w:t>
      </w:r>
      <w:r w:rsidRPr="00D064CE">
        <w:t>pandemic</w:t>
      </w:r>
      <w:r w:rsidR="006219C3" w:rsidRPr="00D064CE">
        <w:t xml:space="preserve">, </w:t>
      </w:r>
      <w:r w:rsidR="006219C3" w:rsidRPr="00B44051">
        <w:t>and subsequent Global events</w:t>
      </w:r>
      <w:r w:rsidRPr="00B44051">
        <w:t xml:space="preserve"> on</w:t>
      </w:r>
      <w:r w:rsidRPr="00D064CE">
        <w:t xml:space="preserve"> the UK</w:t>
      </w:r>
      <w:r w:rsidRPr="00733A74">
        <w:t xml:space="preserve"> economy</w:t>
      </w:r>
      <w:r w:rsidR="007615F8">
        <w:t xml:space="preserve"> (particularly in the latter part of 2022)</w:t>
      </w:r>
      <w:r w:rsidRPr="00733A74">
        <w:t xml:space="preserve">.  </w:t>
      </w:r>
      <w:r w:rsidR="00347884">
        <w:t xml:space="preserve">This will need to be </w:t>
      </w:r>
      <w:proofErr w:type="gramStart"/>
      <w:r w:rsidR="00347884">
        <w:t>taken into account</w:t>
      </w:r>
      <w:proofErr w:type="gramEnd"/>
      <w:r w:rsidR="00347884">
        <w:t xml:space="preserve"> when reading and understanding the contents and recommendations of this Study.</w:t>
      </w:r>
    </w:p>
    <w:p w14:paraId="71BB287D" w14:textId="017E5A82" w:rsidR="00733A74" w:rsidRDefault="00865CB4" w:rsidP="00865CB4">
      <w:pPr>
        <w:pStyle w:val="Level1"/>
      </w:pPr>
      <w:proofErr w:type="gramStart"/>
      <w:r>
        <w:lastRenderedPageBreak/>
        <w:t>A</w:t>
      </w:r>
      <w:r w:rsidR="00733A74" w:rsidRPr="00733A74">
        <w:t>ll of</w:t>
      </w:r>
      <w:proofErr w:type="gramEnd"/>
      <w:r w:rsidR="00733A74" w:rsidRPr="00733A74">
        <w:t xml:space="preserve"> the evidence base data for th</w:t>
      </w:r>
      <w:r>
        <w:t>is</w:t>
      </w:r>
      <w:r w:rsidR="00733A74" w:rsidRPr="00733A74">
        <w:t xml:space="preserve"> Study was collected </w:t>
      </w:r>
      <w:r>
        <w:t xml:space="preserve">after the ending of the latest set of </w:t>
      </w:r>
      <w:r w:rsidR="00733A74" w:rsidRPr="00733A74">
        <w:t>lockdown measures</w:t>
      </w:r>
      <w:r w:rsidR="007615F8">
        <w:t>,</w:t>
      </w:r>
      <w:r w:rsidR="00733A74" w:rsidRPr="00733A74">
        <w:t xml:space="preserve"> </w:t>
      </w:r>
      <w:r>
        <w:t xml:space="preserve">although the pandemic is </w:t>
      </w:r>
      <w:r w:rsidR="00733A74" w:rsidRPr="00733A74">
        <w:t xml:space="preserve">likely to have long-lasting effects on the UK economy and </w:t>
      </w:r>
      <w:r>
        <w:t xml:space="preserve">this should be borne in mind when considering the evidence base data for this Study.  </w:t>
      </w:r>
      <w:r w:rsidR="007615F8">
        <w:t xml:space="preserve">The same is true of the current period of economic turbulence in the UK economy.  </w:t>
      </w:r>
      <w:r>
        <w:t xml:space="preserve">Therefore, </w:t>
      </w:r>
      <w:r w:rsidR="00733A74" w:rsidRPr="00733A74">
        <w:t xml:space="preserve">there will be a need to </w:t>
      </w:r>
      <w:r>
        <w:t xml:space="preserve">keep the body of evidence base data under review and </w:t>
      </w:r>
      <w:r w:rsidR="00733A74" w:rsidRPr="00733A74">
        <w:t xml:space="preserve">consider </w:t>
      </w:r>
      <w:r>
        <w:t xml:space="preserve">whether any </w:t>
      </w:r>
      <w:r w:rsidR="00733A74" w:rsidRPr="00733A74">
        <w:t xml:space="preserve">updates to the health checks, economic forecasts and shopping patterns </w:t>
      </w:r>
      <w:r>
        <w:t>data would be warranted</w:t>
      </w:r>
      <w:r w:rsidR="007615F8">
        <w:t xml:space="preserve"> as the new Local Plan moves towards Submission for Examination</w:t>
      </w:r>
      <w:r w:rsidR="00733A74" w:rsidRPr="00733A74">
        <w:t>.</w:t>
      </w:r>
    </w:p>
    <w:p w14:paraId="340D35D4" w14:textId="77777777" w:rsidR="00733A74" w:rsidRPr="00733A74" w:rsidRDefault="00733A74" w:rsidP="00733A74">
      <w:pPr>
        <w:pStyle w:val="Level1"/>
      </w:pPr>
      <w:r w:rsidRPr="00733A74">
        <w:t>The remainder of this report is structured in the following manner:</w:t>
      </w:r>
    </w:p>
    <w:p w14:paraId="79D6C793" w14:textId="0AD6E247" w:rsidR="00733A74" w:rsidRPr="00733A74" w:rsidRDefault="00733A74" w:rsidP="002F1CAE">
      <w:pPr>
        <w:pStyle w:val="ListBullet"/>
      </w:pPr>
      <w:r w:rsidRPr="00733A74">
        <w:t xml:space="preserve">Section 2 provides a review of adopted and draft planning policy across </w:t>
      </w:r>
      <w:r w:rsidR="00865CB4">
        <w:t xml:space="preserve">Torbay </w:t>
      </w:r>
      <w:r w:rsidRPr="00733A74">
        <w:t>along with a summary of current national planning policy relation to retail and main town centre uses.</w:t>
      </w:r>
    </w:p>
    <w:p w14:paraId="3FB35022" w14:textId="77777777" w:rsidR="00733A74" w:rsidRPr="00733A74" w:rsidRDefault="00733A74" w:rsidP="002F1CAE">
      <w:pPr>
        <w:pStyle w:val="ListBullet"/>
      </w:pPr>
      <w:r w:rsidRPr="00733A74">
        <w:t>In Section 3 we provide a review of salient retail and town centre trends.</w:t>
      </w:r>
    </w:p>
    <w:p w14:paraId="5D15FA66" w14:textId="20BCB889" w:rsidR="00733A74" w:rsidRPr="00733A74" w:rsidRDefault="00733A74" w:rsidP="002F1CAE">
      <w:pPr>
        <w:pStyle w:val="ListBullet"/>
      </w:pPr>
      <w:r w:rsidRPr="00733A74">
        <w:t xml:space="preserve">Sections </w:t>
      </w:r>
      <w:r w:rsidR="00DD769E">
        <w:t xml:space="preserve">4 </w:t>
      </w:r>
      <w:r w:rsidRPr="00733A74">
        <w:t>provide</w:t>
      </w:r>
      <w:r w:rsidR="00DD769E">
        <w:t>s</w:t>
      </w:r>
      <w:r w:rsidRPr="00733A74">
        <w:t xml:space="preserve"> our review of town centre health </w:t>
      </w:r>
      <w:r w:rsidR="00DD769E">
        <w:t xml:space="preserve">issues </w:t>
      </w:r>
      <w:r w:rsidRPr="00733A74">
        <w:t xml:space="preserve">across </w:t>
      </w:r>
      <w:r w:rsidR="00DD769E">
        <w:t>the three town centres and the three district centres</w:t>
      </w:r>
      <w:r w:rsidRPr="00733A74">
        <w:t>.</w:t>
      </w:r>
    </w:p>
    <w:p w14:paraId="2F33F0ED" w14:textId="3DD7F3D4" w:rsidR="00733A74" w:rsidRDefault="00733A74" w:rsidP="002F1CAE">
      <w:pPr>
        <w:pStyle w:val="ListBullet"/>
      </w:pPr>
      <w:r w:rsidRPr="00733A74">
        <w:t xml:space="preserve">Section </w:t>
      </w:r>
      <w:r w:rsidR="00DD769E">
        <w:t>5</w:t>
      </w:r>
      <w:r w:rsidRPr="00733A74">
        <w:t xml:space="preserve"> provides our assessment of the quantitative and qualitative need for retail floorspace in </w:t>
      </w:r>
      <w:r w:rsidR="00DD769E">
        <w:t>Torquay, Paignton and Brixham</w:t>
      </w:r>
      <w:r w:rsidRPr="00733A74">
        <w:t>.</w:t>
      </w:r>
    </w:p>
    <w:p w14:paraId="20B1E256" w14:textId="06096292" w:rsidR="00DD769E" w:rsidRDefault="00600729" w:rsidP="002F1CAE">
      <w:pPr>
        <w:pStyle w:val="ListBullet"/>
      </w:pPr>
      <w:r>
        <w:t xml:space="preserve">Advice on development management policies </w:t>
      </w:r>
      <w:r w:rsidR="001A051D">
        <w:t>is contained in Section 6.</w:t>
      </w:r>
    </w:p>
    <w:p w14:paraId="02BDE5CF" w14:textId="540666F9" w:rsidR="00DD769E" w:rsidRDefault="00DD769E" w:rsidP="002F1CAE">
      <w:pPr>
        <w:pStyle w:val="ListBullet"/>
      </w:pPr>
      <w:r>
        <w:t>Fi</w:t>
      </w:r>
      <w:r w:rsidR="001A051D">
        <w:t>n</w:t>
      </w:r>
      <w:r>
        <w:t>ally</w:t>
      </w:r>
      <w:r w:rsidR="001A051D">
        <w:t>, a summary of the contents of this Study can be found in Section 7</w:t>
      </w:r>
      <w:r w:rsidR="006C20A7">
        <w:t>.</w:t>
      </w:r>
    </w:p>
    <w:p w14:paraId="53C7FEF7" w14:textId="7C25E754" w:rsidR="00733A74" w:rsidRPr="00733A74" w:rsidRDefault="00733A74" w:rsidP="00733A74">
      <w:pPr>
        <w:pStyle w:val="Level1"/>
      </w:pPr>
      <w:r w:rsidRPr="00733A74">
        <w:t>All plans, statistical information and other documentation referred to in the main text of this report can be found in appendices</w:t>
      </w:r>
      <w:r>
        <w:t xml:space="preserve"> contained at the rear of this document</w:t>
      </w:r>
      <w:r w:rsidRPr="00733A74">
        <w:t>.</w:t>
      </w:r>
    </w:p>
    <w:p w14:paraId="63760B55" w14:textId="070114C8" w:rsidR="00DF1338" w:rsidRDefault="00DF1338" w:rsidP="00733A74">
      <w:pPr>
        <w:pStyle w:val="Level1"/>
        <w:numPr>
          <w:ilvl w:val="0"/>
          <w:numId w:val="0"/>
        </w:numPr>
        <w:ind w:left="720"/>
      </w:pPr>
    </w:p>
    <w:p w14:paraId="42B15940" w14:textId="111810E1" w:rsidR="00E12887" w:rsidRDefault="00E12887">
      <w:pPr>
        <w:spacing w:after="160" w:line="259" w:lineRule="auto"/>
        <w:rPr>
          <w:rFonts w:ascii="Open Sans SemiBold" w:eastAsia="Open Sans" w:hAnsi="Open Sans SemiBold" w:cs="Times New Roman"/>
          <w:b/>
          <w:color w:val="000000" w:themeColor="text1"/>
          <w:sz w:val="32"/>
        </w:rPr>
      </w:pPr>
      <w:r>
        <w:br w:type="page"/>
      </w:r>
    </w:p>
    <w:p w14:paraId="634C440E" w14:textId="7906236C" w:rsidR="00E12887" w:rsidRDefault="00E12887" w:rsidP="00E12887">
      <w:pPr>
        <w:pStyle w:val="ListHeading1"/>
      </w:pPr>
      <w:bookmarkStart w:id="1" w:name="_Toc116897145"/>
      <w:r>
        <w:lastRenderedPageBreak/>
        <w:t>Planning Policy Context</w:t>
      </w:r>
      <w:bookmarkEnd w:id="1"/>
    </w:p>
    <w:p w14:paraId="62519335" w14:textId="58697BC1" w:rsidR="00BB1CF3" w:rsidRPr="00BB1CF3" w:rsidRDefault="00BB1CF3" w:rsidP="00BB1CF3">
      <w:pPr>
        <w:pStyle w:val="Level1"/>
        <w:numPr>
          <w:ilvl w:val="0"/>
          <w:numId w:val="0"/>
        </w:numPr>
        <w:ind w:left="720"/>
        <w:rPr>
          <w:rStyle w:val="Emphasis"/>
        </w:rPr>
      </w:pPr>
      <w:r>
        <w:rPr>
          <w:rStyle w:val="Emphasis"/>
        </w:rPr>
        <w:t>Introduction</w:t>
      </w:r>
    </w:p>
    <w:p w14:paraId="7B89E4B6" w14:textId="76742F90" w:rsidR="00E12887" w:rsidRDefault="00511712" w:rsidP="00E12887">
      <w:pPr>
        <w:pStyle w:val="Level1"/>
      </w:pPr>
      <w:r>
        <w:t>Since the</w:t>
      </w:r>
      <w:r w:rsidR="00D16B90">
        <w:t xml:space="preserve"> completion of the</w:t>
      </w:r>
      <w:r>
        <w:t xml:space="preserve"> most recent </w:t>
      </w:r>
      <w:r w:rsidR="00BB1CF3">
        <w:t xml:space="preserve">retail study in Torbay, TC has (in 2015) adopted the Torbay Local Plan 2012-2030 and new versions of the National Planning Policy Framework (‘NPPF’) have been published.  In addition, there have been a series of changes to the Use Classes Order and Permitted Development Rights which will affect retail and town centre planning issues.  </w:t>
      </w:r>
    </w:p>
    <w:p w14:paraId="5E5DE711" w14:textId="7BD44EC3" w:rsidR="00E12887" w:rsidRDefault="00867C09" w:rsidP="00E12887">
      <w:pPr>
        <w:pStyle w:val="Level1"/>
      </w:pPr>
      <w:r>
        <w:t>Each of the salient changes in planning policy and legislation, insofar as they relate to retail and town centre planning policy, are summarised in turn below.</w:t>
      </w:r>
    </w:p>
    <w:p w14:paraId="3D6778DD" w14:textId="165A08F8" w:rsidR="00BB1CF3" w:rsidRPr="00BB1CF3" w:rsidRDefault="00BB1CF3" w:rsidP="00BB1CF3">
      <w:pPr>
        <w:pStyle w:val="Level1"/>
        <w:numPr>
          <w:ilvl w:val="0"/>
          <w:numId w:val="0"/>
        </w:numPr>
        <w:ind w:left="720"/>
        <w:rPr>
          <w:rStyle w:val="Emphasis"/>
        </w:rPr>
      </w:pPr>
      <w:r>
        <w:rPr>
          <w:rStyle w:val="Emphasis"/>
        </w:rPr>
        <w:t>The Development Plan</w:t>
      </w:r>
    </w:p>
    <w:p w14:paraId="4FE67447" w14:textId="45BD7EB3" w:rsidR="00BB1CF3" w:rsidRDefault="004A6CC4" w:rsidP="00E12887">
      <w:pPr>
        <w:pStyle w:val="Level1"/>
      </w:pPr>
      <w:r>
        <w:t>The Torbay Local Plan 2012-2030 (‘the Local Plan’) was adopted in 2015 and comprises the main element of the current development plan for the local area.  Section 6 of the Local Plan contains five policies which deal with retail and town centre issues:</w:t>
      </w:r>
    </w:p>
    <w:p w14:paraId="11B26F0C" w14:textId="5D2E6856" w:rsidR="004A6CC4" w:rsidRDefault="004A6CC4" w:rsidP="004A6CC4">
      <w:pPr>
        <w:pStyle w:val="ListBullet"/>
      </w:pPr>
      <w:r w:rsidRPr="004A02F3">
        <w:rPr>
          <w:u w:val="single"/>
        </w:rPr>
        <w:t>TC1</w:t>
      </w:r>
      <w:r>
        <w:t xml:space="preserve">.  </w:t>
      </w:r>
      <w:r w:rsidR="00E56B9B">
        <w:t xml:space="preserve">This policy outlines the Council’s ‘town centres first’ approach to planning policy for retail and other key land uses and provides a strategic outline of the various measures which </w:t>
      </w:r>
      <w:r w:rsidR="00A55992">
        <w:t>are intended to maintain and enhance the vitality and viability of the three main town centres.</w:t>
      </w:r>
    </w:p>
    <w:p w14:paraId="32018581" w14:textId="77777777" w:rsidR="00927C19" w:rsidRDefault="00927C19" w:rsidP="00927C19">
      <w:pPr>
        <w:pStyle w:val="ListBullet"/>
        <w:numPr>
          <w:ilvl w:val="0"/>
          <w:numId w:val="0"/>
        </w:numPr>
        <w:ind w:left="1077"/>
      </w:pPr>
    </w:p>
    <w:p w14:paraId="7B226475" w14:textId="7F6B7369" w:rsidR="004A6CC4" w:rsidRDefault="004A6CC4" w:rsidP="004A6CC4">
      <w:pPr>
        <w:pStyle w:val="ListBullet"/>
      </w:pPr>
      <w:r w:rsidRPr="004A02F3">
        <w:rPr>
          <w:u w:val="single"/>
        </w:rPr>
        <w:t>TC2</w:t>
      </w:r>
      <w:r w:rsidR="00A55992">
        <w:t>.  Policy TC2 outlines the retail hierarchy in Torbay</w:t>
      </w:r>
      <w:r w:rsidR="006231A9">
        <w:t>, across four separate tiers: town, district, local and neighbourhood centres</w:t>
      </w:r>
      <w:r w:rsidR="00F77E70">
        <w:rPr>
          <w:rStyle w:val="FootnoteReference"/>
        </w:rPr>
        <w:footnoteReference w:id="3"/>
      </w:r>
      <w:r w:rsidR="006231A9">
        <w:t>.</w:t>
      </w:r>
    </w:p>
    <w:p w14:paraId="58378345" w14:textId="77777777" w:rsidR="00927C19" w:rsidRDefault="00927C19" w:rsidP="00927C19">
      <w:pPr>
        <w:pStyle w:val="ListBullet"/>
        <w:numPr>
          <w:ilvl w:val="0"/>
          <w:numId w:val="0"/>
        </w:numPr>
      </w:pPr>
    </w:p>
    <w:p w14:paraId="0384B514" w14:textId="4A8F7E37" w:rsidR="004A6CC4" w:rsidRDefault="004A6CC4" w:rsidP="004A6CC4">
      <w:pPr>
        <w:pStyle w:val="ListBullet"/>
      </w:pPr>
      <w:r w:rsidRPr="004A02F3">
        <w:rPr>
          <w:u w:val="single"/>
        </w:rPr>
        <w:t>TC3</w:t>
      </w:r>
      <w:r>
        <w:t>.</w:t>
      </w:r>
      <w:r w:rsidR="006231A9">
        <w:t xml:space="preserve">  This policy deals with </w:t>
      </w:r>
      <w:r w:rsidR="00615C62">
        <w:t xml:space="preserve">a </w:t>
      </w:r>
      <w:r w:rsidR="006231A9">
        <w:t>varied approach to assessing retail development proposals in different types of location across Torbay</w:t>
      </w:r>
      <w:r w:rsidR="00E610C3">
        <w:t xml:space="preserve">, including: (A) town centres; (B) district, local and neighbourhood centres (apart from The Willows); (C) retail development proposals in The Willows district centre; (D) retail development proposals located outside of defined centres; and (E) corner shops, village shops and isolated shops.  </w:t>
      </w:r>
      <w:r w:rsidR="00F77E70">
        <w:t xml:space="preserve">In line with previous versions of the development plan, it provides a bespoke approach to retail development proposals at The Willows district centre </w:t>
      </w:r>
      <w:proofErr w:type="gramStart"/>
      <w:r w:rsidR="00F77E70">
        <w:t>and also</w:t>
      </w:r>
      <w:proofErr w:type="gramEnd"/>
      <w:r w:rsidR="00F77E70">
        <w:t xml:space="preserve"> sets an impact assessment threshold of 500sq m gross for retail development proposals located outside of defined ‘town centres’ in the hierarchy.</w:t>
      </w:r>
    </w:p>
    <w:p w14:paraId="0E50080F" w14:textId="77777777" w:rsidR="00927C19" w:rsidRDefault="00927C19" w:rsidP="00927C19">
      <w:pPr>
        <w:pStyle w:val="ListBullet"/>
        <w:numPr>
          <w:ilvl w:val="0"/>
          <w:numId w:val="0"/>
        </w:numPr>
      </w:pPr>
    </w:p>
    <w:p w14:paraId="78CA1A8A" w14:textId="0DB0ACD4" w:rsidR="004A6CC4" w:rsidRDefault="004A6CC4" w:rsidP="004A6CC4">
      <w:pPr>
        <w:pStyle w:val="ListBullet"/>
      </w:pPr>
      <w:r w:rsidRPr="004A02F3">
        <w:rPr>
          <w:u w:val="single"/>
        </w:rPr>
        <w:t>TC4</w:t>
      </w:r>
      <w:r>
        <w:t>.</w:t>
      </w:r>
      <w:r w:rsidR="00F77E70">
        <w:t xml:space="preserve">  Policy TC4 deals with change of use proposals in the defined ‘town centres’, outline</w:t>
      </w:r>
      <w:r w:rsidR="00615C62">
        <w:t>s</w:t>
      </w:r>
      <w:r w:rsidR="00F77E70">
        <w:t xml:space="preserve"> general criteria for all change of use proposals </w:t>
      </w:r>
      <w:proofErr w:type="gramStart"/>
      <w:r w:rsidR="00F77E70">
        <w:t>and also</w:t>
      </w:r>
      <w:proofErr w:type="gramEnd"/>
      <w:r w:rsidR="00F77E70">
        <w:t xml:space="preserve"> specific criteria for proposals within the defined primary and secondary frontages.</w:t>
      </w:r>
    </w:p>
    <w:p w14:paraId="4A19267C" w14:textId="77777777" w:rsidR="00927C19" w:rsidRDefault="00927C19" w:rsidP="00927C19">
      <w:pPr>
        <w:pStyle w:val="ListBullet"/>
        <w:numPr>
          <w:ilvl w:val="0"/>
          <w:numId w:val="0"/>
        </w:numPr>
      </w:pPr>
    </w:p>
    <w:p w14:paraId="2B3FDD1E" w14:textId="1987B7E4" w:rsidR="004A6CC4" w:rsidRDefault="004A6CC4" w:rsidP="004A6CC4">
      <w:pPr>
        <w:pStyle w:val="ListBullet"/>
      </w:pPr>
      <w:r w:rsidRPr="004A02F3">
        <w:rPr>
          <w:u w:val="single"/>
        </w:rPr>
        <w:t>TC5</w:t>
      </w:r>
      <w:r>
        <w:t>.</w:t>
      </w:r>
      <w:r w:rsidR="00F77E70">
        <w:t xml:space="preserve">  This policy deals with the evening and night-time economy</w:t>
      </w:r>
      <w:r w:rsidR="00927C19">
        <w:t>, providing support for development that helps create a vibrant diverse evening and night-time economy, subject to compliance with a series of criteria.</w:t>
      </w:r>
    </w:p>
    <w:p w14:paraId="052CEF99" w14:textId="4DC722AD" w:rsidR="004A6CC4" w:rsidRDefault="00F27B7E" w:rsidP="00E12887">
      <w:pPr>
        <w:pStyle w:val="Level1"/>
      </w:pPr>
      <w:r>
        <w:t>In addition to the above general development management policies, the Local Plan contains individual policies for each of the three town centres (SDT2, SDP2 and SDB2).  Each policy sets out a strategy for each individual town centre, identifying key redevelopment sites:</w:t>
      </w:r>
    </w:p>
    <w:p w14:paraId="6B8A20C2" w14:textId="15727FB2" w:rsidR="00F27B7E" w:rsidRDefault="00F27B7E" w:rsidP="00F27B7E">
      <w:pPr>
        <w:pStyle w:val="ListBullet"/>
      </w:pPr>
      <w:r w:rsidRPr="004A02F3">
        <w:rPr>
          <w:u w:val="single"/>
        </w:rPr>
        <w:t>Torquay town centre</w:t>
      </w:r>
      <w:r>
        <w:t>:</w:t>
      </w:r>
    </w:p>
    <w:p w14:paraId="64999DE3" w14:textId="723629B2" w:rsidR="00F27B7E" w:rsidRDefault="005F1243" w:rsidP="00F27B7E">
      <w:pPr>
        <w:pStyle w:val="ListBullet"/>
        <w:numPr>
          <w:ilvl w:val="1"/>
          <w:numId w:val="5"/>
        </w:numPr>
      </w:pPr>
      <w:r>
        <w:t>Lower Union Street area</w:t>
      </w:r>
    </w:p>
    <w:p w14:paraId="22EA86C7" w14:textId="13783417" w:rsidR="005F1243" w:rsidRDefault="005F1243" w:rsidP="00F27B7E">
      <w:pPr>
        <w:pStyle w:val="ListBullet"/>
        <w:numPr>
          <w:ilvl w:val="1"/>
          <w:numId w:val="5"/>
        </w:numPr>
      </w:pPr>
      <w:r>
        <w:t>Town Hall car park</w:t>
      </w:r>
    </w:p>
    <w:p w14:paraId="05730E68" w14:textId="77777777" w:rsidR="005F1243" w:rsidRDefault="005F1243" w:rsidP="005F1243">
      <w:pPr>
        <w:pStyle w:val="ListBullet"/>
        <w:numPr>
          <w:ilvl w:val="0"/>
          <w:numId w:val="0"/>
        </w:numPr>
        <w:ind w:left="1440"/>
      </w:pPr>
    </w:p>
    <w:p w14:paraId="4A859381" w14:textId="7C3BC31A" w:rsidR="00F27B7E" w:rsidRPr="004A02F3" w:rsidRDefault="00F27B7E" w:rsidP="00F27B7E">
      <w:pPr>
        <w:pStyle w:val="ListBullet"/>
        <w:rPr>
          <w:u w:val="single"/>
        </w:rPr>
      </w:pPr>
      <w:r w:rsidRPr="004A02F3">
        <w:rPr>
          <w:u w:val="single"/>
        </w:rPr>
        <w:lastRenderedPageBreak/>
        <w:t>Paignton town centre:</w:t>
      </w:r>
    </w:p>
    <w:p w14:paraId="1BB8C3D8" w14:textId="5E8C561C" w:rsidR="00F27B7E" w:rsidRDefault="00F27B7E" w:rsidP="00F27B7E">
      <w:pPr>
        <w:pStyle w:val="ListBullet"/>
        <w:numPr>
          <w:ilvl w:val="1"/>
          <w:numId w:val="5"/>
        </w:numPr>
      </w:pPr>
      <w:proofErr w:type="gramStart"/>
      <w:r>
        <w:t>Crossways</w:t>
      </w:r>
      <w:proofErr w:type="gramEnd"/>
      <w:r>
        <w:t xml:space="preserve"> shopping centre</w:t>
      </w:r>
    </w:p>
    <w:p w14:paraId="48D05D7E" w14:textId="173C8BCD" w:rsidR="00F27B7E" w:rsidRDefault="00F27B7E" w:rsidP="00F27B7E">
      <w:pPr>
        <w:pStyle w:val="ListBullet"/>
        <w:numPr>
          <w:ilvl w:val="1"/>
          <w:numId w:val="5"/>
        </w:numPr>
      </w:pPr>
      <w:r>
        <w:t>Victoria Square multi-storey car park</w:t>
      </w:r>
    </w:p>
    <w:p w14:paraId="08CBEC73" w14:textId="216DC40B" w:rsidR="00F27B7E" w:rsidRDefault="00F27B7E" w:rsidP="00F27B7E">
      <w:pPr>
        <w:pStyle w:val="ListBullet"/>
        <w:numPr>
          <w:ilvl w:val="1"/>
          <w:numId w:val="5"/>
        </w:numPr>
      </w:pPr>
      <w:r>
        <w:t>Corner of Hyde Road and Torbay Road</w:t>
      </w:r>
    </w:p>
    <w:p w14:paraId="0B06A8C0" w14:textId="5E70C266" w:rsidR="00F27B7E" w:rsidRDefault="00F27B7E" w:rsidP="00F27B7E">
      <w:pPr>
        <w:pStyle w:val="ListBullet"/>
        <w:numPr>
          <w:ilvl w:val="1"/>
          <w:numId w:val="5"/>
        </w:numPr>
      </w:pPr>
      <w:r>
        <w:t>Paignton Harbour</w:t>
      </w:r>
    </w:p>
    <w:p w14:paraId="26DEB9F8" w14:textId="30E8BD31" w:rsidR="002A7F27" w:rsidRDefault="002A7F27" w:rsidP="00F27B7E">
      <w:pPr>
        <w:pStyle w:val="ListBullet"/>
        <w:numPr>
          <w:ilvl w:val="1"/>
          <w:numId w:val="5"/>
        </w:numPr>
      </w:pPr>
      <w:r>
        <w:t>Station Lane / Great Western car park</w:t>
      </w:r>
    </w:p>
    <w:p w14:paraId="6BAEC2A9" w14:textId="77777777" w:rsidR="002A7F27" w:rsidRDefault="002A7F27" w:rsidP="002A7F27">
      <w:pPr>
        <w:pStyle w:val="ListBullet"/>
        <w:numPr>
          <w:ilvl w:val="0"/>
          <w:numId w:val="0"/>
        </w:numPr>
        <w:ind w:left="1440"/>
      </w:pPr>
    </w:p>
    <w:p w14:paraId="2A9A4759" w14:textId="219B0226" w:rsidR="00F27B7E" w:rsidRDefault="00F27B7E" w:rsidP="00F27B7E">
      <w:pPr>
        <w:pStyle w:val="ListBullet"/>
      </w:pPr>
      <w:r w:rsidRPr="004A02F3">
        <w:rPr>
          <w:u w:val="single"/>
        </w:rPr>
        <w:t>Brixham town centre</w:t>
      </w:r>
      <w:r>
        <w:t>:</w:t>
      </w:r>
    </w:p>
    <w:p w14:paraId="52AE2400" w14:textId="42BB52B0" w:rsidR="00F27B7E" w:rsidRDefault="00F27B7E" w:rsidP="00F27B7E">
      <w:pPr>
        <w:pStyle w:val="ListBullet"/>
        <w:numPr>
          <w:ilvl w:val="1"/>
          <w:numId w:val="5"/>
        </w:numPr>
      </w:pPr>
      <w:r>
        <w:t xml:space="preserve">general policy promoting retail, residential and other main town centre uses, with the Middle </w:t>
      </w:r>
      <w:proofErr w:type="gramStart"/>
      <w:r>
        <w:t>Street car</w:t>
      </w:r>
      <w:proofErr w:type="gramEnd"/>
      <w:r>
        <w:t xml:space="preserve"> park specifically mentioned as a key opportunity</w:t>
      </w:r>
      <w:r>
        <w:rPr>
          <w:rStyle w:val="FootnoteReference"/>
        </w:rPr>
        <w:footnoteReference w:id="4"/>
      </w:r>
      <w:r>
        <w:t>.</w:t>
      </w:r>
    </w:p>
    <w:p w14:paraId="7793E39F" w14:textId="66FFA6E5" w:rsidR="0011377D" w:rsidRDefault="006840D2" w:rsidP="002F1CAE">
      <w:pPr>
        <w:pStyle w:val="Level1"/>
      </w:pPr>
      <w:r>
        <w:t xml:space="preserve">Within each of the main town and district centres, the Local Plan policies map </w:t>
      </w:r>
      <w:r w:rsidR="00CE0E94">
        <w:t>defines a series of boundaries and frontages.  These are described in Section 4 of this document, as a starting point for a further discussion over potential changes to these boundaries in Section 6.</w:t>
      </w:r>
    </w:p>
    <w:p w14:paraId="79F2D850" w14:textId="10BB2C01" w:rsidR="00E12887" w:rsidRPr="00867C09" w:rsidRDefault="00E12887" w:rsidP="00E12887">
      <w:pPr>
        <w:pStyle w:val="Level1"/>
        <w:numPr>
          <w:ilvl w:val="0"/>
          <w:numId w:val="0"/>
        </w:numPr>
        <w:ind w:left="720"/>
        <w:rPr>
          <w:rStyle w:val="Emphasis"/>
        </w:rPr>
      </w:pPr>
      <w:r w:rsidRPr="00867C09">
        <w:rPr>
          <w:rStyle w:val="Emphasis"/>
        </w:rPr>
        <w:t>The National Planning Policy Framework (‘NPPF’) (July 2021)</w:t>
      </w:r>
    </w:p>
    <w:p w14:paraId="746160E2" w14:textId="2115C372" w:rsidR="00E12887" w:rsidRPr="00E12887" w:rsidRDefault="00E12887" w:rsidP="00E12887">
      <w:pPr>
        <w:pStyle w:val="Level1"/>
      </w:pPr>
      <w:r w:rsidRPr="00E12887">
        <w:t>At the time of the 201</w:t>
      </w:r>
      <w:r w:rsidR="00733A74">
        <w:t>3</w:t>
      </w:r>
      <w:r w:rsidRPr="00E12887">
        <w:t xml:space="preserve"> study, the original 2012 version of the NPPF was the main source of national planning policy</w:t>
      </w:r>
      <w:r w:rsidR="00AE3931">
        <w:t xml:space="preserve"> on retail and town centre planning matters</w:t>
      </w:r>
      <w:r w:rsidRPr="00E12887">
        <w:t xml:space="preserve">.  However, the NPPF has since been revised and updated in February 2019 and July 2021.  Therefore, it is important to record the changes in national policy since the completion of previous evidence base documents in order that it can inform advice on local development plan retail and town centre planning policies for the new development plan in </w:t>
      </w:r>
      <w:r w:rsidR="00CE577D">
        <w:t>Torbay</w:t>
      </w:r>
      <w:r w:rsidRPr="00E12887">
        <w:t>.</w:t>
      </w:r>
    </w:p>
    <w:p w14:paraId="56CEA6A0" w14:textId="1E47EF51" w:rsidR="00E12887" w:rsidRPr="00E12887" w:rsidRDefault="00E12887" w:rsidP="00E12887">
      <w:pPr>
        <w:pStyle w:val="Level1"/>
      </w:pPr>
      <w:r w:rsidRPr="00E12887">
        <w:t xml:space="preserve">The changes between the </w:t>
      </w:r>
      <w:r w:rsidRPr="00D064CE">
        <w:t>2012 and 201</w:t>
      </w:r>
      <w:r w:rsidR="001A031A" w:rsidRPr="00B44051">
        <w:t>8</w:t>
      </w:r>
      <w:r w:rsidRPr="00D064CE">
        <w:t>/2019</w:t>
      </w:r>
      <w:r w:rsidR="00993702" w:rsidRPr="00D064CE">
        <w:t>/</w:t>
      </w:r>
      <w:r w:rsidR="00993702" w:rsidRPr="00B44051">
        <w:t>2021</w:t>
      </w:r>
      <w:r w:rsidRPr="00D064CE">
        <w:t xml:space="preserve"> versions</w:t>
      </w:r>
      <w:r w:rsidRPr="00E12887">
        <w:t xml:space="preserve"> of the NPPF, insofar as they relate to retail and town centre issues, are as follows:</w:t>
      </w:r>
    </w:p>
    <w:p w14:paraId="50DB30F3" w14:textId="0DAFAF48" w:rsidR="00E12887" w:rsidRPr="00E12887" w:rsidRDefault="00E12887" w:rsidP="001966F4">
      <w:pPr>
        <w:pStyle w:val="ListBullet"/>
      </w:pPr>
      <w:r w:rsidRPr="00E12887">
        <w:t xml:space="preserve">Whilst the two main policy tests for proposals outside of town centres (and not in accordance with an </w:t>
      </w:r>
      <w:proofErr w:type="gramStart"/>
      <w:r w:rsidRPr="00E12887">
        <w:t>up to date</w:t>
      </w:r>
      <w:proofErr w:type="gramEnd"/>
      <w:r w:rsidRPr="00E12887">
        <w:t xml:space="preserve"> development plan) remain the sequential and impact tests, the updated versions of the NPPF ha</w:t>
      </w:r>
      <w:r w:rsidR="005D6B5C">
        <w:t>ve</w:t>
      </w:r>
      <w:r w:rsidRPr="00E12887">
        <w:t xml:space="preserve"> clarified the issue of </w:t>
      </w:r>
      <w:r w:rsidR="005D6B5C">
        <w:t>‘</w:t>
      </w:r>
      <w:r w:rsidRPr="00E12887">
        <w:t>availability</w:t>
      </w:r>
      <w:r w:rsidR="005D6B5C">
        <w:t>’</w:t>
      </w:r>
      <w:r w:rsidRPr="00E12887">
        <w:t xml:space="preserve"> of alternative sites (in the sequential test) as being available within ‘a reasonable period of time’.  However, there is no definition (or guidance) as to what is ‘a reasonable period of time’ in the context of proposals for main town centre uses</w:t>
      </w:r>
      <w:r w:rsidR="005D6B5C">
        <w:rPr>
          <w:rStyle w:val="FootnoteReference"/>
        </w:rPr>
        <w:footnoteReference w:id="5"/>
      </w:r>
      <w:r w:rsidRPr="00E12887">
        <w:t>.</w:t>
      </w:r>
    </w:p>
    <w:p w14:paraId="03F1B88B" w14:textId="77777777" w:rsidR="00E12887" w:rsidRPr="00E12887" w:rsidRDefault="00E12887" w:rsidP="001966F4">
      <w:pPr>
        <w:pStyle w:val="ListBullet"/>
      </w:pPr>
      <w:r w:rsidRPr="00E12887">
        <w:t>The revisions to the NPPF have deleted the formal requirement for local authorities to define primary and secondary retail frontages in development plan.  The latest NPPF still requires local authorities to define town centre boundaries and primary shopping areas.</w:t>
      </w:r>
    </w:p>
    <w:p w14:paraId="6B414CF0" w14:textId="77777777" w:rsidR="00E12887" w:rsidRPr="00E12887" w:rsidRDefault="00E12887" w:rsidP="001966F4">
      <w:pPr>
        <w:pStyle w:val="ListBullet"/>
      </w:pPr>
      <w:r w:rsidRPr="00E12887">
        <w:t>Whilst the requirement to allocate sites to meet identified needs remains, the revised NPPF indicates that this should be at least ten years ahead, rather than the full plan period as previously advised.</w:t>
      </w:r>
    </w:p>
    <w:p w14:paraId="433185FA" w14:textId="77777777" w:rsidR="00E12887" w:rsidRPr="00E12887" w:rsidRDefault="00E12887" w:rsidP="001966F4">
      <w:pPr>
        <w:pStyle w:val="ListBullet"/>
      </w:pPr>
      <w:r w:rsidRPr="00E12887">
        <w:t>The revised NPPF does not now provide any guidance on how ‘needs’ should be assessed for main town centre uses (previously quantitative and qualitative indicators were cited).</w:t>
      </w:r>
    </w:p>
    <w:p w14:paraId="01F20FF7" w14:textId="77777777" w:rsidR="00E12887" w:rsidRPr="00E12887" w:rsidRDefault="00E12887" w:rsidP="00E12887">
      <w:pPr>
        <w:pStyle w:val="Level1"/>
      </w:pPr>
      <w:r w:rsidRPr="00E12887">
        <w:t xml:space="preserve">Finally, the one notable amendment in the July 2021 version of the NPPF is the revision to national policy on Article 4 Directions.  The existence of Article 4 Directions has been in place for some </w:t>
      </w:r>
      <w:proofErr w:type="gramStart"/>
      <w:r w:rsidRPr="00E12887">
        <w:t>time</w:t>
      </w:r>
      <w:proofErr w:type="gramEnd"/>
      <w:r w:rsidRPr="00E12887">
        <w:t xml:space="preserve"> and they are used to restrict permitted development rights in certain specific instances, across a range of land uses and for various different reasons.  The revised version of paragraph 53 of the NPPF notes that:</w:t>
      </w:r>
    </w:p>
    <w:p w14:paraId="3E5B2842" w14:textId="77777777" w:rsidR="00E12887" w:rsidRPr="00D26938" w:rsidRDefault="00E12887" w:rsidP="00D26938">
      <w:pPr>
        <w:pStyle w:val="Level1"/>
        <w:numPr>
          <w:ilvl w:val="0"/>
          <w:numId w:val="0"/>
        </w:numPr>
        <w:ind w:left="1077"/>
        <w:rPr>
          <w:i/>
          <w:iCs/>
        </w:rPr>
      </w:pPr>
      <w:r w:rsidRPr="00D26938">
        <w:rPr>
          <w:i/>
          <w:iCs/>
        </w:rPr>
        <w:lastRenderedPageBreak/>
        <w:t>“The use of Article 4 directions to remove national permitted development rights should:</w:t>
      </w:r>
    </w:p>
    <w:p w14:paraId="4A24484A" w14:textId="77777777" w:rsidR="00E12887" w:rsidRPr="00D26938" w:rsidRDefault="00E12887" w:rsidP="00D26938">
      <w:pPr>
        <w:pStyle w:val="ListBullet"/>
        <w:tabs>
          <w:tab w:val="clear" w:pos="720"/>
          <w:tab w:val="num" w:pos="1077"/>
        </w:tabs>
        <w:ind w:left="1434"/>
        <w:rPr>
          <w:i/>
          <w:iCs/>
        </w:rPr>
      </w:pPr>
      <w:r w:rsidRPr="00D26938">
        <w:rPr>
          <w:i/>
          <w:iCs/>
        </w:rPr>
        <w:t xml:space="preserve">where they relate to change from non-residential use to residential use, be limited to situations where an </w:t>
      </w:r>
      <w:proofErr w:type="gramStart"/>
      <w:r w:rsidRPr="00D26938">
        <w:rPr>
          <w:i/>
          <w:iCs/>
        </w:rPr>
        <w:t>Article</w:t>
      </w:r>
      <w:proofErr w:type="gramEnd"/>
      <w:r w:rsidRPr="00D26938">
        <w:rPr>
          <w:i/>
          <w:iCs/>
        </w:rPr>
        <w:t xml:space="preserve"> 4 direction is necessary to avoid wholly unacceptable adverse impacts (this could include the loss of the essential core of a primary shopping area which would seriously undermine its vitality and viability, but would be very unlikely to extend to the whole of a town centre)</w:t>
      </w:r>
    </w:p>
    <w:p w14:paraId="6CF62755" w14:textId="77777777" w:rsidR="00E12887" w:rsidRPr="00D26938" w:rsidRDefault="00E12887" w:rsidP="00D26938">
      <w:pPr>
        <w:pStyle w:val="ListBullet"/>
        <w:tabs>
          <w:tab w:val="clear" w:pos="720"/>
          <w:tab w:val="num" w:pos="1077"/>
        </w:tabs>
        <w:ind w:left="1434"/>
        <w:rPr>
          <w:i/>
          <w:iCs/>
        </w:rPr>
      </w:pPr>
      <w:r w:rsidRPr="00D26938">
        <w:rPr>
          <w:i/>
          <w:iCs/>
        </w:rPr>
        <w:t xml:space="preserve">in other cases, be limited to situations where an </w:t>
      </w:r>
      <w:proofErr w:type="gramStart"/>
      <w:r w:rsidRPr="00D26938">
        <w:rPr>
          <w:i/>
          <w:iCs/>
        </w:rPr>
        <w:t>Article</w:t>
      </w:r>
      <w:proofErr w:type="gramEnd"/>
      <w:r w:rsidRPr="00D26938">
        <w:rPr>
          <w:i/>
          <w:iCs/>
        </w:rPr>
        <w:t xml:space="preserve"> 4 direction is necessary to protect local amenity or the well-being of the area (this could include the use of Article 4 directions to require planning permission for the demolition of local facilities)</w:t>
      </w:r>
    </w:p>
    <w:p w14:paraId="3A4FC9A9" w14:textId="77777777" w:rsidR="00E12887" w:rsidRPr="00D26938" w:rsidRDefault="00E12887" w:rsidP="00D26938">
      <w:pPr>
        <w:pStyle w:val="ListBullet"/>
        <w:tabs>
          <w:tab w:val="clear" w:pos="720"/>
          <w:tab w:val="num" w:pos="1077"/>
        </w:tabs>
        <w:ind w:left="1434"/>
        <w:rPr>
          <w:i/>
          <w:iCs/>
        </w:rPr>
      </w:pPr>
      <w:r w:rsidRPr="00D26938">
        <w:rPr>
          <w:i/>
          <w:iCs/>
        </w:rPr>
        <w:t>in all cases, be based on robust evidence, and apply to the smallest geographical area possible”.</w:t>
      </w:r>
    </w:p>
    <w:p w14:paraId="49EB36A0" w14:textId="0BEE6C58" w:rsidR="00E12887" w:rsidRDefault="00E12887" w:rsidP="00E12887">
      <w:pPr>
        <w:pStyle w:val="Level1"/>
      </w:pPr>
      <w:r w:rsidRPr="00E12887">
        <w:t>The updated policy does not loosen the tight controls over the imposition of Article 4 Directions, although given the changes to the use classes order and permitted development rights (see later in this section), the government has acknowledged that Directions may be appropriate in focused parts of certain town centres where the loss of certain main town centre / Class E uses would undermine town centre health.</w:t>
      </w:r>
    </w:p>
    <w:p w14:paraId="5F9B6394" w14:textId="77777777" w:rsidR="00E12887" w:rsidRPr="00380248" w:rsidRDefault="00E12887" w:rsidP="00380248">
      <w:pPr>
        <w:pStyle w:val="Level1"/>
        <w:numPr>
          <w:ilvl w:val="0"/>
          <w:numId w:val="0"/>
        </w:numPr>
        <w:ind w:left="720"/>
        <w:rPr>
          <w:rStyle w:val="Emphasis"/>
        </w:rPr>
      </w:pPr>
      <w:r w:rsidRPr="00380248">
        <w:rPr>
          <w:rStyle w:val="Emphasis"/>
        </w:rPr>
        <w:t>National Planning Practice Guidance (‘NPPG’)</w:t>
      </w:r>
    </w:p>
    <w:p w14:paraId="6747FB3B" w14:textId="473D6F5D" w:rsidR="00E12887" w:rsidRDefault="00E12887" w:rsidP="00E12887">
      <w:pPr>
        <w:pStyle w:val="Level1"/>
      </w:pPr>
      <w:r w:rsidRPr="00E12887">
        <w:t xml:space="preserve">Following initial publication in 2014, the NPPG on town centre planning policy was updated in July 2019 and again in September 2020.  The latest version sets out the recommended content of town centre strategies, the indicators which are useful for planning for town centres and high streets, the permitted development rights which are available in relation to main town centre uses </w:t>
      </w:r>
      <w:proofErr w:type="gramStart"/>
      <w:r w:rsidRPr="00E12887">
        <w:t>and also</w:t>
      </w:r>
      <w:proofErr w:type="gramEnd"/>
      <w:r w:rsidRPr="00E12887">
        <w:t xml:space="preserve"> how local authorities should approach the application of the sequential and impact tests in terms of both plan making and development management issues.  </w:t>
      </w:r>
      <w:r w:rsidR="00687B53">
        <w:t xml:space="preserve">It also deals with how local authorities should approach the issue of primary and secondary </w:t>
      </w:r>
      <w:r w:rsidR="00DC03DC">
        <w:t>shopping frontages (</w:t>
      </w:r>
      <w:proofErr w:type="gramStart"/>
      <w:r w:rsidR="00DC03DC">
        <w:t>in light of</w:t>
      </w:r>
      <w:proofErr w:type="gramEnd"/>
      <w:r w:rsidR="00DC03DC">
        <w:t xml:space="preserve"> the changes to the NPPF).</w:t>
      </w:r>
    </w:p>
    <w:p w14:paraId="2E98467F" w14:textId="703A9EA0" w:rsidR="00E12887" w:rsidRPr="00E12887" w:rsidRDefault="00E12887" w:rsidP="007B3409">
      <w:pPr>
        <w:pStyle w:val="Level1"/>
        <w:numPr>
          <w:ilvl w:val="0"/>
          <w:numId w:val="0"/>
        </w:numPr>
        <w:ind w:left="720"/>
        <w:rPr>
          <w:i/>
          <w:iCs/>
        </w:rPr>
      </w:pPr>
      <w:r w:rsidRPr="007B3409">
        <w:rPr>
          <w:rStyle w:val="Emphasis"/>
        </w:rPr>
        <w:t>Other Considerations</w:t>
      </w:r>
      <w:r w:rsidR="007B3409" w:rsidRPr="007B3409">
        <w:rPr>
          <w:rStyle w:val="Emphasis"/>
        </w:rPr>
        <w:t xml:space="preserve"> (Legislative Changes)</w:t>
      </w:r>
      <w:r w:rsidR="007B3409">
        <w:rPr>
          <w:rStyle w:val="Emphasis"/>
        </w:rPr>
        <w:t xml:space="preserve"> - </w:t>
      </w:r>
      <w:r w:rsidRPr="00E12887">
        <w:rPr>
          <w:i/>
          <w:iCs/>
        </w:rPr>
        <w:t>Permitted Development and the Use Classes Order</w:t>
      </w:r>
    </w:p>
    <w:p w14:paraId="22D53381" w14:textId="38554B32" w:rsidR="00E12887" w:rsidRPr="00E12887" w:rsidRDefault="00E12887" w:rsidP="00E12887">
      <w:pPr>
        <w:pStyle w:val="Level1"/>
      </w:pPr>
      <w:r w:rsidRPr="00E12887">
        <w:t xml:space="preserve">In recent years, in response to the on-going challenges faced by town centres and high street retailers (and other commercial uses), national government has introduced more flexibility into the permitted development rights system.  Permitted development has long been an element of the planning system in England although, over time, further flexibility </w:t>
      </w:r>
      <w:r w:rsidR="00F61921">
        <w:t>h</w:t>
      </w:r>
      <w:r w:rsidRPr="00E12887">
        <w:t xml:space="preserve">as been introduced </w:t>
      </w:r>
      <w:proofErr w:type="gramStart"/>
      <w:r w:rsidRPr="00E12887">
        <w:t>in order to</w:t>
      </w:r>
      <w:proofErr w:type="gramEnd"/>
      <w:r w:rsidRPr="00E12887">
        <w:t xml:space="preserve"> allow for changes, in certain circumstances, between some main town centre land use classes.</w:t>
      </w:r>
    </w:p>
    <w:p w14:paraId="6825ACA2" w14:textId="5F0108A6" w:rsidR="00E12887" w:rsidRPr="00E12887" w:rsidRDefault="00E12887" w:rsidP="00E12887">
      <w:pPr>
        <w:pStyle w:val="Level1"/>
      </w:pPr>
      <w:r w:rsidRPr="00E12887">
        <w:t>Since the 201</w:t>
      </w:r>
      <w:r w:rsidR="00F4494F">
        <w:t>3</w:t>
      </w:r>
      <w:r w:rsidRPr="00E12887">
        <w:t xml:space="preserve"> study there have been two major changes in the use classes order and permitted development right.  First, in July 2020, the government introduced a significant change to the land use classes order.  The changes came into effect on the </w:t>
      </w:r>
      <w:proofErr w:type="gramStart"/>
      <w:r w:rsidRPr="00E12887">
        <w:t>1</w:t>
      </w:r>
      <w:r w:rsidRPr="00E12887">
        <w:rPr>
          <w:vertAlign w:val="superscript"/>
        </w:rPr>
        <w:t>st</w:t>
      </w:r>
      <w:proofErr w:type="gramEnd"/>
      <w:r w:rsidRPr="00E12887">
        <w:t xml:space="preserve"> September 2020 and revoked Parts A and D of the existing use </w:t>
      </w:r>
      <w:r w:rsidRPr="00D064CE">
        <w:t>classes order</w:t>
      </w:r>
      <w:r w:rsidR="00495BCB" w:rsidRPr="00B44051">
        <w:t>, as well as former Class B1(</w:t>
      </w:r>
      <w:r w:rsidR="00E1115C" w:rsidRPr="00B44051">
        <w:t>a-c)</w:t>
      </w:r>
      <w:r w:rsidRPr="00D064CE">
        <w:t>.</w:t>
      </w:r>
      <w:r w:rsidRPr="00E12887">
        <w:t xml:space="preserve">  </w:t>
      </w:r>
    </w:p>
    <w:p w14:paraId="085CBBB7" w14:textId="77777777" w:rsidR="00E12887" w:rsidRPr="00D064CE" w:rsidRDefault="00E12887" w:rsidP="00E12887">
      <w:pPr>
        <w:pStyle w:val="Level1"/>
      </w:pPr>
      <w:r w:rsidRPr="00E12887">
        <w:t xml:space="preserve">In relation to retail and main town </w:t>
      </w:r>
      <w:r w:rsidRPr="00D064CE">
        <w:t>centre uses, the changes were as follows:</w:t>
      </w:r>
    </w:p>
    <w:p w14:paraId="689A0E6E" w14:textId="239DEE57" w:rsidR="00E12887" w:rsidRPr="00D064CE" w:rsidRDefault="00E12887" w:rsidP="004C0A9B">
      <w:pPr>
        <w:pStyle w:val="ListBullet"/>
      </w:pPr>
      <w:r w:rsidRPr="00D064CE">
        <w:t>A new Class E was introduced which encompasses the former A1, A2, A3, B1a, B1b, B1c and part of the D2 use class (for gyms and indoor recreational facilities)</w:t>
      </w:r>
      <w:r w:rsidRPr="00D064CE">
        <w:rPr>
          <w:vertAlign w:val="superscript"/>
        </w:rPr>
        <w:footnoteReference w:id="6"/>
      </w:r>
      <w:r w:rsidRPr="00D064CE">
        <w:t>.</w:t>
      </w:r>
      <w:r w:rsidR="001B3481" w:rsidRPr="00D064CE">
        <w:t xml:space="preserve"> </w:t>
      </w:r>
      <w:r w:rsidR="00154BF7" w:rsidRPr="00B44051">
        <w:t>Changing from one Class E use to another is not development</w:t>
      </w:r>
      <w:r w:rsidR="0036243D" w:rsidRPr="00B44051">
        <w:t>, and therefore outside planning control.</w:t>
      </w:r>
      <w:r w:rsidR="0036243D" w:rsidRPr="00D064CE">
        <w:t xml:space="preserve"> </w:t>
      </w:r>
    </w:p>
    <w:p w14:paraId="79287F94" w14:textId="72C69EA7" w:rsidR="00E12887" w:rsidRPr="00D064CE" w:rsidRDefault="00E12887" w:rsidP="004C0A9B">
      <w:pPr>
        <w:pStyle w:val="ListBullet"/>
      </w:pPr>
      <w:r w:rsidRPr="00D064CE">
        <w:t xml:space="preserve">The former A4 and A5 uses have now become </w:t>
      </w:r>
      <w:r w:rsidRPr="00F61921">
        <w:rPr>
          <w:i/>
          <w:iCs/>
        </w:rPr>
        <w:t>sui generis</w:t>
      </w:r>
      <w:r w:rsidRPr="00D064CE">
        <w:t xml:space="preserve"> uses, along with part of the former Class D2 uses comprising cinemas, concert halls, bingo halls and dance halls.  The remaining former Class D2 uses (community halls, swimming pools, skating rinks and outdoor sport and recreation uses) are now placed into Use Class F2.</w:t>
      </w:r>
      <w:r w:rsidR="005E1784" w:rsidRPr="00D064CE">
        <w:t xml:space="preserve"> </w:t>
      </w:r>
      <w:r w:rsidR="00534721" w:rsidRPr="00D064CE">
        <w:t xml:space="preserve"> </w:t>
      </w:r>
      <w:r w:rsidR="00534721" w:rsidRPr="00B44051">
        <w:t xml:space="preserve">Class F2 </w:t>
      </w:r>
      <w:r w:rsidR="005E1E31" w:rsidRPr="00B44051">
        <w:t xml:space="preserve">can also contain a shop of not more than 280sq </w:t>
      </w:r>
      <w:r w:rsidR="005E1E31" w:rsidRPr="00B44051">
        <w:lastRenderedPageBreak/>
        <w:t>metres</w:t>
      </w:r>
      <w:r w:rsidR="00970110" w:rsidRPr="00B44051">
        <w:t xml:space="preserve">, </w:t>
      </w:r>
      <w:r w:rsidR="00144F7F" w:rsidRPr="00B44051">
        <w:t>mostly selling</w:t>
      </w:r>
      <w:r w:rsidR="00970110" w:rsidRPr="00B44051">
        <w:t xml:space="preserve"> essential goods including food, where there </w:t>
      </w:r>
      <w:r w:rsidR="004E285A" w:rsidRPr="00B44051">
        <w:t>is no other such facility within 1000m radius of the shop’s location.</w:t>
      </w:r>
      <w:r w:rsidR="004E285A" w:rsidRPr="00D064CE">
        <w:t xml:space="preserve">  </w:t>
      </w:r>
    </w:p>
    <w:p w14:paraId="21B34701" w14:textId="77777777" w:rsidR="00E12887" w:rsidRPr="00E12887" w:rsidRDefault="00E12887" w:rsidP="004C0A9B">
      <w:pPr>
        <w:pStyle w:val="ListBullet"/>
      </w:pPr>
      <w:r w:rsidRPr="00D064CE">
        <w:t>The uses within the former Class D1 are split between the new Use Class E (health care uses, creches, day centres) and the new Use Class F1</w:t>
      </w:r>
      <w:r w:rsidRPr="00E12887">
        <w:t xml:space="preserve"> (schools, museums, libraries, halls courts and places of worship).</w:t>
      </w:r>
    </w:p>
    <w:p w14:paraId="24DEF3E1" w14:textId="77777777" w:rsidR="00E12887" w:rsidRPr="00E12887" w:rsidRDefault="00E12887" w:rsidP="00E12887">
      <w:pPr>
        <w:pStyle w:val="Level1"/>
      </w:pPr>
      <w:r w:rsidRPr="00E12887">
        <w:t>Following the September 2020 use class order changes, the Government has now introduced permanent changes to permitted development rights (following a transitional period between September 2020 and July 2021), which focus upon changes to residential use, refinement of rights in relation to office to resident use, and the expansion of rights under the new class MA.  These came into effect from 1</w:t>
      </w:r>
      <w:r w:rsidRPr="00E12887">
        <w:rPr>
          <w:vertAlign w:val="superscript"/>
        </w:rPr>
        <w:t>st</w:t>
      </w:r>
      <w:r w:rsidRPr="00E12887">
        <w:t xml:space="preserve"> August 2021.  </w:t>
      </w:r>
    </w:p>
    <w:p w14:paraId="183EB969" w14:textId="77777777" w:rsidR="00E12887" w:rsidRPr="00E12887" w:rsidRDefault="00E12887" w:rsidP="00E12887">
      <w:pPr>
        <w:pStyle w:val="Level1"/>
      </w:pPr>
      <w:r w:rsidRPr="00E12887">
        <w:t>The key aspects of the August 2021 changes can be summarised as follows:</w:t>
      </w:r>
    </w:p>
    <w:p w14:paraId="395BAD3D" w14:textId="77777777" w:rsidR="00E12887" w:rsidRPr="00E12887" w:rsidRDefault="00E12887" w:rsidP="004C0A9B">
      <w:pPr>
        <w:pStyle w:val="ListBullet"/>
      </w:pPr>
      <w:r w:rsidRPr="00E12887">
        <w:t>Previous permitted development rights under classes O and M (office to residential and retail to residential) ended on 31</w:t>
      </w:r>
      <w:r w:rsidRPr="00E12887">
        <w:rPr>
          <w:vertAlign w:val="superscript"/>
        </w:rPr>
        <w:t>st</w:t>
      </w:r>
      <w:r w:rsidRPr="00E12887">
        <w:t xml:space="preserve"> July 2021.</w:t>
      </w:r>
    </w:p>
    <w:p w14:paraId="0D11CA91" w14:textId="77777777" w:rsidR="00E12887" w:rsidRPr="00E12887" w:rsidRDefault="00E12887" w:rsidP="004C0A9B">
      <w:pPr>
        <w:pStyle w:val="ListBullet"/>
      </w:pPr>
      <w:r w:rsidRPr="00E12887">
        <w:t xml:space="preserve">The introduction of the new class MA (business and commercial to residential) and its expansion to include the whole of Use Class E (shops, offices, restaurants/cafes, health services, gyms, </w:t>
      </w:r>
      <w:proofErr w:type="gramStart"/>
      <w:r w:rsidRPr="00E12887">
        <w:t>nurseries</w:t>
      </w:r>
      <w:proofErr w:type="gramEnd"/>
      <w:r w:rsidRPr="00E12887">
        <w:t xml:space="preserve"> and leisure).</w:t>
      </w:r>
    </w:p>
    <w:p w14:paraId="7E94C223" w14:textId="77777777" w:rsidR="00E12887" w:rsidRPr="00E12887" w:rsidRDefault="00E12887" w:rsidP="004C0A9B">
      <w:pPr>
        <w:pStyle w:val="ListBullet"/>
      </w:pPr>
      <w:r w:rsidRPr="00E12887">
        <w:t xml:space="preserve">Permitted development to change from Use Class E (commercial, business and service) to a use falling within Use Class C3 (dwellinghouses) will be subject, in certain circumstances, </w:t>
      </w:r>
      <w:proofErr w:type="gramStart"/>
      <w:r w:rsidRPr="00E12887">
        <w:t>a number of</w:t>
      </w:r>
      <w:proofErr w:type="gramEnd"/>
      <w:r w:rsidRPr="00E12887">
        <w:t xml:space="preserve"> prior approvals.  There will also be limitations / exclusions, including the introduction of a size limit of 1,500sq m per building.  Previously, in relation to the change from office to residential, there was no upper size limit.</w:t>
      </w:r>
    </w:p>
    <w:p w14:paraId="2BE8B206" w14:textId="77777777" w:rsidR="00E12887" w:rsidRPr="00E12887" w:rsidRDefault="00E12887" w:rsidP="00E12887">
      <w:pPr>
        <w:pStyle w:val="Level1"/>
      </w:pPr>
      <w:r w:rsidRPr="00E12887">
        <w:t>The automatic exclusions to this new right include buildings on land covered by, or within the curtilage of, designations such as SSSIs, Listed Buildings, a scheduled monument, an AONB, or a World Heritage Site.  It is notable that Conservation Areas are not included in these automatic exclusions.</w:t>
      </w:r>
    </w:p>
    <w:p w14:paraId="19026D05" w14:textId="77777777" w:rsidR="00E12887" w:rsidRPr="00E12887" w:rsidRDefault="00E12887" w:rsidP="00E12887">
      <w:pPr>
        <w:pStyle w:val="Level1"/>
      </w:pPr>
      <w:proofErr w:type="gramStart"/>
      <w:r w:rsidRPr="00E12887">
        <w:t>In order to</w:t>
      </w:r>
      <w:proofErr w:type="gramEnd"/>
      <w:r w:rsidRPr="00E12887">
        <w:t xml:space="preserve"> take advantage of this new right, a developer must apply to the local planning authority for a determination as to whether prior approval of the authority will be required in relation to one or more of the following factors:</w:t>
      </w:r>
    </w:p>
    <w:p w14:paraId="0D1D0E52" w14:textId="77777777" w:rsidR="00E12887" w:rsidRPr="00E12887" w:rsidRDefault="00E12887" w:rsidP="004C0A9B">
      <w:pPr>
        <w:pStyle w:val="ListBullet"/>
      </w:pPr>
      <w:r w:rsidRPr="00E12887">
        <w:t>transport</w:t>
      </w:r>
    </w:p>
    <w:p w14:paraId="2EBB076D" w14:textId="77777777" w:rsidR="00E12887" w:rsidRPr="00E12887" w:rsidRDefault="00E12887" w:rsidP="004C0A9B">
      <w:pPr>
        <w:pStyle w:val="ListBullet"/>
      </w:pPr>
      <w:r w:rsidRPr="00E12887">
        <w:t>noise</w:t>
      </w:r>
    </w:p>
    <w:p w14:paraId="5818BDCF" w14:textId="77777777" w:rsidR="00E12887" w:rsidRPr="00E12887" w:rsidRDefault="00E12887" w:rsidP="004C0A9B">
      <w:pPr>
        <w:pStyle w:val="ListBullet"/>
      </w:pPr>
      <w:r w:rsidRPr="00E12887">
        <w:t>flooding</w:t>
      </w:r>
    </w:p>
    <w:p w14:paraId="4836868A" w14:textId="77777777" w:rsidR="00E12887" w:rsidRPr="00E12887" w:rsidRDefault="00E12887" w:rsidP="004C0A9B">
      <w:pPr>
        <w:pStyle w:val="ListBullet"/>
      </w:pPr>
      <w:r w:rsidRPr="00E12887">
        <w:t>contamination</w:t>
      </w:r>
    </w:p>
    <w:p w14:paraId="6ED43BE3" w14:textId="77777777" w:rsidR="00E12887" w:rsidRPr="00E12887" w:rsidRDefault="00E12887" w:rsidP="004C0A9B">
      <w:pPr>
        <w:pStyle w:val="ListBullet"/>
      </w:pPr>
      <w:r w:rsidRPr="00E12887">
        <w:t>residential amenity</w:t>
      </w:r>
    </w:p>
    <w:p w14:paraId="5F0A78E9" w14:textId="4E520F69" w:rsidR="00E12887" w:rsidRPr="00E12887" w:rsidRDefault="004C0A9B" w:rsidP="00E12887">
      <w:pPr>
        <w:pStyle w:val="Level1"/>
      </w:pPr>
      <w:r>
        <w:t>I</w:t>
      </w:r>
      <w:r w:rsidR="00E12887" w:rsidRPr="00E12887">
        <w:t>n the case of buildings located in Conservation Areas</w:t>
      </w:r>
      <w:r w:rsidR="00E12887" w:rsidRPr="00E12887">
        <w:rPr>
          <w:vertAlign w:val="superscript"/>
        </w:rPr>
        <w:footnoteReference w:id="7"/>
      </w:r>
      <w:r w:rsidR="00E12887" w:rsidRPr="00E12887">
        <w:t xml:space="preserve"> consideration to be given to the impact of the change of use on the character or sustainability of the Conservation Area.</w:t>
      </w:r>
    </w:p>
    <w:p w14:paraId="2FCD6FD1" w14:textId="77777777" w:rsidR="00E12887" w:rsidRPr="00E12887" w:rsidRDefault="00E12887" w:rsidP="00E12887">
      <w:pPr>
        <w:pStyle w:val="Level1"/>
      </w:pPr>
      <w:r w:rsidRPr="00E12887">
        <w:t>It will also be noted that there has been a key change by the new Class MA: the removal of any consideration of the impact on the high street (for existing uses falling within the new Use Class E</w:t>
      </w:r>
      <w:r w:rsidRPr="00E12887">
        <w:rPr>
          <w:vertAlign w:val="superscript"/>
        </w:rPr>
        <w:footnoteReference w:id="8"/>
      </w:r>
      <w:r w:rsidRPr="00E12887">
        <w:t xml:space="preserve">).  This has the potential to be very significant for town centre high streets.  </w:t>
      </w:r>
    </w:p>
    <w:p w14:paraId="77477159" w14:textId="0B820EC2" w:rsidR="00E12887" w:rsidRPr="00E12887" w:rsidRDefault="00E12887" w:rsidP="00E12887">
      <w:pPr>
        <w:pStyle w:val="Level1"/>
      </w:pPr>
      <w:r w:rsidRPr="00E12887">
        <w:t xml:space="preserve">To benefit from Class MA, the use of the building must have fallen within Class E or one or more of the uses that it replaced for at least two years continuously prior to the date the prior approval </w:t>
      </w:r>
      <w:r w:rsidRPr="00E12887">
        <w:lastRenderedPageBreak/>
        <w:t>application is made.  However, there is some debate as to whether the building must have been in the same use or mix of uses for th</w:t>
      </w:r>
      <w:r w:rsidR="00C80B26">
        <w:t>at</w:t>
      </w:r>
      <w:r w:rsidRPr="00E12887">
        <w:t xml:space="preserve"> </w:t>
      </w:r>
      <w:proofErr w:type="gramStart"/>
      <w:r w:rsidRPr="00E12887">
        <w:t>two year</w:t>
      </w:r>
      <w:proofErr w:type="gramEnd"/>
      <w:r w:rsidRPr="00E12887">
        <w:t xml:space="preserve"> period.  </w:t>
      </w:r>
    </w:p>
    <w:p w14:paraId="0AD46E07" w14:textId="6F30E685" w:rsidR="00E12887" w:rsidRPr="00E12887" w:rsidRDefault="00C80B26" w:rsidP="00E12887">
      <w:pPr>
        <w:pStyle w:val="Level1"/>
      </w:pPr>
      <w:r>
        <w:t>In addition, t</w:t>
      </w:r>
      <w:r w:rsidR="00E12887" w:rsidRPr="00E12887">
        <w:t>he building must have been vacant for a continuous period of at least 3 months immediately prior to the date of the application for prior approval.  A prior approval application can be made to change the use of part of the building only. The vacancy test applies to the building, but as the definition of a building in the GPDO relates to part of a building this might mean the vacancy test is only required for the part of the building to be converted.  However, there is nothing in the regulation to stop a landlord making the property purposely empty, and no requirement to demonstrate the property has been marketed to prospective tenants in its current use, leaving many to suspect it will not present a significant barrier to take-up of the new right.</w:t>
      </w:r>
    </w:p>
    <w:p w14:paraId="128DBE6A" w14:textId="77777777" w:rsidR="00E12887" w:rsidRPr="00E12887" w:rsidRDefault="00E12887" w:rsidP="00E12887">
      <w:pPr>
        <w:pStyle w:val="Level1"/>
      </w:pPr>
      <w:r w:rsidRPr="00E12887">
        <w:t>The permitted development right under Class MA does not include any building operations (</w:t>
      </w:r>
      <w:proofErr w:type="gramStart"/>
      <w:r w:rsidRPr="00E12887">
        <w:t>i.e.</w:t>
      </w:r>
      <w:proofErr w:type="gramEnd"/>
      <w:r w:rsidRPr="00E12887">
        <w:t xml:space="preserve"> it does not include the external alterations allowance that was afforded by Class M). This means that a building must be both standards compliant from the outset but also capable of being converted in its current form. It is therefore considered by some that planning permission will be required in </w:t>
      </w:r>
      <w:proofErr w:type="gramStart"/>
      <w:r w:rsidRPr="00E12887">
        <w:t>the majority of</w:t>
      </w:r>
      <w:proofErr w:type="gramEnd"/>
      <w:r w:rsidRPr="00E12887">
        <w:t xml:space="preserve"> cases for external alterations to the building, including new doors and windows and other external details.</w:t>
      </w:r>
    </w:p>
    <w:p w14:paraId="2C037B8E" w14:textId="77777777" w:rsidR="00E12887" w:rsidRPr="00E12887" w:rsidRDefault="00E12887" w:rsidP="00E12887">
      <w:pPr>
        <w:pStyle w:val="Level1"/>
      </w:pPr>
      <w:r w:rsidRPr="00E12887">
        <w:t xml:space="preserve">It should be noted that these changes have attracted some controversy in some parts of the property and built environment sectors, with a key focus being on their effect on the future of town centres.  Whilst limitations and conditions remain in place, there is a general sense of concern in some quarters that some high streets could potentially </w:t>
      </w:r>
      <w:proofErr w:type="gramStart"/>
      <w:r w:rsidRPr="00E12887">
        <w:t>suffer</w:t>
      </w:r>
      <w:proofErr w:type="gramEnd"/>
      <w:r w:rsidRPr="00E12887">
        <w:t xml:space="preserve"> and this may have prompted the inclusion of specific reference to town centres in Article 4 Direction policy in the July 2021 version of the NPPF.</w:t>
      </w:r>
    </w:p>
    <w:p w14:paraId="3AC56D34" w14:textId="1CA7C869" w:rsidR="00E12887" w:rsidRDefault="00E12887" w:rsidP="004C0A9B">
      <w:pPr>
        <w:pStyle w:val="Level1"/>
        <w:numPr>
          <w:ilvl w:val="0"/>
          <w:numId w:val="0"/>
        </w:numPr>
        <w:ind w:left="720"/>
      </w:pPr>
    </w:p>
    <w:p w14:paraId="1CEDDFCE" w14:textId="68596CA9" w:rsidR="00E12887" w:rsidRDefault="00E12887">
      <w:pPr>
        <w:spacing w:after="160" w:line="259" w:lineRule="auto"/>
        <w:rPr>
          <w:rFonts w:ascii="Open Sans SemiBold" w:eastAsia="Open Sans" w:hAnsi="Open Sans SemiBold" w:cs="Times New Roman"/>
          <w:b/>
          <w:color w:val="000000" w:themeColor="text1"/>
          <w:sz w:val="32"/>
        </w:rPr>
      </w:pPr>
      <w:r>
        <w:br w:type="page"/>
      </w:r>
    </w:p>
    <w:p w14:paraId="49AA8050" w14:textId="0C5C1911" w:rsidR="00E12887" w:rsidRDefault="00E12887" w:rsidP="00E12887">
      <w:pPr>
        <w:pStyle w:val="ListHeading1"/>
      </w:pPr>
      <w:bookmarkStart w:id="2" w:name="_Toc116897146"/>
      <w:r>
        <w:lastRenderedPageBreak/>
        <w:t xml:space="preserve">Retail </w:t>
      </w:r>
      <w:r w:rsidR="00B41CD4">
        <w:t xml:space="preserve">Expenditure </w:t>
      </w:r>
      <w:r>
        <w:t>Trends</w:t>
      </w:r>
      <w:bookmarkEnd w:id="2"/>
    </w:p>
    <w:p w14:paraId="11C19E9D" w14:textId="5A810D5B" w:rsidR="001A784C" w:rsidRDefault="001A784C" w:rsidP="004C0A9B">
      <w:pPr>
        <w:pStyle w:val="Level1"/>
      </w:pPr>
      <w:proofErr w:type="gramStart"/>
      <w:r w:rsidRPr="00060C8E">
        <w:t xml:space="preserve">In </w:t>
      </w:r>
      <w:r w:rsidRPr="004C0A9B">
        <w:t>order</w:t>
      </w:r>
      <w:r w:rsidRPr="00060C8E">
        <w:t xml:space="preserve"> to</w:t>
      </w:r>
      <w:proofErr w:type="gramEnd"/>
      <w:r w:rsidRPr="00060C8E">
        <w:t xml:space="preserve"> provide a robust evidence base library on retail and town centre issues for this </w:t>
      </w:r>
      <w:r w:rsidR="00C80B26">
        <w:t>S</w:t>
      </w:r>
      <w:r w:rsidRPr="00060C8E">
        <w:t>tudy it is important,</w:t>
      </w:r>
      <w:r w:rsidRPr="00044C19">
        <w:t xml:space="preserve"> in our opinion, to set the context in terms of recent, current and potential future trends in the </w:t>
      </w:r>
      <w:r w:rsidR="00884ECF">
        <w:t xml:space="preserve">UK </w:t>
      </w:r>
      <w:r w:rsidRPr="00044C19">
        <w:t>economy</w:t>
      </w:r>
      <w:r w:rsidR="00884ECF">
        <w:t>, particularly retail expenditure</w:t>
      </w:r>
      <w:r w:rsidRPr="00044C19">
        <w:t xml:space="preserve">.  </w:t>
      </w:r>
    </w:p>
    <w:p w14:paraId="4BEEA096" w14:textId="77777777" w:rsidR="001A784C" w:rsidRPr="00FB3805" w:rsidRDefault="001A784C" w:rsidP="001A784C">
      <w:pPr>
        <w:pStyle w:val="Level1"/>
        <w:numPr>
          <w:ilvl w:val="0"/>
          <w:numId w:val="0"/>
        </w:numPr>
        <w:ind w:left="720"/>
        <w:rPr>
          <w:rStyle w:val="Emphasis"/>
        </w:rPr>
      </w:pPr>
      <w:r w:rsidRPr="00FB3805">
        <w:rPr>
          <w:rStyle w:val="Emphasis"/>
        </w:rPr>
        <w:t>Overview</w:t>
      </w:r>
    </w:p>
    <w:p w14:paraId="1C937323" w14:textId="6C7F1893" w:rsidR="001A784C" w:rsidRDefault="001A784C" w:rsidP="004C0A9B">
      <w:pPr>
        <w:pStyle w:val="Level1"/>
      </w:pPr>
      <w:r>
        <w:t>The outbreak of coronavirus (Covid 19)</w:t>
      </w:r>
      <w:r w:rsidR="00CA2A9F">
        <w:t>,</w:t>
      </w:r>
      <w:r>
        <w:t xml:space="preserve"> and measures to contain it</w:t>
      </w:r>
      <w:r w:rsidR="00CA2A9F">
        <w:t>,</w:t>
      </w:r>
      <w:r>
        <w:t xml:space="preserve"> have had a considerable impact on the UK and global economies, seeing three national lockdowns, and some form of restrictions on economic life for almost 24 months.  Over this period, the </w:t>
      </w:r>
      <w:r w:rsidR="00884ECF">
        <w:t xml:space="preserve">UK </w:t>
      </w:r>
      <w:r>
        <w:t xml:space="preserve">economy suffered an unprecedented contraction; 600,000 fewer people were employed and over 9 million employees were furloughed.  Consumer demand suffered during this time, given social distancing and low confidence, leading to a big drop in social consumption, especially for recreation, </w:t>
      </w:r>
      <w:proofErr w:type="gramStart"/>
      <w:r>
        <w:t>leisure</w:t>
      </w:r>
      <w:proofErr w:type="gramEnd"/>
      <w:r>
        <w:t xml:space="preserve"> and travel.  In addition, investment fell markedly, as waning business confidence and deteriorating financial positions led to the postponement and cancellation of projects.</w:t>
      </w:r>
    </w:p>
    <w:p w14:paraId="5FB4B49E" w14:textId="290178A4" w:rsidR="001A784C" w:rsidRDefault="001A784C" w:rsidP="004C0A9B">
      <w:pPr>
        <w:pStyle w:val="Level1"/>
      </w:pPr>
      <w:r>
        <w:t>Exports have also been undermined by a fall in international demand for UK goods and services, as other countries enforce</w:t>
      </w:r>
      <w:r w:rsidR="002170EA">
        <w:t>d</w:t>
      </w:r>
      <w:r>
        <w:t xml:space="preserve"> </w:t>
      </w:r>
      <w:r w:rsidRPr="004C0A9B">
        <w:t>lockdown</w:t>
      </w:r>
      <w:r>
        <w:t xml:space="preserve"> or social distancing measures to varying degrees.  The temporary closure of factories and businesses meant disruptions to supply chains, reverberations of which remain on-going.  Since then, a steady recovery in services, manufacturing and construction have all seen the UK’s GDP rise above its pre-pandemic level as of November 2021.  However, the behavioural shifts due to </w:t>
      </w:r>
      <w:r w:rsidR="002170EA">
        <w:t xml:space="preserve">the Covid 19 </w:t>
      </w:r>
      <w:r>
        <w:t xml:space="preserve">Omicron </w:t>
      </w:r>
      <w:r w:rsidR="002170EA">
        <w:t xml:space="preserve">variant </w:t>
      </w:r>
      <w:r>
        <w:t xml:space="preserve">concerns </w:t>
      </w:r>
      <w:r w:rsidR="002170EA">
        <w:t xml:space="preserve">have </w:t>
      </w:r>
      <w:r>
        <w:t xml:space="preserve">weighed on economic activity </w:t>
      </w:r>
      <w:r w:rsidR="0059734A">
        <w:t xml:space="preserve">around the start of </w:t>
      </w:r>
      <w:r>
        <w:t xml:space="preserve">2022.  Further into the year, the pace of the rebound remains uncertain and </w:t>
      </w:r>
      <w:r w:rsidR="0059734A">
        <w:t>its</w:t>
      </w:r>
      <w:r>
        <w:t xml:space="preserve"> sustainability at risk given inflationary </w:t>
      </w:r>
      <w:r w:rsidR="0059734A">
        <w:t xml:space="preserve">and cost of living </w:t>
      </w:r>
      <w:r>
        <w:t>headwinds.</w:t>
      </w:r>
    </w:p>
    <w:p w14:paraId="413AE604" w14:textId="77777777" w:rsidR="001A784C" w:rsidRDefault="001A784C" w:rsidP="0059734A">
      <w:pPr>
        <w:pStyle w:val="Level1"/>
      </w:pPr>
      <w:r>
        <w:t xml:space="preserve">The success of the Coronavirus Job Retention Scheme (‘CJRS’) </w:t>
      </w:r>
      <w:r w:rsidRPr="0059734A">
        <w:t>meant</w:t>
      </w:r>
      <w:r>
        <w:t xml:space="preserve"> that any sharp spike in the unemployment rate did not materialise, at least immediately.  Whilst a positive labour market outlook with soaring vacancies should lubricate the wheels of the economic recovery, a slight rise in unemployment may still emerge as redundancy periods are worked through following the CJRS lifting.</w:t>
      </w:r>
    </w:p>
    <w:p w14:paraId="16044F49" w14:textId="2699F458" w:rsidR="0059734A" w:rsidRDefault="0059734A" w:rsidP="0059734A">
      <w:pPr>
        <w:pStyle w:val="Level1"/>
      </w:pPr>
      <w:r>
        <w:t xml:space="preserve">Looking beyond the impact of Covid 19, the </w:t>
      </w:r>
      <w:r w:rsidR="001A784C">
        <w:t xml:space="preserve">bigger risk </w:t>
      </w:r>
      <w:r>
        <w:t xml:space="preserve">to the economy in the latter part of 2022 and going into 2023 is </w:t>
      </w:r>
      <w:r w:rsidR="001A784C">
        <w:t xml:space="preserve">rising inflation </w:t>
      </w:r>
      <w:r>
        <w:t>(</w:t>
      </w:r>
      <w:r w:rsidR="001A784C">
        <w:t>and wages not able to keep up</w:t>
      </w:r>
      <w:r>
        <w:t>)</w:t>
      </w:r>
      <w:r w:rsidR="001A784C">
        <w:t xml:space="preserve">, </w:t>
      </w:r>
      <w:r>
        <w:t xml:space="preserve">along with severe increases in the cost of energy and rising interest rates. As of </w:t>
      </w:r>
      <w:r w:rsidR="00F51B3F">
        <w:t xml:space="preserve">Summer </w:t>
      </w:r>
      <w:r>
        <w:t>2022, the following forecasts from the Bank of England provide relevant background information for the purposes of this study:</w:t>
      </w:r>
    </w:p>
    <w:p w14:paraId="2339FD92" w14:textId="706C1B2B" w:rsidR="0059734A" w:rsidRDefault="00EF723F" w:rsidP="00EF723F">
      <w:pPr>
        <w:pStyle w:val="ListBullet"/>
      </w:pPr>
      <w:r>
        <w:t>At its meeting in August 2022, the Bank of England’s Monetary Policy Committee (‘MPC’) voted by a majority of 8–1 to increase interest rates by 0.5 percentage points to 1.75%.  This is against a backdrop of historically very low interest rates over many years</w:t>
      </w:r>
      <w:r w:rsidR="00894A4D">
        <w:t xml:space="preserve"> and is starting to have an impact upon the housing market and the affordability of some mortgages.</w:t>
      </w:r>
      <w:r w:rsidR="00C80B26">
        <w:t xml:space="preserve">  Further increases are now likely towards the end of 2022 and in to 2023.</w:t>
      </w:r>
    </w:p>
    <w:p w14:paraId="50EC0554" w14:textId="0C39150B" w:rsidR="00EF723F" w:rsidRDefault="00EF723F" w:rsidP="00EF723F">
      <w:pPr>
        <w:pStyle w:val="ListBullet"/>
      </w:pPr>
      <w:r>
        <w:t>Inflationary pressures in the United Kingdom and the rest of Europe have intensified</w:t>
      </w:r>
      <w:r w:rsidR="00894A4D">
        <w:t xml:space="preserve"> </w:t>
      </w:r>
      <w:r>
        <w:t xml:space="preserve">significantly </w:t>
      </w:r>
      <w:r w:rsidR="00894A4D">
        <w:t xml:space="preserve">in 2022, which </w:t>
      </w:r>
      <w:r>
        <w:t>largely reflects a near doubling in wholesale gas prices since May</w:t>
      </w:r>
      <w:r w:rsidR="00894A4D">
        <w:t xml:space="preserve"> 2022</w:t>
      </w:r>
      <w:r>
        <w:t>, owing to Russia’s</w:t>
      </w:r>
      <w:r w:rsidR="00894A4D">
        <w:t xml:space="preserve"> </w:t>
      </w:r>
      <w:r>
        <w:t xml:space="preserve">restriction of gas supplies to Europe and the risk of further curbs. As </w:t>
      </w:r>
      <w:proofErr w:type="gramStart"/>
      <w:r>
        <w:t>this feeds</w:t>
      </w:r>
      <w:proofErr w:type="gramEnd"/>
      <w:r>
        <w:t xml:space="preserve"> through to</w:t>
      </w:r>
      <w:r w:rsidR="00894A4D">
        <w:t xml:space="preserve"> </w:t>
      </w:r>
      <w:r>
        <w:t>retail energy prices, it will exacerbate the fall in real incomes for UK households and</w:t>
      </w:r>
      <w:r w:rsidR="00894A4D">
        <w:t xml:space="preserve"> </w:t>
      </w:r>
      <w:r>
        <w:t>further increase UK CPI inflation in the near term. CPI inflation is expected to rise more</w:t>
      </w:r>
      <w:r w:rsidR="00894A4D">
        <w:t xml:space="preserve"> </w:t>
      </w:r>
      <w:r>
        <w:t xml:space="preserve">than forecast, from 9.4% in June </w:t>
      </w:r>
      <w:r w:rsidR="00894A4D">
        <w:t xml:space="preserve">2022 </w:t>
      </w:r>
      <w:r>
        <w:t>to just over 13% in 2022 Q4, and to</w:t>
      </w:r>
      <w:r w:rsidR="00894A4D">
        <w:t xml:space="preserve"> </w:t>
      </w:r>
      <w:r>
        <w:t>remain at very elevated levels throughout much of 2023, before falling to the 2% target</w:t>
      </w:r>
      <w:r w:rsidR="00894A4D">
        <w:t xml:space="preserve"> </w:t>
      </w:r>
      <w:r>
        <w:t>two years ahead.</w:t>
      </w:r>
    </w:p>
    <w:p w14:paraId="157F6B24" w14:textId="25FE8695" w:rsidR="00EF723F" w:rsidRDefault="00EF723F" w:rsidP="00EF723F">
      <w:pPr>
        <w:pStyle w:val="ListBullet"/>
      </w:pPr>
      <w:r>
        <w:t>GDP growth in the United Kingdom is slowing. The latest rise in gas prices has led to</w:t>
      </w:r>
      <w:r w:rsidR="00A35C7B">
        <w:t xml:space="preserve"> </w:t>
      </w:r>
      <w:r>
        <w:t>another significant deterioration in the outlook for activity in the United Kingdom and the</w:t>
      </w:r>
      <w:r w:rsidR="00A35C7B">
        <w:t xml:space="preserve"> </w:t>
      </w:r>
      <w:r>
        <w:t>rest of Europe. The United Kingdom is now projected to enter recession from the fourth</w:t>
      </w:r>
      <w:r w:rsidR="00A35C7B">
        <w:t xml:space="preserve"> </w:t>
      </w:r>
      <w:r>
        <w:t xml:space="preserve">quarter of this year. Real </w:t>
      </w:r>
      <w:r>
        <w:lastRenderedPageBreak/>
        <w:t>household post-tax income is projected to fall sharply in 2022</w:t>
      </w:r>
      <w:r w:rsidR="00A35C7B">
        <w:t xml:space="preserve"> </w:t>
      </w:r>
      <w:r>
        <w:t>and 2023, while consumption growth turns negative.</w:t>
      </w:r>
    </w:p>
    <w:p w14:paraId="279E0851" w14:textId="12A7CC7E" w:rsidR="00EF723F" w:rsidRDefault="00EF723F" w:rsidP="00EF723F">
      <w:pPr>
        <w:pStyle w:val="ListBullet"/>
      </w:pPr>
      <w:r>
        <w:t>Domestic inflationary pressures are projected to remain strong over the first half of the</w:t>
      </w:r>
      <w:r w:rsidR="00A35C7B">
        <w:t xml:space="preserve"> </w:t>
      </w:r>
      <w:r>
        <w:t>forecast period. Firms generally report that they expect to increase their selling prices</w:t>
      </w:r>
      <w:r w:rsidR="00A35C7B">
        <w:t xml:space="preserve"> </w:t>
      </w:r>
      <w:r>
        <w:t>markedly, reflecting the sharp rises in their costs. The labour market has remained tight,</w:t>
      </w:r>
      <w:r w:rsidR="00A35C7B">
        <w:t xml:space="preserve"> </w:t>
      </w:r>
      <w:r>
        <w:t xml:space="preserve">with the unemployment rate at 3.8% in the three months to May </w:t>
      </w:r>
      <w:r w:rsidR="00A35C7B">
        <w:t xml:space="preserve">2022 </w:t>
      </w:r>
      <w:r>
        <w:t>and vacancies at</w:t>
      </w:r>
      <w:r w:rsidR="00A35C7B">
        <w:t xml:space="preserve"> </w:t>
      </w:r>
      <w:r>
        <w:t xml:space="preserve">historically high levels. As a result, underlying nominal wage growth is expected to be higher than </w:t>
      </w:r>
      <w:r w:rsidR="00A35C7B">
        <w:t xml:space="preserve">previously expected.  </w:t>
      </w:r>
    </w:p>
    <w:p w14:paraId="5DC07EE5" w14:textId="6956A93E" w:rsidR="00EF723F" w:rsidRDefault="00EF723F" w:rsidP="00EF723F">
      <w:pPr>
        <w:pStyle w:val="ListBullet"/>
      </w:pPr>
      <w:r>
        <w:t>Inflationary pressures are nevertheless expected to dissipate over time. Global commodity</w:t>
      </w:r>
      <w:r w:rsidR="00A35C7B">
        <w:t xml:space="preserve"> </w:t>
      </w:r>
      <w:r>
        <w:t>prices are assumed to rise no further, and tradable goods price inflation is expected to fall</w:t>
      </w:r>
      <w:r w:rsidR="00A35C7B">
        <w:t xml:space="preserve"> </w:t>
      </w:r>
      <w:r>
        <w:t>back, the first signs of which may already be evident. Although the labour market may</w:t>
      </w:r>
      <w:r w:rsidR="00A35C7B">
        <w:t xml:space="preserve"> </w:t>
      </w:r>
      <w:r>
        <w:t>loosen only slowly in response to falling demand, unemployment is expected to rise from</w:t>
      </w:r>
      <w:r w:rsidR="00A35C7B">
        <w:t xml:space="preserve"> </w:t>
      </w:r>
      <w:r>
        <w:t>2023. Domestic inflationary pressures are therefore expected to subside in the second half of the forecast period, as the increasing degree of economic slack and lower headline</w:t>
      </w:r>
      <w:r w:rsidR="00A35C7B">
        <w:t xml:space="preserve"> </w:t>
      </w:r>
      <w:r>
        <w:t xml:space="preserve">inflation reduce the pressure on wage growth. </w:t>
      </w:r>
    </w:p>
    <w:p w14:paraId="3F9B7213" w14:textId="751DE95E" w:rsidR="001A784C" w:rsidRPr="00FB3805" w:rsidRDefault="001A784C" w:rsidP="001A784C">
      <w:pPr>
        <w:pStyle w:val="Level1"/>
        <w:numPr>
          <w:ilvl w:val="0"/>
          <w:numId w:val="0"/>
        </w:numPr>
        <w:ind w:left="720"/>
        <w:rPr>
          <w:rStyle w:val="Emphasis"/>
        </w:rPr>
      </w:pPr>
      <w:r w:rsidRPr="00FB3805">
        <w:rPr>
          <w:rStyle w:val="Emphasis"/>
        </w:rPr>
        <w:t>Consumer spending</w:t>
      </w:r>
    </w:p>
    <w:p w14:paraId="4974249C" w14:textId="77777777" w:rsidR="001A784C" w:rsidRDefault="001A784C" w:rsidP="00C81EB3">
      <w:pPr>
        <w:pStyle w:val="Level1"/>
      </w:pPr>
      <w:r w:rsidRPr="00C81EB3">
        <w:t>Household</w:t>
      </w:r>
      <w:r>
        <w:t xml:space="preserve"> spending rose by 2.7% quarter on quarter in the third quarter of 2021, making the largest contribution to expenditure, following the easing of public health restrictions.  Spending on hospitality, travel and leisure all rose over this period.  Retail, despite being a star performer during the pandemic, experienced weaker performance over this period of easing restrictions as consumers substituted away from durable goods to services.  Experian has forecasted that this substitution from durable goods to services will persist, as inflationary pressures are higher in the former category, as compared to the latter.  This will weigh on retail spending growth in the near term.  </w:t>
      </w:r>
    </w:p>
    <w:p w14:paraId="07AD491F" w14:textId="77777777" w:rsidR="001A784C" w:rsidRPr="00FB3805" w:rsidRDefault="001A784C" w:rsidP="001A784C">
      <w:pPr>
        <w:pStyle w:val="Level1"/>
        <w:numPr>
          <w:ilvl w:val="0"/>
          <w:numId w:val="0"/>
        </w:numPr>
        <w:ind w:left="720"/>
        <w:rPr>
          <w:rStyle w:val="Emphasis"/>
        </w:rPr>
      </w:pPr>
      <w:r w:rsidRPr="00FB3805">
        <w:rPr>
          <w:rStyle w:val="Emphasis"/>
        </w:rPr>
        <w:t>Retail</w:t>
      </w:r>
    </w:p>
    <w:p w14:paraId="6ECD2099" w14:textId="3D6363C2" w:rsidR="001A784C" w:rsidRPr="00C81EB3" w:rsidRDefault="001A784C" w:rsidP="008F284B">
      <w:pPr>
        <w:pStyle w:val="Level1"/>
      </w:pPr>
      <w:r>
        <w:t>Retail sales volumes, despite being an area of economic activity with the swiftest recovery to pre- pandemic levels</w:t>
      </w:r>
      <w:r w:rsidRPr="00C81EB3">
        <w:t>, has more recently lagged, with volumes falling the most since the third lockdow</w:t>
      </w:r>
      <w:r w:rsidR="009C531E">
        <w:t>n</w:t>
      </w:r>
      <w:r w:rsidRPr="00C81EB3">
        <w:t>.</w:t>
      </w:r>
      <w:r w:rsidR="009C531E">
        <w:t xml:space="preserve">  </w:t>
      </w:r>
      <w:r w:rsidRPr="00C81EB3">
        <w:t>Sales remained elevated through the second half of 2021, though have since tailed off</w:t>
      </w:r>
      <w:r w:rsidR="009C531E">
        <w:t xml:space="preserve"> in 2022</w:t>
      </w:r>
      <w:r w:rsidRPr="00C81EB3">
        <w:t xml:space="preserve">, as consumers substituted away from durable goods consumption, instead spending more in areas of the economy that had been, up to that point, locked down, </w:t>
      </w:r>
      <w:proofErr w:type="gramStart"/>
      <w:r w:rsidRPr="00C81EB3">
        <w:t>i.e.</w:t>
      </w:r>
      <w:proofErr w:type="gramEnd"/>
      <w:r w:rsidRPr="00C81EB3">
        <w:t xml:space="preserve"> travel and leisure. </w:t>
      </w:r>
    </w:p>
    <w:p w14:paraId="4E688D8F" w14:textId="77777777" w:rsidR="001A784C" w:rsidRDefault="001A784C" w:rsidP="00C81EB3">
      <w:pPr>
        <w:pStyle w:val="Level1"/>
      </w:pPr>
      <w:r w:rsidRPr="00C81EB3">
        <w:t>Hence, and as corroborated by the latest statistics, the biggest contributor to the most recent decline were non-food stores (includes department</w:t>
      </w:r>
      <w:r>
        <w:t>, clothing, household goods and other non-food stores).  Additionally, sales of automotive fuel suffered with the reinstatement of work from home guidance in 2021, removing commuting costs for many office-workers. Signifying its relative strength, online sales have remained high in proportional terms, though this category of goods also saw sales volumes contract.</w:t>
      </w:r>
    </w:p>
    <w:p w14:paraId="1C0B8A15" w14:textId="671CBE12" w:rsidR="001A784C" w:rsidRDefault="001A784C" w:rsidP="003F472F">
      <w:pPr>
        <w:pStyle w:val="Level1"/>
      </w:pPr>
      <w:r>
        <w:t xml:space="preserve">Looking ahead, spending growth over the </w:t>
      </w:r>
      <w:r w:rsidRPr="003F472F">
        <w:t>rest</w:t>
      </w:r>
      <w:r>
        <w:t xml:space="preserve"> of 2022 </w:t>
      </w:r>
      <w:r w:rsidR="00E00D95">
        <w:t xml:space="preserve">and into 2023 </w:t>
      </w:r>
      <w:r>
        <w:t xml:space="preserve">is expected to weaken </w:t>
      </w:r>
      <w:r w:rsidR="00E00D95">
        <w:t xml:space="preserve">significantly </w:t>
      </w:r>
      <w:r>
        <w:t xml:space="preserve">as worsening economic headwinds affect consumer fundamentals.  The Russia-Ukraine conflict is </w:t>
      </w:r>
      <w:r w:rsidR="00E00D95">
        <w:t xml:space="preserve">now </w:t>
      </w:r>
      <w:r>
        <w:t>hav</w:t>
      </w:r>
      <w:r w:rsidR="00E00D95">
        <w:t>ing</w:t>
      </w:r>
      <w:r>
        <w:t xml:space="preserve"> </w:t>
      </w:r>
      <w:r w:rsidR="00E00D95">
        <w:t xml:space="preserve">significant </w:t>
      </w:r>
      <w:r>
        <w:t xml:space="preserve">impacts across </w:t>
      </w:r>
      <w:proofErr w:type="gramStart"/>
      <w:r>
        <w:t>a number of</w:t>
      </w:r>
      <w:proofErr w:type="gramEnd"/>
      <w:r>
        <w:t xml:space="preserve"> sectors, particularly in fuel/energy costs.</w:t>
      </w:r>
    </w:p>
    <w:p w14:paraId="4BC317EB" w14:textId="568C4FB4" w:rsidR="001A784C" w:rsidRPr="00044C19" w:rsidRDefault="001A784C" w:rsidP="007B411A">
      <w:pPr>
        <w:pStyle w:val="Level1"/>
        <w:jc w:val="both"/>
      </w:pPr>
      <w:r>
        <w:t xml:space="preserve">Prospects for </w:t>
      </w:r>
      <w:r w:rsidR="00DA0E5E">
        <w:t xml:space="preserve">spending on </w:t>
      </w:r>
      <w:r>
        <w:t xml:space="preserve">comparison goods remain weak as discretionary spending is curbed but some product areas should buck this trend.  For example, heightened residential repair and maintenance activity could provide a temporary boost for related products such as DIY equipment, household goods and furnishings. </w:t>
      </w:r>
      <w:r w:rsidR="00DA0E5E">
        <w:t xml:space="preserve"> </w:t>
      </w:r>
      <w:r>
        <w:t>Also, the shift to greater spending online for both convenience and comparison goods is expected to persist in the near term, with any correction materialising upon the lifting of all public health measures.</w:t>
      </w:r>
    </w:p>
    <w:p w14:paraId="167968B2" w14:textId="36420454" w:rsidR="001A784C" w:rsidRPr="00A66307" w:rsidRDefault="001A784C" w:rsidP="007B411A">
      <w:pPr>
        <w:pStyle w:val="Level1"/>
        <w:jc w:val="both"/>
      </w:pPr>
      <w:r w:rsidRPr="00044C19">
        <w:t>With regards to retail expenditure, it is useful to compare the forecast annual changes in spending per head on convenience and comparison goods from the time of the 201</w:t>
      </w:r>
      <w:r w:rsidR="003F472F">
        <w:t>3</w:t>
      </w:r>
      <w:r w:rsidRPr="00044C19">
        <w:t xml:space="preserve"> retail study and the latest </w:t>
      </w:r>
      <w:r w:rsidRPr="00044C19">
        <w:lastRenderedPageBreak/>
        <w:t xml:space="preserve">available forecasts from Experian.  Table </w:t>
      </w:r>
      <w:r w:rsidR="00BD3E08">
        <w:t>3.</w:t>
      </w:r>
      <w:r w:rsidRPr="00044C19">
        <w:t>1 below shows the year-on-year change from Experian’s Retail Planner Briefing Note 1</w:t>
      </w:r>
      <w:r>
        <w:t>1</w:t>
      </w:r>
      <w:r>
        <w:rPr>
          <w:rStyle w:val="FootnoteReference"/>
        </w:rPr>
        <w:footnoteReference w:id="9"/>
      </w:r>
      <w:r w:rsidRPr="00044C19">
        <w:t xml:space="preserve"> for 201</w:t>
      </w:r>
      <w:r w:rsidR="00851399">
        <w:t>3</w:t>
      </w:r>
      <w:r w:rsidRPr="00044C19">
        <w:t>-203</w:t>
      </w:r>
      <w:r>
        <w:t>1</w:t>
      </w:r>
      <w:r w:rsidRPr="00044C19">
        <w:t>, which was referenced in the 201</w:t>
      </w:r>
      <w:r>
        <w:t>3</w:t>
      </w:r>
      <w:r w:rsidRPr="00044C19">
        <w:t xml:space="preserve"> retail study, and compares this against the latest forecasts from Experian’s Retail Planner Briefing Note 1</w:t>
      </w:r>
      <w:r>
        <w:t>9</w:t>
      </w:r>
      <w:r>
        <w:rPr>
          <w:rStyle w:val="FootnoteReference"/>
        </w:rPr>
        <w:footnoteReference w:id="10"/>
      </w:r>
      <w:r w:rsidRPr="00044C19">
        <w:t xml:space="preserve"> for the same </w:t>
      </w:r>
      <w:proofErr w:type="gramStart"/>
      <w:r w:rsidRPr="00A66307">
        <w:t>time period</w:t>
      </w:r>
      <w:proofErr w:type="gramEnd"/>
      <w:r w:rsidRPr="00A66307">
        <w:t xml:space="preserve">.  </w:t>
      </w:r>
    </w:p>
    <w:p w14:paraId="7C4512F2" w14:textId="5800E1AA" w:rsidR="00851399" w:rsidRPr="00A66307" w:rsidRDefault="001A784C" w:rsidP="007B411A">
      <w:pPr>
        <w:pStyle w:val="Level1"/>
        <w:jc w:val="both"/>
      </w:pPr>
      <w:r w:rsidRPr="00A66307">
        <w:t xml:space="preserve">Table 3.1 indicates that the latest Experian forecasts are showing a materially lower rate of growth in per capita convenience goods spending: </w:t>
      </w:r>
      <w:r w:rsidR="008E20AF">
        <w:t>-1.2</w:t>
      </w:r>
      <w:r w:rsidRPr="00A66307">
        <w:t>% up to 2031, compared with +9</w:t>
      </w:r>
      <w:r w:rsidR="008E20AF">
        <w:t>.1</w:t>
      </w:r>
      <w:r w:rsidRPr="00A66307">
        <w:t xml:space="preserve">% from the time of the 2013 study.  </w:t>
      </w:r>
    </w:p>
    <w:p w14:paraId="611F387C" w14:textId="31EDC32F" w:rsidR="001A784C" w:rsidRPr="00851399" w:rsidRDefault="001A784C" w:rsidP="001A784C">
      <w:pPr>
        <w:pStyle w:val="Heading3"/>
        <w:jc w:val="both"/>
        <w:rPr>
          <w:rStyle w:val="Emphasis"/>
          <w:rFonts w:ascii="Open Sans" w:hAnsi="Open Sans" w:cs="Open Sans"/>
          <w:b w:val="0"/>
          <w:bCs w:val="0"/>
          <w:sz w:val="18"/>
          <w:szCs w:val="18"/>
        </w:rPr>
      </w:pPr>
      <w:r w:rsidRPr="00851399">
        <w:rPr>
          <w:rStyle w:val="Emphasis"/>
          <w:rFonts w:ascii="Open Sans" w:hAnsi="Open Sans" w:cs="Open Sans"/>
          <w:b w:val="0"/>
          <w:bCs w:val="0"/>
          <w:sz w:val="18"/>
          <w:szCs w:val="18"/>
        </w:rPr>
        <w:t>Table 3.1: forecast year-on-year change in per capita convenience goods spending between 201</w:t>
      </w:r>
      <w:r w:rsidR="00851399">
        <w:rPr>
          <w:rStyle w:val="Emphasis"/>
          <w:rFonts w:ascii="Open Sans" w:hAnsi="Open Sans" w:cs="Open Sans"/>
          <w:b w:val="0"/>
          <w:bCs w:val="0"/>
          <w:sz w:val="18"/>
          <w:szCs w:val="18"/>
        </w:rPr>
        <w:t>3</w:t>
      </w:r>
      <w:r w:rsidRPr="00851399">
        <w:rPr>
          <w:rStyle w:val="Emphasis"/>
          <w:rFonts w:ascii="Open Sans" w:hAnsi="Open Sans" w:cs="Open Sans"/>
          <w:b w:val="0"/>
          <w:bCs w:val="0"/>
          <w:sz w:val="18"/>
          <w:szCs w:val="18"/>
        </w:rPr>
        <w:t xml:space="preserve"> and 2031 </w:t>
      </w:r>
    </w:p>
    <w:tbl>
      <w:tblPr>
        <w:tblStyle w:val="TableGrid2"/>
        <w:tblW w:w="0" w:type="auto"/>
        <w:tblInd w:w="720" w:type="dxa"/>
        <w:tblLook w:val="04A0" w:firstRow="1" w:lastRow="0" w:firstColumn="1" w:lastColumn="0" w:noHBand="0" w:noVBand="1"/>
      </w:tblPr>
      <w:tblGrid>
        <w:gridCol w:w="2764"/>
        <w:gridCol w:w="2756"/>
        <w:gridCol w:w="2756"/>
      </w:tblGrid>
      <w:tr w:rsidR="001A784C" w:rsidRPr="00FF0516" w14:paraId="7F342542" w14:textId="77777777" w:rsidTr="001210A1">
        <w:tc>
          <w:tcPr>
            <w:tcW w:w="2764" w:type="dxa"/>
            <w:shd w:val="clear" w:color="auto" w:fill="F2F2F2"/>
          </w:tcPr>
          <w:p w14:paraId="05C6DB6C" w14:textId="77777777" w:rsidR="001A784C" w:rsidRPr="00044C19" w:rsidRDefault="001A784C" w:rsidP="001210A1">
            <w:pPr>
              <w:jc w:val="both"/>
              <w:outlineLvl w:val="4"/>
              <w:rPr>
                <w:rFonts w:eastAsia="Times New Roman" w:cs="Open Sans"/>
                <w:b/>
                <w:sz w:val="18"/>
                <w:szCs w:val="18"/>
              </w:rPr>
            </w:pPr>
            <w:bookmarkStart w:id="3" w:name="_Hlk58400294"/>
            <w:r w:rsidRPr="00044C19">
              <w:rPr>
                <w:rFonts w:eastAsia="Times New Roman" w:cs="Open Sans"/>
                <w:b/>
                <w:sz w:val="18"/>
                <w:szCs w:val="18"/>
              </w:rPr>
              <w:t>Year</w:t>
            </w:r>
          </w:p>
        </w:tc>
        <w:tc>
          <w:tcPr>
            <w:tcW w:w="2756" w:type="dxa"/>
            <w:shd w:val="clear" w:color="auto" w:fill="F2F2F2"/>
          </w:tcPr>
          <w:p w14:paraId="38DC60B4" w14:textId="0ABBDC92" w:rsidR="001A784C" w:rsidRPr="00D064CE" w:rsidRDefault="001A784C" w:rsidP="001210A1">
            <w:pPr>
              <w:jc w:val="center"/>
              <w:outlineLvl w:val="4"/>
              <w:rPr>
                <w:rFonts w:eastAsia="Times New Roman" w:cs="Open Sans"/>
                <w:b/>
                <w:sz w:val="18"/>
                <w:szCs w:val="18"/>
              </w:rPr>
            </w:pPr>
            <w:r w:rsidRPr="00D064CE">
              <w:rPr>
                <w:rFonts w:eastAsia="Times New Roman" w:cs="Open Sans"/>
                <w:b/>
                <w:sz w:val="18"/>
                <w:szCs w:val="18"/>
              </w:rPr>
              <w:t>Experian Retail Planner Briefing Note 11</w:t>
            </w:r>
            <w:r w:rsidR="00130CBF" w:rsidRPr="00D064CE">
              <w:rPr>
                <w:rFonts w:eastAsia="Times New Roman" w:cs="Open Sans"/>
                <w:b/>
                <w:sz w:val="18"/>
                <w:szCs w:val="18"/>
              </w:rPr>
              <w:t xml:space="preserve"> </w:t>
            </w:r>
            <w:r w:rsidR="00130CBF" w:rsidRPr="00B44051">
              <w:rPr>
                <w:rFonts w:eastAsia="Times New Roman" w:cs="Open Sans"/>
                <w:b/>
                <w:sz w:val="18"/>
                <w:szCs w:val="18"/>
              </w:rPr>
              <w:t>(2013)</w:t>
            </w:r>
          </w:p>
          <w:p w14:paraId="7976A225" w14:textId="77777777" w:rsidR="001A784C" w:rsidRPr="00D064CE" w:rsidRDefault="001A784C" w:rsidP="001210A1">
            <w:pPr>
              <w:jc w:val="center"/>
              <w:outlineLvl w:val="4"/>
              <w:rPr>
                <w:rFonts w:eastAsia="Times New Roman" w:cs="Open Sans"/>
                <w:b/>
                <w:sz w:val="18"/>
                <w:szCs w:val="18"/>
              </w:rPr>
            </w:pPr>
            <w:r w:rsidRPr="00D064CE">
              <w:rPr>
                <w:rFonts w:eastAsia="Times New Roman" w:cs="Open Sans"/>
                <w:b/>
                <w:sz w:val="18"/>
                <w:szCs w:val="18"/>
              </w:rPr>
              <w:t>(% change year-on-year)</w:t>
            </w:r>
          </w:p>
        </w:tc>
        <w:tc>
          <w:tcPr>
            <w:tcW w:w="2756" w:type="dxa"/>
            <w:tcBorders>
              <w:bottom w:val="single" w:sz="4" w:space="0" w:color="auto"/>
            </w:tcBorders>
            <w:shd w:val="clear" w:color="auto" w:fill="F2F2F2"/>
          </w:tcPr>
          <w:p w14:paraId="57374D97" w14:textId="5D1E2CDC" w:rsidR="001A784C" w:rsidRPr="00D064CE" w:rsidRDefault="001A784C" w:rsidP="001210A1">
            <w:pPr>
              <w:jc w:val="center"/>
              <w:outlineLvl w:val="4"/>
              <w:rPr>
                <w:rFonts w:eastAsia="Times New Roman" w:cs="Open Sans"/>
                <w:b/>
                <w:sz w:val="18"/>
                <w:szCs w:val="18"/>
              </w:rPr>
            </w:pPr>
            <w:r w:rsidRPr="00D064CE">
              <w:rPr>
                <w:rFonts w:eastAsia="Times New Roman" w:cs="Open Sans"/>
                <w:b/>
                <w:sz w:val="18"/>
                <w:szCs w:val="18"/>
              </w:rPr>
              <w:t>Experian Retail Planner Briefing Note 19</w:t>
            </w:r>
            <w:r w:rsidR="00130CBF" w:rsidRPr="00D064CE">
              <w:rPr>
                <w:rFonts w:eastAsia="Times New Roman" w:cs="Open Sans"/>
                <w:b/>
                <w:sz w:val="18"/>
                <w:szCs w:val="18"/>
              </w:rPr>
              <w:t xml:space="preserve"> </w:t>
            </w:r>
            <w:r w:rsidR="00130CBF" w:rsidRPr="00B44051">
              <w:rPr>
                <w:rFonts w:eastAsia="Times New Roman" w:cs="Open Sans"/>
                <w:b/>
                <w:sz w:val="18"/>
                <w:szCs w:val="18"/>
              </w:rPr>
              <w:t>(</w:t>
            </w:r>
            <w:r w:rsidR="00732D0F" w:rsidRPr="00B44051">
              <w:rPr>
                <w:rFonts w:eastAsia="Times New Roman" w:cs="Open Sans"/>
                <w:b/>
                <w:sz w:val="18"/>
                <w:szCs w:val="18"/>
              </w:rPr>
              <w:t>2022</w:t>
            </w:r>
            <w:r w:rsidR="00732D0F" w:rsidRPr="00D064CE">
              <w:rPr>
                <w:rFonts w:eastAsia="Times New Roman" w:cs="Open Sans"/>
                <w:b/>
                <w:sz w:val="18"/>
                <w:szCs w:val="18"/>
              </w:rPr>
              <w:t>)</w:t>
            </w:r>
          </w:p>
          <w:p w14:paraId="7FA88646" w14:textId="77777777" w:rsidR="001A784C" w:rsidRPr="00D064CE" w:rsidRDefault="001A784C" w:rsidP="001210A1">
            <w:pPr>
              <w:jc w:val="center"/>
              <w:outlineLvl w:val="4"/>
              <w:rPr>
                <w:rFonts w:eastAsia="Times New Roman" w:cs="Open Sans"/>
                <w:b/>
                <w:sz w:val="18"/>
                <w:szCs w:val="18"/>
              </w:rPr>
            </w:pPr>
            <w:r w:rsidRPr="00D064CE">
              <w:rPr>
                <w:rFonts w:eastAsia="Times New Roman" w:cs="Open Sans"/>
                <w:b/>
                <w:sz w:val="18"/>
                <w:szCs w:val="18"/>
              </w:rPr>
              <w:t>(% change year-on-year)</w:t>
            </w:r>
          </w:p>
        </w:tc>
      </w:tr>
      <w:tr w:rsidR="00A66307" w:rsidRPr="00044C19" w14:paraId="3D6C3221" w14:textId="77777777" w:rsidTr="00A66307">
        <w:tc>
          <w:tcPr>
            <w:tcW w:w="2764" w:type="dxa"/>
            <w:shd w:val="clear" w:color="auto" w:fill="auto"/>
          </w:tcPr>
          <w:p w14:paraId="03CA26B5" w14:textId="77777777" w:rsidR="00A66307" w:rsidRPr="00044C19" w:rsidRDefault="00A66307" w:rsidP="00A66307">
            <w:pPr>
              <w:jc w:val="both"/>
              <w:outlineLvl w:val="4"/>
              <w:rPr>
                <w:rFonts w:eastAsia="Calibri" w:cs="Open Sans"/>
                <w:bCs/>
                <w:sz w:val="18"/>
                <w:szCs w:val="18"/>
              </w:rPr>
            </w:pPr>
            <w:r>
              <w:rPr>
                <w:rFonts w:eastAsia="Calibri" w:cs="Open Sans"/>
                <w:bCs/>
                <w:sz w:val="18"/>
                <w:szCs w:val="18"/>
              </w:rPr>
              <w:t>2013</w:t>
            </w:r>
          </w:p>
        </w:tc>
        <w:tc>
          <w:tcPr>
            <w:tcW w:w="2756" w:type="dxa"/>
            <w:shd w:val="clear" w:color="auto" w:fill="auto"/>
          </w:tcPr>
          <w:p w14:paraId="7D3B9B28" w14:textId="0FC0992C" w:rsidR="00A66307" w:rsidRPr="00A66307" w:rsidRDefault="00A66307" w:rsidP="00A66307">
            <w:pPr>
              <w:jc w:val="center"/>
              <w:outlineLvl w:val="4"/>
              <w:rPr>
                <w:rFonts w:eastAsia="Calibri" w:cs="Open Sans"/>
                <w:sz w:val="18"/>
                <w:szCs w:val="18"/>
              </w:rPr>
            </w:pPr>
            <w:r w:rsidRPr="00A66307">
              <w:rPr>
                <w:rFonts w:eastAsia="Calibri" w:cs="Open Sans"/>
                <w:sz w:val="18"/>
                <w:szCs w:val="18"/>
              </w:rPr>
              <w:t>-1.0</w:t>
            </w:r>
          </w:p>
        </w:tc>
        <w:tc>
          <w:tcPr>
            <w:tcW w:w="2756" w:type="dxa"/>
            <w:shd w:val="clear" w:color="auto" w:fill="auto"/>
          </w:tcPr>
          <w:p w14:paraId="72BC5094" w14:textId="36DCDD80" w:rsidR="00A66307" w:rsidRPr="00A66307" w:rsidRDefault="00A66307" w:rsidP="00A66307">
            <w:pPr>
              <w:jc w:val="center"/>
              <w:outlineLvl w:val="4"/>
              <w:rPr>
                <w:rFonts w:eastAsia="Calibri" w:cs="Open Sans"/>
                <w:sz w:val="18"/>
                <w:szCs w:val="18"/>
              </w:rPr>
            </w:pPr>
            <w:r>
              <w:rPr>
                <w:rFonts w:eastAsia="Calibri" w:cs="Open Sans"/>
                <w:sz w:val="18"/>
                <w:szCs w:val="18"/>
              </w:rPr>
              <w:t>-0.4</w:t>
            </w:r>
          </w:p>
        </w:tc>
      </w:tr>
      <w:tr w:rsidR="00A66307" w:rsidRPr="00044C19" w14:paraId="39A91225" w14:textId="77777777" w:rsidTr="00A66307">
        <w:tc>
          <w:tcPr>
            <w:tcW w:w="2764" w:type="dxa"/>
            <w:shd w:val="clear" w:color="auto" w:fill="auto"/>
          </w:tcPr>
          <w:p w14:paraId="7ACBF945" w14:textId="77777777" w:rsidR="00A66307" w:rsidRPr="00044C19" w:rsidRDefault="00A66307" w:rsidP="00A66307">
            <w:pPr>
              <w:jc w:val="both"/>
              <w:outlineLvl w:val="4"/>
              <w:rPr>
                <w:rFonts w:eastAsia="Calibri" w:cs="Open Sans"/>
                <w:bCs/>
                <w:sz w:val="18"/>
                <w:szCs w:val="18"/>
              </w:rPr>
            </w:pPr>
            <w:r>
              <w:rPr>
                <w:rFonts w:eastAsia="Calibri" w:cs="Open Sans"/>
                <w:bCs/>
                <w:sz w:val="18"/>
                <w:szCs w:val="18"/>
              </w:rPr>
              <w:t>2014</w:t>
            </w:r>
          </w:p>
        </w:tc>
        <w:tc>
          <w:tcPr>
            <w:tcW w:w="2756" w:type="dxa"/>
            <w:shd w:val="clear" w:color="auto" w:fill="auto"/>
          </w:tcPr>
          <w:p w14:paraId="7E26D1BC" w14:textId="04F3A461" w:rsidR="00A66307" w:rsidRPr="00A66307" w:rsidRDefault="00A66307" w:rsidP="00A66307">
            <w:pPr>
              <w:jc w:val="center"/>
              <w:outlineLvl w:val="4"/>
              <w:rPr>
                <w:rFonts w:eastAsia="Calibri" w:cs="Open Sans"/>
                <w:sz w:val="18"/>
                <w:szCs w:val="18"/>
              </w:rPr>
            </w:pPr>
            <w:r w:rsidRPr="00A66307">
              <w:rPr>
                <w:rFonts w:eastAsia="Calibri" w:cs="Open Sans"/>
                <w:sz w:val="18"/>
                <w:szCs w:val="18"/>
              </w:rPr>
              <w:t>-0.6</w:t>
            </w:r>
          </w:p>
        </w:tc>
        <w:tc>
          <w:tcPr>
            <w:tcW w:w="2756" w:type="dxa"/>
            <w:shd w:val="clear" w:color="auto" w:fill="auto"/>
          </w:tcPr>
          <w:p w14:paraId="32491B4C" w14:textId="79E67BA4" w:rsidR="00A66307" w:rsidRPr="00A66307" w:rsidRDefault="00A66307" w:rsidP="00A66307">
            <w:pPr>
              <w:jc w:val="center"/>
              <w:outlineLvl w:val="4"/>
              <w:rPr>
                <w:rFonts w:eastAsia="Calibri" w:cs="Open Sans"/>
                <w:sz w:val="18"/>
                <w:szCs w:val="18"/>
              </w:rPr>
            </w:pPr>
            <w:r w:rsidRPr="00A66307">
              <w:rPr>
                <w:sz w:val="18"/>
                <w:szCs w:val="18"/>
              </w:rPr>
              <w:t>-0.4</w:t>
            </w:r>
          </w:p>
        </w:tc>
      </w:tr>
      <w:tr w:rsidR="00A66307" w:rsidRPr="00044C19" w14:paraId="3EF9ADA1" w14:textId="77777777" w:rsidTr="00A66307">
        <w:tc>
          <w:tcPr>
            <w:tcW w:w="2764" w:type="dxa"/>
            <w:shd w:val="clear" w:color="auto" w:fill="auto"/>
          </w:tcPr>
          <w:p w14:paraId="2629DF9F" w14:textId="77777777" w:rsidR="00A66307" w:rsidRPr="00044C19" w:rsidRDefault="00A66307" w:rsidP="00A66307">
            <w:pPr>
              <w:jc w:val="both"/>
              <w:outlineLvl w:val="4"/>
              <w:rPr>
                <w:rFonts w:eastAsia="Calibri" w:cs="Open Sans"/>
                <w:bCs/>
                <w:sz w:val="18"/>
                <w:szCs w:val="18"/>
              </w:rPr>
            </w:pPr>
            <w:r w:rsidRPr="00044C19">
              <w:rPr>
                <w:rFonts w:eastAsia="Calibri" w:cs="Open Sans"/>
                <w:bCs/>
                <w:sz w:val="18"/>
                <w:szCs w:val="18"/>
              </w:rPr>
              <w:t>2015</w:t>
            </w:r>
          </w:p>
        </w:tc>
        <w:tc>
          <w:tcPr>
            <w:tcW w:w="2756" w:type="dxa"/>
            <w:shd w:val="clear" w:color="auto" w:fill="auto"/>
          </w:tcPr>
          <w:p w14:paraId="2F74A9DC" w14:textId="644FF7CD" w:rsidR="00A66307" w:rsidRPr="00A66307" w:rsidRDefault="00A66307" w:rsidP="00A66307">
            <w:pPr>
              <w:jc w:val="center"/>
              <w:outlineLvl w:val="4"/>
              <w:rPr>
                <w:rFonts w:eastAsia="Calibri" w:cs="Open Sans"/>
                <w:sz w:val="18"/>
                <w:szCs w:val="18"/>
              </w:rPr>
            </w:pPr>
            <w:r w:rsidRPr="00A66307">
              <w:rPr>
                <w:rFonts w:eastAsia="Calibri" w:cs="Open Sans"/>
                <w:sz w:val="18"/>
                <w:szCs w:val="18"/>
              </w:rPr>
              <w:t>-0.1</w:t>
            </w:r>
          </w:p>
        </w:tc>
        <w:tc>
          <w:tcPr>
            <w:tcW w:w="2756" w:type="dxa"/>
            <w:shd w:val="clear" w:color="auto" w:fill="auto"/>
          </w:tcPr>
          <w:p w14:paraId="29A52142" w14:textId="1A2249C0" w:rsidR="00A66307" w:rsidRPr="00A66307" w:rsidRDefault="00A66307" w:rsidP="00A66307">
            <w:pPr>
              <w:jc w:val="center"/>
              <w:outlineLvl w:val="4"/>
              <w:rPr>
                <w:rFonts w:eastAsia="Calibri" w:cs="Open Sans"/>
                <w:sz w:val="18"/>
                <w:szCs w:val="18"/>
              </w:rPr>
            </w:pPr>
            <w:r w:rsidRPr="00A66307">
              <w:rPr>
                <w:sz w:val="18"/>
                <w:szCs w:val="18"/>
              </w:rPr>
              <w:t>-2.2</w:t>
            </w:r>
          </w:p>
        </w:tc>
      </w:tr>
      <w:tr w:rsidR="00A66307" w:rsidRPr="00044C19" w14:paraId="506BD962" w14:textId="77777777" w:rsidTr="00A66307">
        <w:tc>
          <w:tcPr>
            <w:tcW w:w="2764" w:type="dxa"/>
            <w:shd w:val="clear" w:color="auto" w:fill="auto"/>
          </w:tcPr>
          <w:p w14:paraId="0B86CC5D" w14:textId="77777777" w:rsidR="00A66307" w:rsidRPr="00044C19" w:rsidRDefault="00A66307" w:rsidP="00A66307">
            <w:pPr>
              <w:jc w:val="both"/>
              <w:outlineLvl w:val="4"/>
              <w:rPr>
                <w:rFonts w:eastAsia="Calibri" w:cs="Open Sans"/>
                <w:bCs/>
                <w:sz w:val="18"/>
                <w:szCs w:val="18"/>
              </w:rPr>
            </w:pPr>
            <w:r w:rsidRPr="00044C19">
              <w:rPr>
                <w:rFonts w:eastAsia="Calibri" w:cs="Open Sans"/>
                <w:bCs/>
                <w:sz w:val="18"/>
                <w:szCs w:val="18"/>
              </w:rPr>
              <w:t>2016</w:t>
            </w:r>
          </w:p>
        </w:tc>
        <w:tc>
          <w:tcPr>
            <w:tcW w:w="2756" w:type="dxa"/>
            <w:shd w:val="clear" w:color="auto" w:fill="auto"/>
          </w:tcPr>
          <w:p w14:paraId="4D5ABB37" w14:textId="5621A6C8" w:rsidR="00A66307" w:rsidRPr="00A66307" w:rsidRDefault="00A66307" w:rsidP="00A66307">
            <w:pPr>
              <w:jc w:val="center"/>
              <w:outlineLvl w:val="4"/>
              <w:rPr>
                <w:rFonts w:eastAsia="Calibri" w:cs="Open Sans"/>
                <w:sz w:val="18"/>
                <w:szCs w:val="18"/>
              </w:rPr>
            </w:pPr>
            <w:r w:rsidRPr="00A66307">
              <w:rPr>
                <w:rFonts w:eastAsia="Calibri" w:cs="Open Sans"/>
                <w:sz w:val="18"/>
                <w:szCs w:val="18"/>
              </w:rPr>
              <w:t>0.4</w:t>
            </w:r>
          </w:p>
        </w:tc>
        <w:tc>
          <w:tcPr>
            <w:tcW w:w="2756" w:type="dxa"/>
            <w:shd w:val="clear" w:color="auto" w:fill="auto"/>
          </w:tcPr>
          <w:p w14:paraId="2CCD05FF" w14:textId="3074184D" w:rsidR="00A66307" w:rsidRPr="00A66307" w:rsidRDefault="00A66307" w:rsidP="00A66307">
            <w:pPr>
              <w:jc w:val="center"/>
              <w:outlineLvl w:val="4"/>
              <w:rPr>
                <w:rFonts w:eastAsia="Calibri" w:cs="Open Sans"/>
                <w:sz w:val="18"/>
                <w:szCs w:val="18"/>
              </w:rPr>
            </w:pPr>
            <w:r w:rsidRPr="00A66307">
              <w:rPr>
                <w:sz w:val="18"/>
                <w:szCs w:val="18"/>
              </w:rPr>
              <w:t>3.5</w:t>
            </w:r>
          </w:p>
        </w:tc>
      </w:tr>
      <w:tr w:rsidR="00A66307" w:rsidRPr="00044C19" w14:paraId="40849D73" w14:textId="77777777" w:rsidTr="00A66307">
        <w:tc>
          <w:tcPr>
            <w:tcW w:w="2764" w:type="dxa"/>
            <w:shd w:val="clear" w:color="auto" w:fill="auto"/>
          </w:tcPr>
          <w:p w14:paraId="547F64F5" w14:textId="77777777" w:rsidR="00A66307" w:rsidRPr="00044C19" w:rsidRDefault="00A66307" w:rsidP="00A66307">
            <w:pPr>
              <w:jc w:val="both"/>
              <w:outlineLvl w:val="4"/>
              <w:rPr>
                <w:rFonts w:eastAsia="Calibri" w:cs="Open Sans"/>
                <w:bCs/>
                <w:sz w:val="18"/>
                <w:szCs w:val="18"/>
              </w:rPr>
            </w:pPr>
            <w:r w:rsidRPr="00044C19">
              <w:rPr>
                <w:rFonts w:eastAsia="Calibri" w:cs="Open Sans"/>
                <w:bCs/>
                <w:sz w:val="18"/>
                <w:szCs w:val="18"/>
              </w:rPr>
              <w:t>2017</w:t>
            </w:r>
          </w:p>
        </w:tc>
        <w:tc>
          <w:tcPr>
            <w:tcW w:w="2756" w:type="dxa"/>
            <w:shd w:val="clear" w:color="auto" w:fill="auto"/>
          </w:tcPr>
          <w:p w14:paraId="3650FB79" w14:textId="23966504" w:rsidR="00A66307" w:rsidRPr="00A66307" w:rsidRDefault="00A66307" w:rsidP="00A66307">
            <w:pPr>
              <w:jc w:val="center"/>
              <w:outlineLvl w:val="4"/>
              <w:rPr>
                <w:rFonts w:eastAsia="Calibri" w:cs="Open Sans"/>
                <w:spacing w:val="-1"/>
                <w:sz w:val="18"/>
                <w:szCs w:val="18"/>
              </w:rPr>
            </w:pPr>
            <w:r w:rsidRPr="00A66307">
              <w:rPr>
                <w:rFonts w:eastAsia="Calibri" w:cs="Open Sans"/>
                <w:spacing w:val="-1"/>
                <w:sz w:val="18"/>
                <w:szCs w:val="18"/>
              </w:rPr>
              <w:t>0.6</w:t>
            </w:r>
          </w:p>
        </w:tc>
        <w:tc>
          <w:tcPr>
            <w:tcW w:w="2756" w:type="dxa"/>
            <w:shd w:val="clear" w:color="auto" w:fill="auto"/>
          </w:tcPr>
          <w:p w14:paraId="5BCC1D15" w14:textId="70D51BBC" w:rsidR="00A66307" w:rsidRPr="00A66307" w:rsidRDefault="00A66307" w:rsidP="00A66307">
            <w:pPr>
              <w:jc w:val="center"/>
              <w:outlineLvl w:val="4"/>
              <w:rPr>
                <w:rFonts w:eastAsia="Times New Roman" w:cs="Open Sans"/>
                <w:bCs/>
                <w:sz w:val="18"/>
                <w:szCs w:val="18"/>
              </w:rPr>
            </w:pPr>
            <w:r w:rsidRPr="00A66307">
              <w:rPr>
                <w:sz w:val="18"/>
                <w:szCs w:val="18"/>
              </w:rPr>
              <w:t>-0.3</w:t>
            </w:r>
          </w:p>
        </w:tc>
      </w:tr>
      <w:tr w:rsidR="00A66307" w:rsidRPr="00044C19" w14:paraId="6A5B8FFC" w14:textId="77777777" w:rsidTr="00A66307">
        <w:tc>
          <w:tcPr>
            <w:tcW w:w="2764" w:type="dxa"/>
            <w:shd w:val="clear" w:color="auto" w:fill="auto"/>
          </w:tcPr>
          <w:p w14:paraId="3A99110E"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2018</w:t>
            </w:r>
          </w:p>
        </w:tc>
        <w:tc>
          <w:tcPr>
            <w:tcW w:w="2756" w:type="dxa"/>
            <w:shd w:val="clear" w:color="auto" w:fill="auto"/>
          </w:tcPr>
          <w:p w14:paraId="1D301C7B" w14:textId="4C015CD2"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0.6</w:t>
            </w:r>
          </w:p>
        </w:tc>
        <w:tc>
          <w:tcPr>
            <w:tcW w:w="2756" w:type="dxa"/>
            <w:shd w:val="clear" w:color="auto" w:fill="auto"/>
          </w:tcPr>
          <w:p w14:paraId="59C15EB8" w14:textId="3A95EC5D" w:rsidR="00A66307" w:rsidRPr="00A66307" w:rsidRDefault="00A66307" w:rsidP="00A66307">
            <w:pPr>
              <w:jc w:val="center"/>
              <w:outlineLvl w:val="4"/>
              <w:rPr>
                <w:rFonts w:eastAsia="Times New Roman" w:cs="Open Sans"/>
                <w:bCs/>
                <w:sz w:val="18"/>
                <w:szCs w:val="18"/>
              </w:rPr>
            </w:pPr>
            <w:r w:rsidRPr="00A66307">
              <w:rPr>
                <w:sz w:val="18"/>
                <w:szCs w:val="18"/>
              </w:rPr>
              <w:t>-0.4</w:t>
            </w:r>
          </w:p>
        </w:tc>
      </w:tr>
      <w:tr w:rsidR="00A66307" w:rsidRPr="00044C19" w14:paraId="73DD2F48" w14:textId="77777777" w:rsidTr="00A66307">
        <w:tc>
          <w:tcPr>
            <w:tcW w:w="2764" w:type="dxa"/>
            <w:shd w:val="clear" w:color="auto" w:fill="auto"/>
          </w:tcPr>
          <w:p w14:paraId="55AF99E7"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2019</w:t>
            </w:r>
          </w:p>
        </w:tc>
        <w:tc>
          <w:tcPr>
            <w:tcW w:w="2756" w:type="dxa"/>
            <w:shd w:val="clear" w:color="auto" w:fill="auto"/>
          </w:tcPr>
          <w:p w14:paraId="4CB00736" w14:textId="5174971F"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0.6</w:t>
            </w:r>
          </w:p>
        </w:tc>
        <w:tc>
          <w:tcPr>
            <w:tcW w:w="2756" w:type="dxa"/>
            <w:shd w:val="clear" w:color="auto" w:fill="auto"/>
          </w:tcPr>
          <w:p w14:paraId="181189B9" w14:textId="2499895F" w:rsidR="00A66307" w:rsidRPr="00A66307" w:rsidRDefault="00A66307" w:rsidP="00A66307">
            <w:pPr>
              <w:jc w:val="center"/>
              <w:outlineLvl w:val="4"/>
              <w:rPr>
                <w:rFonts w:eastAsia="Times New Roman" w:cs="Open Sans"/>
                <w:bCs/>
                <w:sz w:val="18"/>
                <w:szCs w:val="18"/>
              </w:rPr>
            </w:pPr>
            <w:r w:rsidRPr="00A66307">
              <w:rPr>
                <w:sz w:val="18"/>
                <w:szCs w:val="18"/>
              </w:rPr>
              <w:t>-1.6</w:t>
            </w:r>
          </w:p>
        </w:tc>
      </w:tr>
      <w:tr w:rsidR="00A66307" w:rsidRPr="00044C19" w14:paraId="34B92F8B" w14:textId="77777777" w:rsidTr="00A66307">
        <w:tc>
          <w:tcPr>
            <w:tcW w:w="2764" w:type="dxa"/>
            <w:shd w:val="clear" w:color="auto" w:fill="auto"/>
          </w:tcPr>
          <w:p w14:paraId="076BDC63"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2020</w:t>
            </w:r>
          </w:p>
        </w:tc>
        <w:tc>
          <w:tcPr>
            <w:tcW w:w="2756" w:type="dxa"/>
            <w:shd w:val="clear" w:color="auto" w:fill="auto"/>
          </w:tcPr>
          <w:p w14:paraId="4FF285ED" w14:textId="7A2B9A65"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0.7</w:t>
            </w:r>
          </w:p>
        </w:tc>
        <w:tc>
          <w:tcPr>
            <w:tcW w:w="2756" w:type="dxa"/>
            <w:shd w:val="clear" w:color="auto" w:fill="auto"/>
          </w:tcPr>
          <w:p w14:paraId="2608A546" w14:textId="3137D655" w:rsidR="00A66307" w:rsidRPr="00A66307" w:rsidRDefault="00A66307" w:rsidP="00A66307">
            <w:pPr>
              <w:jc w:val="center"/>
              <w:outlineLvl w:val="4"/>
              <w:rPr>
                <w:rFonts w:eastAsia="Times New Roman" w:cs="Open Sans"/>
                <w:bCs/>
                <w:sz w:val="18"/>
                <w:szCs w:val="18"/>
              </w:rPr>
            </w:pPr>
            <w:r w:rsidRPr="00A66307">
              <w:rPr>
                <w:sz w:val="18"/>
                <w:szCs w:val="18"/>
              </w:rPr>
              <w:t>7.2</w:t>
            </w:r>
          </w:p>
        </w:tc>
      </w:tr>
      <w:tr w:rsidR="00A66307" w:rsidRPr="00044C19" w14:paraId="4F767243" w14:textId="77777777" w:rsidTr="00A66307">
        <w:tc>
          <w:tcPr>
            <w:tcW w:w="2764" w:type="dxa"/>
            <w:shd w:val="clear" w:color="auto" w:fill="auto"/>
          </w:tcPr>
          <w:p w14:paraId="3F61BB6B"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2021</w:t>
            </w:r>
          </w:p>
        </w:tc>
        <w:tc>
          <w:tcPr>
            <w:tcW w:w="2756" w:type="dxa"/>
            <w:shd w:val="clear" w:color="auto" w:fill="auto"/>
          </w:tcPr>
          <w:p w14:paraId="235FBC22" w14:textId="6BC2C380"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0.5</w:t>
            </w:r>
          </w:p>
        </w:tc>
        <w:tc>
          <w:tcPr>
            <w:tcW w:w="2756" w:type="dxa"/>
            <w:shd w:val="clear" w:color="auto" w:fill="auto"/>
          </w:tcPr>
          <w:p w14:paraId="2AC12A09" w14:textId="46264608" w:rsidR="00A66307" w:rsidRPr="00A66307" w:rsidRDefault="00A66307" w:rsidP="00A66307">
            <w:pPr>
              <w:jc w:val="center"/>
              <w:outlineLvl w:val="4"/>
              <w:rPr>
                <w:rFonts w:eastAsia="Times New Roman" w:cs="Open Sans"/>
                <w:bCs/>
                <w:sz w:val="18"/>
                <w:szCs w:val="18"/>
              </w:rPr>
            </w:pPr>
            <w:r w:rsidRPr="00A66307">
              <w:rPr>
                <w:sz w:val="18"/>
                <w:szCs w:val="18"/>
              </w:rPr>
              <w:t>-4.6</w:t>
            </w:r>
          </w:p>
        </w:tc>
      </w:tr>
      <w:tr w:rsidR="00A66307" w:rsidRPr="00044C19" w14:paraId="7EC83688" w14:textId="77777777" w:rsidTr="00A66307">
        <w:tc>
          <w:tcPr>
            <w:tcW w:w="2764" w:type="dxa"/>
            <w:shd w:val="clear" w:color="auto" w:fill="auto"/>
          </w:tcPr>
          <w:p w14:paraId="0E0A49C3"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2022</w:t>
            </w:r>
          </w:p>
        </w:tc>
        <w:tc>
          <w:tcPr>
            <w:tcW w:w="2756" w:type="dxa"/>
            <w:shd w:val="clear" w:color="auto" w:fill="auto"/>
          </w:tcPr>
          <w:p w14:paraId="3BBC7403" w14:textId="62C3128B"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0.8</w:t>
            </w:r>
          </w:p>
        </w:tc>
        <w:tc>
          <w:tcPr>
            <w:tcW w:w="2756" w:type="dxa"/>
            <w:shd w:val="clear" w:color="auto" w:fill="auto"/>
          </w:tcPr>
          <w:p w14:paraId="47BB7D71" w14:textId="455981DD" w:rsidR="00A66307" w:rsidRPr="00A66307" w:rsidRDefault="00A66307" w:rsidP="00A66307">
            <w:pPr>
              <w:jc w:val="center"/>
              <w:outlineLvl w:val="4"/>
              <w:rPr>
                <w:rFonts w:eastAsia="Times New Roman" w:cs="Open Sans"/>
                <w:bCs/>
                <w:sz w:val="18"/>
                <w:szCs w:val="18"/>
              </w:rPr>
            </w:pPr>
            <w:r w:rsidRPr="00A66307">
              <w:rPr>
                <w:sz w:val="18"/>
                <w:szCs w:val="18"/>
              </w:rPr>
              <w:t>-1.4</w:t>
            </w:r>
          </w:p>
        </w:tc>
      </w:tr>
      <w:tr w:rsidR="00A66307" w:rsidRPr="00044C19" w14:paraId="574BEEB7" w14:textId="77777777" w:rsidTr="00A66307">
        <w:tc>
          <w:tcPr>
            <w:tcW w:w="2764" w:type="dxa"/>
            <w:shd w:val="clear" w:color="auto" w:fill="auto"/>
          </w:tcPr>
          <w:p w14:paraId="61E1017B"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2023</w:t>
            </w:r>
          </w:p>
        </w:tc>
        <w:tc>
          <w:tcPr>
            <w:tcW w:w="2756" w:type="dxa"/>
            <w:shd w:val="clear" w:color="auto" w:fill="auto"/>
          </w:tcPr>
          <w:p w14:paraId="1002B21D" w14:textId="27320773"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0.8</w:t>
            </w:r>
          </w:p>
        </w:tc>
        <w:tc>
          <w:tcPr>
            <w:tcW w:w="2756" w:type="dxa"/>
            <w:shd w:val="clear" w:color="auto" w:fill="auto"/>
          </w:tcPr>
          <w:p w14:paraId="5277C1A0" w14:textId="15D7D6C7" w:rsidR="00A66307" w:rsidRPr="00A66307" w:rsidRDefault="00A66307" w:rsidP="00A66307">
            <w:pPr>
              <w:jc w:val="center"/>
              <w:outlineLvl w:val="4"/>
              <w:rPr>
                <w:rFonts w:eastAsia="Times New Roman" w:cs="Open Sans"/>
                <w:bCs/>
                <w:sz w:val="18"/>
                <w:szCs w:val="18"/>
              </w:rPr>
            </w:pPr>
            <w:r w:rsidRPr="00A66307">
              <w:rPr>
                <w:sz w:val="18"/>
                <w:szCs w:val="18"/>
              </w:rPr>
              <w:t>-0.2</w:t>
            </w:r>
          </w:p>
        </w:tc>
      </w:tr>
      <w:tr w:rsidR="00A66307" w:rsidRPr="00044C19" w14:paraId="6ECE2C47" w14:textId="77777777" w:rsidTr="00A66307">
        <w:tc>
          <w:tcPr>
            <w:tcW w:w="2764" w:type="dxa"/>
            <w:shd w:val="clear" w:color="auto" w:fill="auto"/>
          </w:tcPr>
          <w:p w14:paraId="1711C949"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2024</w:t>
            </w:r>
          </w:p>
        </w:tc>
        <w:tc>
          <w:tcPr>
            <w:tcW w:w="2756" w:type="dxa"/>
            <w:shd w:val="clear" w:color="auto" w:fill="auto"/>
          </w:tcPr>
          <w:p w14:paraId="2063B117" w14:textId="421E78EA"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0.8</w:t>
            </w:r>
          </w:p>
        </w:tc>
        <w:tc>
          <w:tcPr>
            <w:tcW w:w="2756" w:type="dxa"/>
            <w:shd w:val="clear" w:color="auto" w:fill="auto"/>
          </w:tcPr>
          <w:p w14:paraId="2B8D8258" w14:textId="14573B74" w:rsidR="00A66307" w:rsidRPr="00A66307" w:rsidRDefault="00A66307" w:rsidP="00A66307">
            <w:pPr>
              <w:jc w:val="center"/>
              <w:outlineLvl w:val="4"/>
              <w:rPr>
                <w:rFonts w:eastAsia="Times New Roman" w:cs="Open Sans"/>
                <w:bCs/>
                <w:sz w:val="18"/>
                <w:szCs w:val="18"/>
              </w:rPr>
            </w:pPr>
            <w:r w:rsidRPr="00A66307">
              <w:rPr>
                <w:sz w:val="18"/>
                <w:szCs w:val="18"/>
              </w:rPr>
              <w:t>-0.2</w:t>
            </w:r>
          </w:p>
        </w:tc>
      </w:tr>
      <w:tr w:rsidR="00A66307" w:rsidRPr="00044C19" w14:paraId="3C1CA9C7" w14:textId="77777777" w:rsidTr="00A66307">
        <w:tc>
          <w:tcPr>
            <w:tcW w:w="2764" w:type="dxa"/>
            <w:shd w:val="clear" w:color="auto" w:fill="auto"/>
          </w:tcPr>
          <w:p w14:paraId="7685967A"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2025</w:t>
            </w:r>
          </w:p>
        </w:tc>
        <w:tc>
          <w:tcPr>
            <w:tcW w:w="2756" w:type="dxa"/>
            <w:shd w:val="clear" w:color="auto" w:fill="auto"/>
          </w:tcPr>
          <w:p w14:paraId="7DEABBBB" w14:textId="62A85334"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0.7</w:t>
            </w:r>
          </w:p>
        </w:tc>
        <w:tc>
          <w:tcPr>
            <w:tcW w:w="2756" w:type="dxa"/>
            <w:shd w:val="clear" w:color="auto" w:fill="auto"/>
          </w:tcPr>
          <w:p w14:paraId="3130E70D" w14:textId="71909C97" w:rsidR="00A66307" w:rsidRPr="00A66307" w:rsidRDefault="00A66307" w:rsidP="00A66307">
            <w:pPr>
              <w:jc w:val="center"/>
              <w:outlineLvl w:val="4"/>
              <w:rPr>
                <w:rFonts w:eastAsia="Times New Roman" w:cs="Open Sans"/>
                <w:bCs/>
                <w:sz w:val="18"/>
                <w:szCs w:val="18"/>
              </w:rPr>
            </w:pPr>
            <w:r w:rsidRPr="00A66307">
              <w:rPr>
                <w:sz w:val="18"/>
                <w:szCs w:val="18"/>
              </w:rPr>
              <w:t>-0.1</w:t>
            </w:r>
          </w:p>
        </w:tc>
      </w:tr>
      <w:tr w:rsidR="00A66307" w:rsidRPr="00044C19" w14:paraId="38064F5E" w14:textId="77777777" w:rsidTr="00A66307">
        <w:tc>
          <w:tcPr>
            <w:tcW w:w="2764" w:type="dxa"/>
            <w:shd w:val="clear" w:color="auto" w:fill="auto"/>
          </w:tcPr>
          <w:p w14:paraId="32A9F8C8"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2026</w:t>
            </w:r>
          </w:p>
        </w:tc>
        <w:tc>
          <w:tcPr>
            <w:tcW w:w="2756" w:type="dxa"/>
            <w:shd w:val="clear" w:color="auto" w:fill="auto"/>
          </w:tcPr>
          <w:p w14:paraId="3DB9E10E" w14:textId="5D5E656C"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0.6</w:t>
            </w:r>
          </w:p>
        </w:tc>
        <w:tc>
          <w:tcPr>
            <w:tcW w:w="2756" w:type="dxa"/>
            <w:shd w:val="clear" w:color="auto" w:fill="auto"/>
          </w:tcPr>
          <w:p w14:paraId="1EFBAC1B" w14:textId="53D449AF" w:rsidR="00A66307" w:rsidRPr="00A66307" w:rsidRDefault="00A66307" w:rsidP="00A66307">
            <w:pPr>
              <w:jc w:val="center"/>
              <w:outlineLvl w:val="4"/>
              <w:rPr>
                <w:rFonts w:eastAsia="Times New Roman" w:cs="Open Sans"/>
                <w:bCs/>
                <w:sz w:val="18"/>
                <w:szCs w:val="18"/>
              </w:rPr>
            </w:pPr>
            <w:r w:rsidRPr="00A66307">
              <w:rPr>
                <w:sz w:val="18"/>
                <w:szCs w:val="18"/>
              </w:rPr>
              <w:t>-0.1</w:t>
            </w:r>
          </w:p>
        </w:tc>
      </w:tr>
      <w:tr w:rsidR="00A66307" w:rsidRPr="00044C19" w14:paraId="35468B30" w14:textId="77777777" w:rsidTr="00A66307">
        <w:tc>
          <w:tcPr>
            <w:tcW w:w="2764" w:type="dxa"/>
            <w:shd w:val="clear" w:color="auto" w:fill="auto"/>
          </w:tcPr>
          <w:p w14:paraId="651F8E88"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2027</w:t>
            </w:r>
          </w:p>
        </w:tc>
        <w:tc>
          <w:tcPr>
            <w:tcW w:w="2756" w:type="dxa"/>
            <w:shd w:val="clear" w:color="auto" w:fill="auto"/>
          </w:tcPr>
          <w:p w14:paraId="06ABD8E4" w14:textId="5819EA5B"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0.6</w:t>
            </w:r>
          </w:p>
        </w:tc>
        <w:tc>
          <w:tcPr>
            <w:tcW w:w="2756" w:type="dxa"/>
            <w:shd w:val="clear" w:color="auto" w:fill="auto"/>
          </w:tcPr>
          <w:p w14:paraId="09AC625F" w14:textId="121BB018" w:rsidR="00A66307" w:rsidRPr="00A66307" w:rsidRDefault="00A66307" w:rsidP="00A66307">
            <w:pPr>
              <w:jc w:val="center"/>
              <w:outlineLvl w:val="4"/>
              <w:rPr>
                <w:rFonts w:eastAsia="Times New Roman" w:cs="Open Sans"/>
                <w:bCs/>
                <w:sz w:val="18"/>
                <w:szCs w:val="18"/>
              </w:rPr>
            </w:pPr>
            <w:r w:rsidRPr="00A66307">
              <w:rPr>
                <w:sz w:val="18"/>
                <w:szCs w:val="18"/>
              </w:rPr>
              <w:t>-0.1</w:t>
            </w:r>
          </w:p>
        </w:tc>
      </w:tr>
      <w:tr w:rsidR="00A66307" w:rsidRPr="00044C19" w14:paraId="60A01706" w14:textId="77777777" w:rsidTr="00A66307">
        <w:tc>
          <w:tcPr>
            <w:tcW w:w="2764" w:type="dxa"/>
            <w:shd w:val="clear" w:color="auto" w:fill="auto"/>
          </w:tcPr>
          <w:p w14:paraId="6E567E83"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2028</w:t>
            </w:r>
          </w:p>
        </w:tc>
        <w:tc>
          <w:tcPr>
            <w:tcW w:w="2756" w:type="dxa"/>
            <w:shd w:val="clear" w:color="auto" w:fill="auto"/>
          </w:tcPr>
          <w:p w14:paraId="07404BC6" w14:textId="5A0EF44C"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0.7</w:t>
            </w:r>
          </w:p>
        </w:tc>
        <w:tc>
          <w:tcPr>
            <w:tcW w:w="2756" w:type="dxa"/>
            <w:shd w:val="clear" w:color="auto" w:fill="auto"/>
          </w:tcPr>
          <w:p w14:paraId="48A798DC" w14:textId="4B3F4350" w:rsidR="00A66307" w:rsidRPr="00A66307" w:rsidRDefault="00A66307" w:rsidP="00A66307">
            <w:pPr>
              <w:jc w:val="center"/>
              <w:outlineLvl w:val="4"/>
              <w:rPr>
                <w:rFonts w:eastAsia="Times New Roman" w:cs="Open Sans"/>
                <w:bCs/>
                <w:sz w:val="18"/>
                <w:szCs w:val="18"/>
              </w:rPr>
            </w:pPr>
            <w:r w:rsidRPr="00A66307">
              <w:rPr>
                <w:sz w:val="18"/>
                <w:szCs w:val="18"/>
              </w:rPr>
              <w:t>0.0</w:t>
            </w:r>
          </w:p>
        </w:tc>
      </w:tr>
      <w:tr w:rsidR="00A66307" w:rsidRPr="00044C19" w14:paraId="5E0463F3" w14:textId="77777777" w:rsidTr="00A66307">
        <w:tc>
          <w:tcPr>
            <w:tcW w:w="2764" w:type="dxa"/>
            <w:shd w:val="clear" w:color="auto" w:fill="auto"/>
          </w:tcPr>
          <w:p w14:paraId="78A0189E"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2029</w:t>
            </w:r>
          </w:p>
        </w:tc>
        <w:tc>
          <w:tcPr>
            <w:tcW w:w="2756" w:type="dxa"/>
            <w:shd w:val="clear" w:color="auto" w:fill="auto"/>
          </w:tcPr>
          <w:p w14:paraId="30DD64A1" w14:textId="3DEC312A"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0.8</w:t>
            </w:r>
          </w:p>
        </w:tc>
        <w:tc>
          <w:tcPr>
            <w:tcW w:w="2756" w:type="dxa"/>
            <w:shd w:val="clear" w:color="auto" w:fill="auto"/>
          </w:tcPr>
          <w:p w14:paraId="386A3873" w14:textId="55062F8D" w:rsidR="00A66307" w:rsidRPr="00A66307" w:rsidRDefault="00A66307" w:rsidP="00A66307">
            <w:pPr>
              <w:jc w:val="center"/>
              <w:outlineLvl w:val="4"/>
              <w:rPr>
                <w:rFonts w:eastAsia="Times New Roman" w:cs="Open Sans"/>
                <w:bCs/>
                <w:sz w:val="18"/>
                <w:szCs w:val="18"/>
              </w:rPr>
            </w:pPr>
            <w:r w:rsidRPr="00A66307">
              <w:rPr>
                <w:sz w:val="18"/>
                <w:szCs w:val="18"/>
              </w:rPr>
              <w:t>0.0</w:t>
            </w:r>
          </w:p>
        </w:tc>
      </w:tr>
      <w:tr w:rsidR="00A66307" w:rsidRPr="00044C19" w14:paraId="25BFD817" w14:textId="77777777" w:rsidTr="00A66307">
        <w:tc>
          <w:tcPr>
            <w:tcW w:w="2764" w:type="dxa"/>
            <w:shd w:val="clear" w:color="auto" w:fill="auto"/>
          </w:tcPr>
          <w:p w14:paraId="697B48C0"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2030</w:t>
            </w:r>
          </w:p>
        </w:tc>
        <w:tc>
          <w:tcPr>
            <w:tcW w:w="2756" w:type="dxa"/>
            <w:shd w:val="clear" w:color="auto" w:fill="auto"/>
          </w:tcPr>
          <w:p w14:paraId="39A2E809" w14:textId="763DA0D7"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0.8</w:t>
            </w:r>
          </w:p>
        </w:tc>
        <w:tc>
          <w:tcPr>
            <w:tcW w:w="2756" w:type="dxa"/>
            <w:shd w:val="clear" w:color="auto" w:fill="auto"/>
          </w:tcPr>
          <w:p w14:paraId="39AC6588" w14:textId="695B05BE" w:rsidR="00A66307" w:rsidRPr="00A66307" w:rsidRDefault="00A66307" w:rsidP="00A66307">
            <w:pPr>
              <w:jc w:val="center"/>
              <w:outlineLvl w:val="4"/>
              <w:rPr>
                <w:rFonts w:eastAsia="Times New Roman" w:cs="Open Sans"/>
                <w:bCs/>
                <w:sz w:val="18"/>
                <w:szCs w:val="18"/>
              </w:rPr>
            </w:pPr>
            <w:r w:rsidRPr="00A66307">
              <w:rPr>
                <w:sz w:val="18"/>
                <w:szCs w:val="18"/>
              </w:rPr>
              <w:t>0.0</w:t>
            </w:r>
          </w:p>
        </w:tc>
      </w:tr>
      <w:tr w:rsidR="00A66307" w:rsidRPr="00044C19" w14:paraId="426F38DF" w14:textId="77777777" w:rsidTr="001210A1">
        <w:tc>
          <w:tcPr>
            <w:tcW w:w="2764" w:type="dxa"/>
            <w:shd w:val="clear" w:color="auto" w:fill="auto"/>
          </w:tcPr>
          <w:p w14:paraId="4BD1C159" w14:textId="77777777" w:rsidR="00A66307" w:rsidRPr="00044C19" w:rsidRDefault="00A66307" w:rsidP="00A66307">
            <w:pPr>
              <w:jc w:val="both"/>
              <w:outlineLvl w:val="4"/>
              <w:rPr>
                <w:rFonts w:eastAsia="Times New Roman" w:cs="Open Sans"/>
                <w:bCs/>
                <w:sz w:val="18"/>
                <w:szCs w:val="18"/>
              </w:rPr>
            </w:pPr>
            <w:r w:rsidRPr="00044C19">
              <w:rPr>
                <w:rFonts w:eastAsia="Calibri" w:cs="Open Sans"/>
                <w:bCs/>
                <w:sz w:val="18"/>
                <w:szCs w:val="18"/>
              </w:rPr>
              <w:t>2031</w:t>
            </w:r>
          </w:p>
        </w:tc>
        <w:tc>
          <w:tcPr>
            <w:tcW w:w="2756" w:type="dxa"/>
            <w:shd w:val="clear" w:color="auto" w:fill="auto"/>
          </w:tcPr>
          <w:p w14:paraId="48F348C0" w14:textId="5907E096" w:rsidR="00A66307" w:rsidRPr="00A66307" w:rsidRDefault="00A66307" w:rsidP="00A66307">
            <w:pPr>
              <w:jc w:val="center"/>
              <w:outlineLvl w:val="4"/>
              <w:rPr>
                <w:rFonts w:eastAsia="Times New Roman" w:cs="Open Sans"/>
                <w:sz w:val="18"/>
                <w:szCs w:val="18"/>
              </w:rPr>
            </w:pPr>
            <w:r w:rsidRPr="00A66307">
              <w:rPr>
                <w:rFonts w:eastAsia="Times New Roman" w:cs="Open Sans"/>
                <w:sz w:val="18"/>
                <w:szCs w:val="18"/>
              </w:rPr>
              <w:t>0.8</w:t>
            </w:r>
          </w:p>
        </w:tc>
        <w:tc>
          <w:tcPr>
            <w:tcW w:w="2756" w:type="dxa"/>
            <w:shd w:val="clear" w:color="auto" w:fill="auto"/>
          </w:tcPr>
          <w:p w14:paraId="383ACA4A" w14:textId="63F83BD6" w:rsidR="00A66307" w:rsidRPr="00A66307" w:rsidRDefault="00A66307" w:rsidP="00A66307">
            <w:pPr>
              <w:jc w:val="center"/>
              <w:outlineLvl w:val="4"/>
              <w:rPr>
                <w:rFonts w:eastAsia="Times New Roman" w:cs="Open Sans"/>
                <w:bCs/>
                <w:sz w:val="18"/>
                <w:szCs w:val="18"/>
              </w:rPr>
            </w:pPr>
            <w:r w:rsidRPr="00A66307">
              <w:rPr>
                <w:sz w:val="18"/>
                <w:szCs w:val="18"/>
              </w:rPr>
              <w:t>0.1</w:t>
            </w:r>
          </w:p>
        </w:tc>
      </w:tr>
      <w:tr w:rsidR="00A66307" w:rsidRPr="00044C19" w14:paraId="445D086E" w14:textId="77777777" w:rsidTr="001210A1">
        <w:tc>
          <w:tcPr>
            <w:tcW w:w="2764" w:type="dxa"/>
            <w:shd w:val="clear" w:color="auto" w:fill="auto"/>
          </w:tcPr>
          <w:p w14:paraId="3FE5A17F" w14:textId="08E174E3" w:rsidR="00A66307" w:rsidRPr="00044C19" w:rsidRDefault="00A66307" w:rsidP="00A66307">
            <w:pPr>
              <w:jc w:val="both"/>
              <w:outlineLvl w:val="4"/>
              <w:rPr>
                <w:rFonts w:eastAsia="Calibri" w:cs="Open Sans"/>
                <w:b/>
                <w:i/>
                <w:iCs/>
                <w:sz w:val="18"/>
                <w:szCs w:val="18"/>
              </w:rPr>
            </w:pPr>
            <w:r w:rsidRPr="00044C19">
              <w:rPr>
                <w:rFonts w:eastAsia="Calibri" w:cs="Open Sans"/>
                <w:b/>
                <w:i/>
                <w:iCs/>
                <w:sz w:val="18"/>
                <w:szCs w:val="18"/>
              </w:rPr>
              <w:t>Change, 201</w:t>
            </w:r>
            <w:r>
              <w:rPr>
                <w:rFonts w:eastAsia="Calibri" w:cs="Open Sans"/>
                <w:b/>
                <w:i/>
                <w:iCs/>
                <w:sz w:val="18"/>
                <w:szCs w:val="18"/>
              </w:rPr>
              <w:t>3</w:t>
            </w:r>
            <w:r w:rsidRPr="00044C19">
              <w:rPr>
                <w:rFonts w:eastAsia="Calibri" w:cs="Open Sans"/>
                <w:b/>
                <w:i/>
                <w:iCs/>
                <w:sz w:val="18"/>
                <w:szCs w:val="18"/>
              </w:rPr>
              <w:t>-203</w:t>
            </w:r>
            <w:r>
              <w:rPr>
                <w:rFonts w:eastAsia="Calibri" w:cs="Open Sans"/>
                <w:b/>
                <w:i/>
                <w:iCs/>
                <w:sz w:val="18"/>
                <w:szCs w:val="18"/>
              </w:rPr>
              <w:t>1</w:t>
            </w:r>
          </w:p>
        </w:tc>
        <w:tc>
          <w:tcPr>
            <w:tcW w:w="2756" w:type="dxa"/>
            <w:shd w:val="clear" w:color="auto" w:fill="auto"/>
          </w:tcPr>
          <w:p w14:paraId="677160D9" w14:textId="12EA8B19" w:rsidR="00A66307" w:rsidRPr="00044C19" w:rsidRDefault="00A66307" w:rsidP="00A66307">
            <w:pPr>
              <w:jc w:val="center"/>
              <w:outlineLvl w:val="4"/>
              <w:rPr>
                <w:rFonts w:eastAsia="Calibri" w:cs="Open Sans"/>
                <w:b/>
                <w:bCs/>
                <w:i/>
                <w:iCs/>
                <w:sz w:val="18"/>
                <w:szCs w:val="18"/>
              </w:rPr>
            </w:pPr>
            <w:r>
              <w:rPr>
                <w:rFonts w:eastAsia="Calibri" w:cs="Open Sans"/>
                <w:b/>
                <w:bCs/>
                <w:i/>
                <w:iCs/>
                <w:sz w:val="18"/>
                <w:szCs w:val="18"/>
              </w:rPr>
              <w:t>+9.1</w:t>
            </w:r>
          </w:p>
        </w:tc>
        <w:tc>
          <w:tcPr>
            <w:tcW w:w="2756" w:type="dxa"/>
            <w:shd w:val="clear" w:color="auto" w:fill="auto"/>
          </w:tcPr>
          <w:p w14:paraId="039D4B43" w14:textId="59D79D31" w:rsidR="00A66307" w:rsidRPr="00044C19" w:rsidRDefault="00A66307" w:rsidP="00A66307">
            <w:pPr>
              <w:jc w:val="center"/>
              <w:outlineLvl w:val="4"/>
              <w:rPr>
                <w:rFonts w:eastAsia="Times New Roman" w:cs="Open Sans"/>
                <w:b/>
                <w:i/>
                <w:iCs/>
                <w:sz w:val="18"/>
                <w:szCs w:val="18"/>
              </w:rPr>
            </w:pPr>
            <w:r>
              <w:rPr>
                <w:rFonts w:eastAsia="Times New Roman" w:cs="Open Sans"/>
                <w:b/>
                <w:i/>
                <w:iCs/>
                <w:sz w:val="18"/>
                <w:szCs w:val="18"/>
              </w:rPr>
              <w:t>-1.2</w:t>
            </w:r>
          </w:p>
        </w:tc>
      </w:tr>
    </w:tbl>
    <w:bookmarkEnd w:id="3"/>
    <w:p w14:paraId="40193B8D" w14:textId="57C11936" w:rsidR="001A784C" w:rsidRPr="00044C19" w:rsidRDefault="001A784C" w:rsidP="001A784C">
      <w:pPr>
        <w:spacing w:after="240" w:line="360" w:lineRule="auto"/>
        <w:ind w:left="720"/>
        <w:jc w:val="both"/>
        <w:rPr>
          <w:rFonts w:eastAsia="Calibri" w:cs="Open Sans"/>
          <w:sz w:val="16"/>
          <w:szCs w:val="16"/>
        </w:rPr>
      </w:pPr>
      <w:r w:rsidRPr="00044C19">
        <w:rPr>
          <w:rFonts w:eastAsia="Calibri" w:cs="Open Sans"/>
          <w:sz w:val="16"/>
          <w:szCs w:val="16"/>
        </w:rPr>
        <w:t>Source: Experian Retail Planner Briefing Notes 1</w:t>
      </w:r>
      <w:r>
        <w:rPr>
          <w:rFonts w:eastAsia="Calibri" w:cs="Open Sans"/>
          <w:sz w:val="16"/>
          <w:szCs w:val="16"/>
        </w:rPr>
        <w:t>1</w:t>
      </w:r>
      <w:r w:rsidRPr="00044C19">
        <w:rPr>
          <w:rFonts w:eastAsia="Calibri" w:cs="Open Sans"/>
          <w:sz w:val="16"/>
          <w:szCs w:val="16"/>
        </w:rPr>
        <w:t xml:space="preserve"> and 1</w:t>
      </w:r>
      <w:r>
        <w:rPr>
          <w:rFonts w:eastAsia="Calibri" w:cs="Open Sans"/>
          <w:sz w:val="16"/>
          <w:szCs w:val="16"/>
        </w:rPr>
        <w:t>9</w:t>
      </w:r>
      <w:r w:rsidR="00427452">
        <w:rPr>
          <w:rFonts w:eastAsia="Calibri" w:cs="Open Sans"/>
          <w:sz w:val="16"/>
          <w:szCs w:val="16"/>
        </w:rPr>
        <w:t>. Excludes purely internet-based sales.</w:t>
      </w:r>
    </w:p>
    <w:p w14:paraId="3E6FFD5D" w14:textId="6957A24A" w:rsidR="00F51B3F" w:rsidRDefault="00F51B3F" w:rsidP="00F51B3F">
      <w:pPr>
        <w:pStyle w:val="Level1"/>
        <w:numPr>
          <w:ilvl w:val="0"/>
          <w:numId w:val="0"/>
        </w:numPr>
        <w:ind w:left="720"/>
      </w:pPr>
    </w:p>
    <w:p w14:paraId="61F9D1FD" w14:textId="47F9C056" w:rsidR="00F51B3F" w:rsidRDefault="00F51B3F" w:rsidP="00F51B3F">
      <w:pPr>
        <w:pStyle w:val="Level1"/>
        <w:numPr>
          <w:ilvl w:val="0"/>
          <w:numId w:val="0"/>
        </w:numPr>
        <w:ind w:left="720"/>
      </w:pPr>
    </w:p>
    <w:p w14:paraId="53546C85" w14:textId="68D41CE1" w:rsidR="00F51B3F" w:rsidRDefault="00F51B3F" w:rsidP="00F51B3F">
      <w:pPr>
        <w:pStyle w:val="Level1"/>
        <w:numPr>
          <w:ilvl w:val="0"/>
          <w:numId w:val="0"/>
        </w:numPr>
        <w:ind w:left="720"/>
      </w:pPr>
    </w:p>
    <w:p w14:paraId="2C64D987" w14:textId="33F9D833" w:rsidR="00F51B3F" w:rsidRDefault="00F51B3F" w:rsidP="00F51B3F">
      <w:pPr>
        <w:pStyle w:val="Level1"/>
        <w:numPr>
          <w:ilvl w:val="0"/>
          <w:numId w:val="0"/>
        </w:numPr>
        <w:ind w:left="720"/>
      </w:pPr>
    </w:p>
    <w:p w14:paraId="12E7F34C" w14:textId="676D6B1F" w:rsidR="00F51B3F" w:rsidRDefault="00F51B3F" w:rsidP="00F51B3F">
      <w:pPr>
        <w:pStyle w:val="Level1"/>
        <w:numPr>
          <w:ilvl w:val="0"/>
          <w:numId w:val="0"/>
        </w:numPr>
        <w:ind w:left="720"/>
      </w:pPr>
    </w:p>
    <w:p w14:paraId="6BB36D29" w14:textId="5D6FA31F" w:rsidR="00F51B3F" w:rsidRDefault="00F51B3F" w:rsidP="00F51B3F">
      <w:pPr>
        <w:pStyle w:val="Level1"/>
        <w:numPr>
          <w:ilvl w:val="0"/>
          <w:numId w:val="0"/>
        </w:numPr>
        <w:ind w:left="720"/>
      </w:pPr>
    </w:p>
    <w:p w14:paraId="1ED1C563" w14:textId="708E3ABB" w:rsidR="00F51B3F" w:rsidRDefault="00F51B3F" w:rsidP="00F51B3F">
      <w:pPr>
        <w:pStyle w:val="Level1"/>
        <w:numPr>
          <w:ilvl w:val="0"/>
          <w:numId w:val="0"/>
        </w:numPr>
        <w:ind w:left="720"/>
      </w:pPr>
    </w:p>
    <w:p w14:paraId="1B701AFC" w14:textId="77777777" w:rsidR="00F51B3F" w:rsidRDefault="00F51B3F" w:rsidP="00F51B3F">
      <w:pPr>
        <w:pStyle w:val="Level1"/>
        <w:numPr>
          <w:ilvl w:val="0"/>
          <w:numId w:val="0"/>
        </w:numPr>
        <w:ind w:left="720"/>
      </w:pPr>
    </w:p>
    <w:p w14:paraId="7CF9031C" w14:textId="2576177E" w:rsidR="001A784C" w:rsidRPr="00044C19" w:rsidRDefault="001A784C" w:rsidP="008E20AF">
      <w:pPr>
        <w:pStyle w:val="Level1"/>
      </w:pPr>
      <w:r w:rsidRPr="00044C19">
        <w:lastRenderedPageBreak/>
        <w:t xml:space="preserve">Table </w:t>
      </w:r>
      <w:r>
        <w:t>3.</w:t>
      </w:r>
      <w:r w:rsidRPr="00044C19">
        <w:t xml:space="preserve">2 </w:t>
      </w:r>
      <w:r w:rsidR="00BD3E08">
        <w:t xml:space="preserve">below </w:t>
      </w:r>
      <w:r w:rsidRPr="008E20AF">
        <w:t>undertakes</w:t>
      </w:r>
      <w:r w:rsidRPr="00044C19">
        <w:t xml:space="preserve"> a similar exercise for </w:t>
      </w:r>
      <w:r w:rsidR="00427452">
        <w:t xml:space="preserve">all </w:t>
      </w:r>
      <w:r w:rsidRPr="00044C19">
        <w:t xml:space="preserve">comparison goods per capita expenditure, using the same Experian Retail Planner Briefing Notes.  </w:t>
      </w:r>
    </w:p>
    <w:p w14:paraId="64A13B76" w14:textId="20631CCE" w:rsidR="001A784C" w:rsidRPr="008E20AF" w:rsidRDefault="001A784C" w:rsidP="001A784C">
      <w:pPr>
        <w:pStyle w:val="Heading3"/>
        <w:jc w:val="both"/>
        <w:rPr>
          <w:rStyle w:val="Emphasis"/>
          <w:rFonts w:ascii="Open Sans" w:hAnsi="Open Sans" w:cs="Open Sans"/>
          <w:b w:val="0"/>
          <w:bCs w:val="0"/>
          <w:sz w:val="18"/>
          <w:szCs w:val="18"/>
        </w:rPr>
      </w:pPr>
      <w:bookmarkStart w:id="4" w:name="_Hlk66092651"/>
      <w:r w:rsidRPr="008E20AF">
        <w:rPr>
          <w:rStyle w:val="Emphasis"/>
          <w:rFonts w:ascii="Open Sans" w:hAnsi="Open Sans" w:cs="Open Sans"/>
          <w:b w:val="0"/>
          <w:bCs w:val="0"/>
          <w:sz w:val="18"/>
          <w:szCs w:val="18"/>
        </w:rPr>
        <w:t>Table 3.2: forecast year-on-year change in all per capita comparison goods spending between 201</w:t>
      </w:r>
      <w:r w:rsidR="008E20AF">
        <w:rPr>
          <w:rStyle w:val="Emphasis"/>
          <w:rFonts w:ascii="Open Sans" w:hAnsi="Open Sans" w:cs="Open Sans"/>
          <w:b w:val="0"/>
          <w:bCs w:val="0"/>
          <w:sz w:val="18"/>
          <w:szCs w:val="18"/>
        </w:rPr>
        <w:t>3</w:t>
      </w:r>
      <w:r w:rsidRPr="008E20AF">
        <w:rPr>
          <w:rStyle w:val="Emphasis"/>
          <w:rFonts w:ascii="Open Sans" w:hAnsi="Open Sans" w:cs="Open Sans"/>
          <w:b w:val="0"/>
          <w:bCs w:val="0"/>
          <w:sz w:val="18"/>
          <w:szCs w:val="18"/>
        </w:rPr>
        <w:t xml:space="preserve"> and 2031</w:t>
      </w:r>
    </w:p>
    <w:tbl>
      <w:tblPr>
        <w:tblStyle w:val="TableGrid2"/>
        <w:tblW w:w="0" w:type="auto"/>
        <w:tblInd w:w="720" w:type="dxa"/>
        <w:tblLook w:val="04A0" w:firstRow="1" w:lastRow="0" w:firstColumn="1" w:lastColumn="0" w:noHBand="0" w:noVBand="1"/>
      </w:tblPr>
      <w:tblGrid>
        <w:gridCol w:w="2774"/>
        <w:gridCol w:w="2761"/>
        <w:gridCol w:w="2761"/>
      </w:tblGrid>
      <w:tr w:rsidR="001A784C" w:rsidRPr="00FF0516" w14:paraId="3F8DD5A2" w14:textId="77777777" w:rsidTr="001210A1">
        <w:tc>
          <w:tcPr>
            <w:tcW w:w="2774" w:type="dxa"/>
            <w:shd w:val="clear" w:color="auto" w:fill="E8E9E7" w:themeFill="background2" w:themeFillTint="66"/>
          </w:tcPr>
          <w:p w14:paraId="18730FB0" w14:textId="77777777" w:rsidR="001A784C" w:rsidRPr="00044C19" w:rsidRDefault="001A784C" w:rsidP="001210A1">
            <w:pPr>
              <w:jc w:val="both"/>
              <w:outlineLvl w:val="4"/>
              <w:rPr>
                <w:rFonts w:eastAsia="Times New Roman" w:cs="Open Sans"/>
                <w:b/>
                <w:color w:val="1F497D"/>
                <w:sz w:val="18"/>
                <w:szCs w:val="18"/>
              </w:rPr>
            </w:pPr>
            <w:r w:rsidRPr="00044C19">
              <w:rPr>
                <w:rFonts w:eastAsia="Times New Roman" w:cs="Open Sans"/>
                <w:b/>
                <w:color w:val="1F497D"/>
                <w:sz w:val="18"/>
                <w:szCs w:val="18"/>
              </w:rPr>
              <w:t>Year</w:t>
            </w:r>
          </w:p>
        </w:tc>
        <w:tc>
          <w:tcPr>
            <w:tcW w:w="2761" w:type="dxa"/>
            <w:shd w:val="clear" w:color="auto" w:fill="E8E9E7" w:themeFill="background2" w:themeFillTint="66"/>
          </w:tcPr>
          <w:p w14:paraId="112D830B" w14:textId="4A680A31" w:rsidR="001A784C" w:rsidRPr="00044C19" w:rsidRDefault="001A784C" w:rsidP="001210A1">
            <w:pPr>
              <w:jc w:val="center"/>
              <w:outlineLvl w:val="4"/>
              <w:rPr>
                <w:rFonts w:eastAsia="Times New Roman" w:cs="Open Sans"/>
                <w:b/>
                <w:sz w:val="18"/>
                <w:szCs w:val="18"/>
              </w:rPr>
            </w:pPr>
            <w:r w:rsidRPr="00044C19">
              <w:rPr>
                <w:rFonts w:eastAsia="Times New Roman" w:cs="Open Sans"/>
                <w:b/>
                <w:sz w:val="18"/>
                <w:szCs w:val="18"/>
              </w:rPr>
              <w:t>Experian Retail Planner Briefing Note 1</w:t>
            </w:r>
            <w:r>
              <w:rPr>
                <w:rFonts w:eastAsia="Times New Roman" w:cs="Open Sans"/>
                <w:b/>
                <w:sz w:val="18"/>
                <w:szCs w:val="18"/>
              </w:rPr>
              <w:t>1</w:t>
            </w:r>
          </w:p>
          <w:p w14:paraId="1A090801" w14:textId="77777777" w:rsidR="001A784C" w:rsidRPr="00044C19" w:rsidRDefault="001A784C" w:rsidP="001210A1">
            <w:pPr>
              <w:jc w:val="center"/>
              <w:outlineLvl w:val="4"/>
              <w:rPr>
                <w:rFonts w:eastAsia="Times New Roman" w:cs="Open Sans"/>
                <w:b/>
                <w:sz w:val="18"/>
                <w:szCs w:val="18"/>
              </w:rPr>
            </w:pPr>
            <w:r w:rsidRPr="00044C19">
              <w:rPr>
                <w:rFonts w:eastAsia="Times New Roman" w:cs="Open Sans"/>
                <w:b/>
                <w:sz w:val="18"/>
                <w:szCs w:val="18"/>
              </w:rPr>
              <w:t>(% change year-on-year)</w:t>
            </w:r>
          </w:p>
        </w:tc>
        <w:tc>
          <w:tcPr>
            <w:tcW w:w="2761" w:type="dxa"/>
            <w:tcBorders>
              <w:bottom w:val="single" w:sz="4" w:space="0" w:color="auto"/>
            </w:tcBorders>
            <w:shd w:val="clear" w:color="auto" w:fill="E8E9E7" w:themeFill="background2" w:themeFillTint="66"/>
          </w:tcPr>
          <w:p w14:paraId="6784BB05" w14:textId="77777777" w:rsidR="001A784C" w:rsidRPr="00044C19" w:rsidRDefault="001A784C" w:rsidP="001210A1">
            <w:pPr>
              <w:jc w:val="center"/>
              <w:outlineLvl w:val="4"/>
              <w:rPr>
                <w:rFonts w:eastAsia="Times New Roman" w:cs="Open Sans"/>
                <w:b/>
                <w:sz w:val="18"/>
                <w:szCs w:val="18"/>
              </w:rPr>
            </w:pPr>
            <w:r w:rsidRPr="00044C19">
              <w:rPr>
                <w:rFonts w:eastAsia="Times New Roman" w:cs="Open Sans"/>
                <w:b/>
                <w:sz w:val="18"/>
                <w:szCs w:val="18"/>
              </w:rPr>
              <w:t>Experian Retail Planner Briefing Note 1</w:t>
            </w:r>
            <w:r>
              <w:rPr>
                <w:rFonts w:eastAsia="Times New Roman" w:cs="Open Sans"/>
                <w:b/>
                <w:sz w:val="18"/>
                <w:szCs w:val="18"/>
              </w:rPr>
              <w:t>9</w:t>
            </w:r>
          </w:p>
          <w:p w14:paraId="6A07928B" w14:textId="77777777" w:rsidR="001A784C" w:rsidRPr="00044C19" w:rsidRDefault="001A784C" w:rsidP="001210A1">
            <w:pPr>
              <w:jc w:val="center"/>
              <w:outlineLvl w:val="4"/>
              <w:rPr>
                <w:rFonts w:eastAsia="Times New Roman" w:cs="Open Sans"/>
                <w:b/>
                <w:sz w:val="18"/>
                <w:szCs w:val="18"/>
              </w:rPr>
            </w:pPr>
            <w:r w:rsidRPr="00044C19">
              <w:rPr>
                <w:rFonts w:eastAsia="Times New Roman" w:cs="Open Sans"/>
                <w:b/>
                <w:sz w:val="18"/>
                <w:szCs w:val="18"/>
              </w:rPr>
              <w:t>(% change year-on-year)</w:t>
            </w:r>
          </w:p>
        </w:tc>
      </w:tr>
      <w:tr w:rsidR="00427452" w:rsidRPr="00044C19" w14:paraId="42CE204A" w14:textId="77777777" w:rsidTr="00427452">
        <w:tc>
          <w:tcPr>
            <w:tcW w:w="2774" w:type="dxa"/>
            <w:shd w:val="clear" w:color="auto" w:fill="auto"/>
          </w:tcPr>
          <w:p w14:paraId="5DAB764E" w14:textId="77777777" w:rsidR="00427452" w:rsidRPr="00044C19" w:rsidRDefault="00427452" w:rsidP="00427452">
            <w:pPr>
              <w:jc w:val="both"/>
              <w:outlineLvl w:val="4"/>
              <w:rPr>
                <w:rFonts w:eastAsia="Calibri" w:cs="Open Sans"/>
                <w:bCs/>
                <w:sz w:val="18"/>
                <w:szCs w:val="18"/>
              </w:rPr>
            </w:pPr>
            <w:r>
              <w:rPr>
                <w:rFonts w:eastAsia="Calibri" w:cs="Open Sans"/>
                <w:bCs/>
                <w:sz w:val="18"/>
                <w:szCs w:val="18"/>
              </w:rPr>
              <w:t>2013</w:t>
            </w:r>
          </w:p>
        </w:tc>
        <w:tc>
          <w:tcPr>
            <w:tcW w:w="2761" w:type="dxa"/>
            <w:shd w:val="clear" w:color="auto" w:fill="auto"/>
          </w:tcPr>
          <w:p w14:paraId="15E67524" w14:textId="26A2DC38" w:rsidR="00427452" w:rsidRPr="00044C19" w:rsidRDefault="00427452" w:rsidP="00427452">
            <w:pPr>
              <w:jc w:val="center"/>
              <w:outlineLvl w:val="4"/>
              <w:rPr>
                <w:rFonts w:eastAsia="Calibri" w:cs="Open Sans"/>
                <w:sz w:val="18"/>
                <w:szCs w:val="18"/>
              </w:rPr>
            </w:pPr>
            <w:r>
              <w:rPr>
                <w:rFonts w:eastAsia="Calibri" w:cs="Open Sans"/>
                <w:sz w:val="18"/>
                <w:szCs w:val="18"/>
              </w:rPr>
              <w:t>3.2</w:t>
            </w:r>
          </w:p>
        </w:tc>
        <w:tc>
          <w:tcPr>
            <w:tcW w:w="2761" w:type="dxa"/>
            <w:shd w:val="clear" w:color="auto" w:fill="auto"/>
          </w:tcPr>
          <w:p w14:paraId="4528A1A5" w14:textId="06B2B9F2" w:rsidR="00427452" w:rsidRPr="00427452" w:rsidRDefault="00427452" w:rsidP="00427452">
            <w:pPr>
              <w:jc w:val="center"/>
              <w:outlineLvl w:val="4"/>
              <w:rPr>
                <w:rFonts w:eastAsia="Calibri" w:cs="Open Sans"/>
                <w:sz w:val="18"/>
                <w:szCs w:val="18"/>
              </w:rPr>
            </w:pPr>
            <w:r w:rsidRPr="00427452">
              <w:rPr>
                <w:sz w:val="18"/>
                <w:szCs w:val="18"/>
              </w:rPr>
              <w:t>5.6</w:t>
            </w:r>
          </w:p>
        </w:tc>
      </w:tr>
      <w:tr w:rsidR="00427452" w:rsidRPr="00044C19" w14:paraId="2C5E9F5D" w14:textId="77777777" w:rsidTr="00427452">
        <w:tc>
          <w:tcPr>
            <w:tcW w:w="2774" w:type="dxa"/>
            <w:shd w:val="clear" w:color="auto" w:fill="auto"/>
          </w:tcPr>
          <w:p w14:paraId="78B99F8E" w14:textId="77777777" w:rsidR="00427452" w:rsidRPr="00044C19" w:rsidRDefault="00427452" w:rsidP="00427452">
            <w:pPr>
              <w:jc w:val="both"/>
              <w:outlineLvl w:val="4"/>
              <w:rPr>
                <w:rFonts w:eastAsia="Calibri" w:cs="Open Sans"/>
                <w:bCs/>
                <w:sz w:val="18"/>
                <w:szCs w:val="18"/>
              </w:rPr>
            </w:pPr>
            <w:r>
              <w:rPr>
                <w:rFonts w:eastAsia="Calibri" w:cs="Open Sans"/>
                <w:bCs/>
                <w:sz w:val="18"/>
                <w:szCs w:val="18"/>
              </w:rPr>
              <w:t>2014</w:t>
            </w:r>
          </w:p>
        </w:tc>
        <w:tc>
          <w:tcPr>
            <w:tcW w:w="2761" w:type="dxa"/>
            <w:shd w:val="clear" w:color="auto" w:fill="auto"/>
          </w:tcPr>
          <w:p w14:paraId="042B0147" w14:textId="0194725C" w:rsidR="00427452" w:rsidRPr="00044C19" w:rsidRDefault="00427452" w:rsidP="00427452">
            <w:pPr>
              <w:jc w:val="center"/>
              <w:outlineLvl w:val="4"/>
              <w:rPr>
                <w:rFonts w:eastAsia="Calibri" w:cs="Open Sans"/>
                <w:sz w:val="18"/>
                <w:szCs w:val="18"/>
              </w:rPr>
            </w:pPr>
            <w:r>
              <w:rPr>
                <w:rFonts w:eastAsia="Calibri" w:cs="Open Sans"/>
                <w:sz w:val="18"/>
                <w:szCs w:val="18"/>
              </w:rPr>
              <w:t>2.3</w:t>
            </w:r>
          </w:p>
        </w:tc>
        <w:tc>
          <w:tcPr>
            <w:tcW w:w="2761" w:type="dxa"/>
            <w:shd w:val="clear" w:color="auto" w:fill="auto"/>
          </w:tcPr>
          <w:p w14:paraId="00DCA97C" w14:textId="1194323D" w:rsidR="00427452" w:rsidRPr="00427452" w:rsidRDefault="00427452" w:rsidP="00427452">
            <w:pPr>
              <w:jc w:val="center"/>
              <w:outlineLvl w:val="4"/>
              <w:rPr>
                <w:rFonts w:eastAsia="Calibri" w:cs="Open Sans"/>
                <w:sz w:val="18"/>
                <w:szCs w:val="18"/>
              </w:rPr>
            </w:pPr>
            <w:r w:rsidRPr="00427452">
              <w:rPr>
                <w:sz w:val="18"/>
                <w:szCs w:val="18"/>
              </w:rPr>
              <w:t>2.3</w:t>
            </w:r>
          </w:p>
        </w:tc>
      </w:tr>
      <w:tr w:rsidR="00427452" w:rsidRPr="00044C19" w14:paraId="2FA8F0A4" w14:textId="77777777" w:rsidTr="00427452">
        <w:tc>
          <w:tcPr>
            <w:tcW w:w="2774" w:type="dxa"/>
            <w:shd w:val="clear" w:color="auto" w:fill="auto"/>
          </w:tcPr>
          <w:p w14:paraId="451477CC" w14:textId="77777777" w:rsidR="00427452" w:rsidRPr="00044C19" w:rsidRDefault="00427452" w:rsidP="00427452">
            <w:pPr>
              <w:jc w:val="both"/>
              <w:outlineLvl w:val="4"/>
              <w:rPr>
                <w:rFonts w:eastAsia="Calibri" w:cs="Open Sans"/>
                <w:bCs/>
                <w:sz w:val="18"/>
                <w:szCs w:val="18"/>
              </w:rPr>
            </w:pPr>
            <w:r w:rsidRPr="00044C19">
              <w:rPr>
                <w:rFonts w:eastAsia="Calibri" w:cs="Open Sans"/>
                <w:bCs/>
                <w:sz w:val="18"/>
                <w:szCs w:val="18"/>
              </w:rPr>
              <w:t>2015</w:t>
            </w:r>
          </w:p>
        </w:tc>
        <w:tc>
          <w:tcPr>
            <w:tcW w:w="2761" w:type="dxa"/>
            <w:shd w:val="clear" w:color="auto" w:fill="auto"/>
          </w:tcPr>
          <w:p w14:paraId="3D449740" w14:textId="7C301C09" w:rsidR="00427452" w:rsidRPr="00044C19" w:rsidRDefault="00427452" w:rsidP="00427452">
            <w:pPr>
              <w:jc w:val="center"/>
              <w:outlineLvl w:val="4"/>
              <w:rPr>
                <w:rFonts w:eastAsia="Times New Roman" w:cs="Open Sans"/>
                <w:sz w:val="18"/>
                <w:szCs w:val="18"/>
              </w:rPr>
            </w:pPr>
            <w:r>
              <w:rPr>
                <w:rFonts w:eastAsia="Times New Roman" w:cs="Open Sans"/>
                <w:sz w:val="18"/>
                <w:szCs w:val="18"/>
              </w:rPr>
              <w:t>2.8</w:t>
            </w:r>
          </w:p>
        </w:tc>
        <w:tc>
          <w:tcPr>
            <w:tcW w:w="2761" w:type="dxa"/>
            <w:shd w:val="clear" w:color="auto" w:fill="auto"/>
          </w:tcPr>
          <w:p w14:paraId="0B6B5502" w14:textId="7D57FFE9" w:rsidR="00427452" w:rsidRPr="00427452" w:rsidRDefault="00427452" w:rsidP="00427452">
            <w:pPr>
              <w:jc w:val="center"/>
              <w:outlineLvl w:val="4"/>
              <w:rPr>
                <w:rFonts w:eastAsia="Calibri" w:cs="Open Sans"/>
                <w:sz w:val="18"/>
                <w:szCs w:val="18"/>
              </w:rPr>
            </w:pPr>
            <w:r w:rsidRPr="00427452">
              <w:rPr>
                <w:sz w:val="18"/>
                <w:szCs w:val="18"/>
              </w:rPr>
              <w:t>6.0</w:t>
            </w:r>
          </w:p>
        </w:tc>
      </w:tr>
      <w:tr w:rsidR="00427452" w:rsidRPr="00044C19" w14:paraId="71C04408" w14:textId="77777777" w:rsidTr="00427452">
        <w:tc>
          <w:tcPr>
            <w:tcW w:w="2774" w:type="dxa"/>
            <w:shd w:val="clear" w:color="auto" w:fill="auto"/>
          </w:tcPr>
          <w:p w14:paraId="7F247EEB" w14:textId="77777777" w:rsidR="00427452" w:rsidRPr="00044C19" w:rsidRDefault="00427452" w:rsidP="00427452">
            <w:pPr>
              <w:jc w:val="both"/>
              <w:outlineLvl w:val="4"/>
              <w:rPr>
                <w:rFonts w:eastAsia="Calibri" w:cs="Open Sans"/>
                <w:bCs/>
                <w:sz w:val="18"/>
                <w:szCs w:val="18"/>
              </w:rPr>
            </w:pPr>
            <w:r w:rsidRPr="00044C19">
              <w:rPr>
                <w:rFonts w:eastAsia="Calibri" w:cs="Open Sans"/>
                <w:bCs/>
                <w:sz w:val="18"/>
                <w:szCs w:val="18"/>
              </w:rPr>
              <w:t>2016</w:t>
            </w:r>
          </w:p>
        </w:tc>
        <w:tc>
          <w:tcPr>
            <w:tcW w:w="2761" w:type="dxa"/>
            <w:shd w:val="clear" w:color="auto" w:fill="auto"/>
          </w:tcPr>
          <w:p w14:paraId="3625F82E" w14:textId="069B9E09" w:rsidR="00427452" w:rsidRPr="00044C19" w:rsidRDefault="00427452" w:rsidP="00427452">
            <w:pPr>
              <w:jc w:val="center"/>
              <w:outlineLvl w:val="4"/>
              <w:rPr>
                <w:rFonts w:eastAsia="Times New Roman" w:cs="Open Sans"/>
                <w:sz w:val="18"/>
                <w:szCs w:val="18"/>
              </w:rPr>
            </w:pPr>
            <w:r>
              <w:rPr>
                <w:rFonts w:eastAsia="Times New Roman" w:cs="Open Sans"/>
                <w:sz w:val="18"/>
                <w:szCs w:val="18"/>
              </w:rPr>
              <w:t>2.9</w:t>
            </w:r>
          </w:p>
        </w:tc>
        <w:tc>
          <w:tcPr>
            <w:tcW w:w="2761" w:type="dxa"/>
            <w:shd w:val="clear" w:color="auto" w:fill="auto"/>
          </w:tcPr>
          <w:p w14:paraId="69AECB75" w14:textId="34017EDD" w:rsidR="00427452" w:rsidRPr="00427452" w:rsidRDefault="00427452" w:rsidP="00427452">
            <w:pPr>
              <w:jc w:val="center"/>
              <w:outlineLvl w:val="4"/>
              <w:rPr>
                <w:rFonts w:eastAsia="Calibri" w:cs="Open Sans"/>
                <w:sz w:val="18"/>
                <w:szCs w:val="18"/>
              </w:rPr>
            </w:pPr>
            <w:r w:rsidRPr="00427452">
              <w:rPr>
                <w:sz w:val="18"/>
                <w:szCs w:val="18"/>
              </w:rPr>
              <w:t>5.0</w:t>
            </w:r>
          </w:p>
        </w:tc>
      </w:tr>
      <w:tr w:rsidR="00427452" w:rsidRPr="00044C19" w14:paraId="4DC8BD26" w14:textId="77777777" w:rsidTr="00427452">
        <w:tc>
          <w:tcPr>
            <w:tcW w:w="2774" w:type="dxa"/>
            <w:shd w:val="clear" w:color="auto" w:fill="auto"/>
          </w:tcPr>
          <w:p w14:paraId="77FEE2C2" w14:textId="77777777" w:rsidR="00427452" w:rsidRPr="00044C19" w:rsidRDefault="00427452" w:rsidP="00427452">
            <w:pPr>
              <w:jc w:val="both"/>
              <w:outlineLvl w:val="4"/>
              <w:rPr>
                <w:rFonts w:eastAsia="Calibri" w:cs="Open Sans"/>
                <w:bCs/>
                <w:sz w:val="18"/>
                <w:szCs w:val="18"/>
              </w:rPr>
            </w:pPr>
            <w:r w:rsidRPr="00044C19">
              <w:rPr>
                <w:rFonts w:eastAsia="Calibri" w:cs="Open Sans"/>
                <w:bCs/>
                <w:sz w:val="18"/>
                <w:szCs w:val="18"/>
              </w:rPr>
              <w:t>2017</w:t>
            </w:r>
          </w:p>
        </w:tc>
        <w:tc>
          <w:tcPr>
            <w:tcW w:w="2761" w:type="dxa"/>
            <w:shd w:val="clear" w:color="auto" w:fill="auto"/>
          </w:tcPr>
          <w:p w14:paraId="084E366C" w14:textId="64401C36" w:rsidR="00427452" w:rsidRPr="00044C19" w:rsidRDefault="00427452" w:rsidP="00427452">
            <w:pPr>
              <w:jc w:val="center"/>
              <w:outlineLvl w:val="4"/>
              <w:rPr>
                <w:rFonts w:eastAsia="Times New Roman" w:cs="Open Sans"/>
                <w:sz w:val="18"/>
                <w:szCs w:val="18"/>
              </w:rPr>
            </w:pPr>
            <w:r>
              <w:rPr>
                <w:rFonts w:eastAsia="Times New Roman" w:cs="Open Sans"/>
                <w:sz w:val="18"/>
                <w:szCs w:val="18"/>
              </w:rPr>
              <w:t>2.9</w:t>
            </w:r>
          </w:p>
        </w:tc>
        <w:tc>
          <w:tcPr>
            <w:tcW w:w="2761" w:type="dxa"/>
            <w:shd w:val="clear" w:color="auto" w:fill="auto"/>
          </w:tcPr>
          <w:p w14:paraId="3B8A9025" w14:textId="386CA972" w:rsidR="00427452" w:rsidRPr="00427452" w:rsidRDefault="00427452" w:rsidP="00427452">
            <w:pPr>
              <w:jc w:val="center"/>
              <w:outlineLvl w:val="4"/>
              <w:rPr>
                <w:rFonts w:eastAsia="Times New Roman" w:cs="Open Sans"/>
                <w:bCs/>
                <w:sz w:val="18"/>
                <w:szCs w:val="18"/>
              </w:rPr>
            </w:pPr>
            <w:r w:rsidRPr="00427452">
              <w:rPr>
                <w:sz w:val="18"/>
                <w:szCs w:val="18"/>
              </w:rPr>
              <w:t>3.9</w:t>
            </w:r>
          </w:p>
        </w:tc>
      </w:tr>
      <w:tr w:rsidR="00427452" w:rsidRPr="00044C19" w14:paraId="27189C4D" w14:textId="77777777" w:rsidTr="00427452">
        <w:tc>
          <w:tcPr>
            <w:tcW w:w="2774" w:type="dxa"/>
            <w:shd w:val="clear" w:color="auto" w:fill="auto"/>
          </w:tcPr>
          <w:p w14:paraId="290D2F40"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2018</w:t>
            </w:r>
          </w:p>
        </w:tc>
        <w:tc>
          <w:tcPr>
            <w:tcW w:w="2761" w:type="dxa"/>
            <w:shd w:val="clear" w:color="auto" w:fill="auto"/>
          </w:tcPr>
          <w:p w14:paraId="79DA78EC" w14:textId="2D6A6977" w:rsidR="00427452" w:rsidRPr="00044C19" w:rsidRDefault="00427452" w:rsidP="00427452">
            <w:pPr>
              <w:jc w:val="center"/>
              <w:outlineLvl w:val="4"/>
              <w:rPr>
                <w:rFonts w:eastAsia="Times New Roman" w:cs="Open Sans"/>
                <w:sz w:val="18"/>
                <w:szCs w:val="18"/>
              </w:rPr>
            </w:pPr>
            <w:r>
              <w:rPr>
                <w:rFonts w:eastAsia="Times New Roman" w:cs="Open Sans"/>
                <w:sz w:val="18"/>
                <w:szCs w:val="18"/>
              </w:rPr>
              <w:t>3.1</w:t>
            </w:r>
          </w:p>
        </w:tc>
        <w:tc>
          <w:tcPr>
            <w:tcW w:w="2761" w:type="dxa"/>
            <w:shd w:val="clear" w:color="auto" w:fill="auto"/>
          </w:tcPr>
          <w:p w14:paraId="4D5DEB4C" w14:textId="3BAD46FE" w:rsidR="00427452" w:rsidRPr="00427452" w:rsidRDefault="00427452" w:rsidP="00427452">
            <w:pPr>
              <w:jc w:val="center"/>
              <w:outlineLvl w:val="4"/>
              <w:rPr>
                <w:rFonts w:eastAsia="Times New Roman" w:cs="Open Sans"/>
                <w:bCs/>
                <w:sz w:val="18"/>
                <w:szCs w:val="18"/>
              </w:rPr>
            </w:pPr>
            <w:r w:rsidRPr="00427452">
              <w:rPr>
                <w:sz w:val="18"/>
                <w:szCs w:val="18"/>
              </w:rPr>
              <w:t>1.0</w:t>
            </w:r>
          </w:p>
        </w:tc>
      </w:tr>
      <w:tr w:rsidR="00427452" w:rsidRPr="00044C19" w14:paraId="74FF7EB7" w14:textId="77777777" w:rsidTr="00427452">
        <w:tc>
          <w:tcPr>
            <w:tcW w:w="2774" w:type="dxa"/>
            <w:shd w:val="clear" w:color="auto" w:fill="auto"/>
          </w:tcPr>
          <w:p w14:paraId="7630F9B4"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2019</w:t>
            </w:r>
          </w:p>
        </w:tc>
        <w:tc>
          <w:tcPr>
            <w:tcW w:w="2761" w:type="dxa"/>
            <w:shd w:val="clear" w:color="auto" w:fill="auto"/>
          </w:tcPr>
          <w:p w14:paraId="4FE87663" w14:textId="2DFDDB6E" w:rsidR="00427452" w:rsidRPr="00044C19" w:rsidRDefault="00427452" w:rsidP="00427452">
            <w:pPr>
              <w:jc w:val="center"/>
              <w:outlineLvl w:val="4"/>
              <w:rPr>
                <w:rFonts w:eastAsia="Times New Roman" w:cs="Open Sans"/>
                <w:sz w:val="18"/>
                <w:szCs w:val="18"/>
              </w:rPr>
            </w:pPr>
            <w:r>
              <w:rPr>
                <w:rFonts w:eastAsia="Times New Roman" w:cs="Open Sans"/>
                <w:sz w:val="18"/>
                <w:szCs w:val="18"/>
              </w:rPr>
              <w:t>3.1</w:t>
            </w:r>
          </w:p>
        </w:tc>
        <w:tc>
          <w:tcPr>
            <w:tcW w:w="2761" w:type="dxa"/>
            <w:shd w:val="clear" w:color="auto" w:fill="auto"/>
          </w:tcPr>
          <w:p w14:paraId="24128185" w14:textId="01894A2E" w:rsidR="00427452" w:rsidRPr="00427452" w:rsidRDefault="00427452" w:rsidP="00427452">
            <w:pPr>
              <w:jc w:val="center"/>
              <w:outlineLvl w:val="4"/>
              <w:rPr>
                <w:rFonts w:eastAsia="Times New Roman" w:cs="Open Sans"/>
                <w:bCs/>
                <w:sz w:val="18"/>
                <w:szCs w:val="18"/>
              </w:rPr>
            </w:pPr>
            <w:r w:rsidRPr="00427452">
              <w:rPr>
                <w:sz w:val="18"/>
                <w:szCs w:val="18"/>
              </w:rPr>
              <w:t>2.2</w:t>
            </w:r>
          </w:p>
        </w:tc>
      </w:tr>
      <w:tr w:rsidR="00427452" w:rsidRPr="00044C19" w14:paraId="1F7411F4" w14:textId="77777777" w:rsidTr="00427452">
        <w:tc>
          <w:tcPr>
            <w:tcW w:w="2774" w:type="dxa"/>
            <w:shd w:val="clear" w:color="auto" w:fill="auto"/>
          </w:tcPr>
          <w:p w14:paraId="08AD238D"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2020</w:t>
            </w:r>
          </w:p>
        </w:tc>
        <w:tc>
          <w:tcPr>
            <w:tcW w:w="2761" w:type="dxa"/>
            <w:shd w:val="clear" w:color="auto" w:fill="auto"/>
          </w:tcPr>
          <w:p w14:paraId="75398F71" w14:textId="21218060" w:rsidR="00427452" w:rsidRPr="00044C19" w:rsidRDefault="00427452" w:rsidP="00427452">
            <w:pPr>
              <w:jc w:val="center"/>
              <w:outlineLvl w:val="4"/>
              <w:rPr>
                <w:rFonts w:eastAsia="Times New Roman" w:cs="Open Sans"/>
                <w:sz w:val="18"/>
                <w:szCs w:val="18"/>
              </w:rPr>
            </w:pPr>
            <w:r>
              <w:rPr>
                <w:rFonts w:eastAsia="Times New Roman" w:cs="Open Sans"/>
                <w:sz w:val="18"/>
                <w:szCs w:val="18"/>
              </w:rPr>
              <w:t>3.0</w:t>
            </w:r>
          </w:p>
        </w:tc>
        <w:tc>
          <w:tcPr>
            <w:tcW w:w="2761" w:type="dxa"/>
            <w:shd w:val="clear" w:color="auto" w:fill="auto"/>
          </w:tcPr>
          <w:p w14:paraId="3C40DD3C" w14:textId="0AEF7A44" w:rsidR="00427452" w:rsidRPr="00427452" w:rsidRDefault="00427452" w:rsidP="00427452">
            <w:pPr>
              <w:jc w:val="center"/>
              <w:outlineLvl w:val="4"/>
              <w:rPr>
                <w:rFonts w:eastAsia="Times New Roman" w:cs="Open Sans"/>
                <w:bCs/>
                <w:sz w:val="18"/>
                <w:szCs w:val="18"/>
              </w:rPr>
            </w:pPr>
            <w:r w:rsidRPr="00427452">
              <w:rPr>
                <w:sz w:val="18"/>
                <w:szCs w:val="18"/>
              </w:rPr>
              <w:t>1.6</w:t>
            </w:r>
          </w:p>
        </w:tc>
      </w:tr>
      <w:tr w:rsidR="00427452" w:rsidRPr="00044C19" w14:paraId="21FFA473" w14:textId="77777777" w:rsidTr="00427452">
        <w:tc>
          <w:tcPr>
            <w:tcW w:w="2774" w:type="dxa"/>
            <w:shd w:val="clear" w:color="auto" w:fill="auto"/>
          </w:tcPr>
          <w:p w14:paraId="42E1783C"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2021</w:t>
            </w:r>
          </w:p>
        </w:tc>
        <w:tc>
          <w:tcPr>
            <w:tcW w:w="2761" w:type="dxa"/>
            <w:shd w:val="clear" w:color="auto" w:fill="auto"/>
          </w:tcPr>
          <w:p w14:paraId="5ECE7148" w14:textId="16A6E75B" w:rsidR="00427452" w:rsidRPr="00044C19" w:rsidRDefault="00427452" w:rsidP="00427452">
            <w:pPr>
              <w:jc w:val="center"/>
              <w:outlineLvl w:val="4"/>
              <w:rPr>
                <w:rFonts w:eastAsia="Times New Roman" w:cs="Open Sans"/>
                <w:sz w:val="18"/>
                <w:szCs w:val="18"/>
              </w:rPr>
            </w:pPr>
            <w:r>
              <w:rPr>
                <w:rFonts w:eastAsia="Times New Roman" w:cs="Open Sans"/>
                <w:sz w:val="18"/>
                <w:szCs w:val="18"/>
              </w:rPr>
              <w:t>3.0</w:t>
            </w:r>
          </w:p>
        </w:tc>
        <w:tc>
          <w:tcPr>
            <w:tcW w:w="2761" w:type="dxa"/>
            <w:shd w:val="clear" w:color="auto" w:fill="auto"/>
          </w:tcPr>
          <w:p w14:paraId="30DCCF0B" w14:textId="203234FC" w:rsidR="00427452" w:rsidRPr="00427452" w:rsidRDefault="00427452" w:rsidP="00427452">
            <w:pPr>
              <w:jc w:val="center"/>
              <w:outlineLvl w:val="4"/>
              <w:rPr>
                <w:rFonts w:eastAsia="Times New Roman" w:cs="Open Sans"/>
                <w:bCs/>
                <w:sz w:val="18"/>
                <w:szCs w:val="18"/>
              </w:rPr>
            </w:pPr>
            <w:r w:rsidRPr="00427452">
              <w:rPr>
                <w:sz w:val="18"/>
                <w:szCs w:val="18"/>
              </w:rPr>
              <w:t>1.9</w:t>
            </w:r>
          </w:p>
        </w:tc>
      </w:tr>
      <w:tr w:rsidR="00427452" w:rsidRPr="00044C19" w14:paraId="2027E290" w14:textId="77777777" w:rsidTr="00427452">
        <w:tc>
          <w:tcPr>
            <w:tcW w:w="2774" w:type="dxa"/>
            <w:shd w:val="clear" w:color="auto" w:fill="auto"/>
          </w:tcPr>
          <w:p w14:paraId="6754A63E"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2022</w:t>
            </w:r>
          </w:p>
        </w:tc>
        <w:tc>
          <w:tcPr>
            <w:tcW w:w="2761" w:type="dxa"/>
            <w:shd w:val="clear" w:color="auto" w:fill="auto"/>
          </w:tcPr>
          <w:p w14:paraId="357A89E4" w14:textId="28A53462" w:rsidR="00427452" w:rsidRPr="00044C19" w:rsidRDefault="00427452" w:rsidP="00427452">
            <w:pPr>
              <w:jc w:val="center"/>
              <w:outlineLvl w:val="4"/>
              <w:rPr>
                <w:rFonts w:eastAsia="Times New Roman" w:cs="Open Sans"/>
                <w:sz w:val="18"/>
                <w:szCs w:val="18"/>
              </w:rPr>
            </w:pPr>
            <w:r>
              <w:rPr>
                <w:rFonts w:eastAsia="Times New Roman" w:cs="Open Sans"/>
                <w:sz w:val="18"/>
                <w:szCs w:val="18"/>
              </w:rPr>
              <w:t>2.9</w:t>
            </w:r>
          </w:p>
        </w:tc>
        <w:tc>
          <w:tcPr>
            <w:tcW w:w="2761" w:type="dxa"/>
            <w:shd w:val="clear" w:color="auto" w:fill="auto"/>
          </w:tcPr>
          <w:p w14:paraId="3908C2D9" w14:textId="412761F4" w:rsidR="00427452" w:rsidRPr="00427452" w:rsidRDefault="00427452" w:rsidP="00427452">
            <w:pPr>
              <w:jc w:val="center"/>
              <w:outlineLvl w:val="4"/>
              <w:rPr>
                <w:rFonts w:eastAsia="Times New Roman" w:cs="Open Sans"/>
                <w:bCs/>
                <w:sz w:val="18"/>
                <w:szCs w:val="18"/>
              </w:rPr>
            </w:pPr>
            <w:r w:rsidRPr="00427452">
              <w:rPr>
                <w:sz w:val="18"/>
                <w:szCs w:val="18"/>
              </w:rPr>
              <w:t>2.1</w:t>
            </w:r>
          </w:p>
        </w:tc>
      </w:tr>
      <w:tr w:rsidR="00427452" w:rsidRPr="00044C19" w14:paraId="5F7873D3" w14:textId="77777777" w:rsidTr="00427452">
        <w:tc>
          <w:tcPr>
            <w:tcW w:w="2774" w:type="dxa"/>
            <w:shd w:val="clear" w:color="auto" w:fill="auto"/>
          </w:tcPr>
          <w:p w14:paraId="352B7F16"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2023</w:t>
            </w:r>
          </w:p>
        </w:tc>
        <w:tc>
          <w:tcPr>
            <w:tcW w:w="2761" w:type="dxa"/>
            <w:shd w:val="clear" w:color="auto" w:fill="auto"/>
          </w:tcPr>
          <w:p w14:paraId="60B7417D" w14:textId="4025483B" w:rsidR="00427452" w:rsidRPr="00044C19" w:rsidRDefault="00427452" w:rsidP="00427452">
            <w:pPr>
              <w:jc w:val="center"/>
              <w:outlineLvl w:val="4"/>
              <w:rPr>
                <w:rFonts w:eastAsia="Times New Roman" w:cs="Open Sans"/>
                <w:sz w:val="18"/>
                <w:szCs w:val="18"/>
              </w:rPr>
            </w:pPr>
            <w:r>
              <w:rPr>
                <w:rFonts w:eastAsia="Times New Roman" w:cs="Open Sans"/>
                <w:sz w:val="18"/>
                <w:szCs w:val="18"/>
              </w:rPr>
              <w:t>2.9</w:t>
            </w:r>
          </w:p>
        </w:tc>
        <w:tc>
          <w:tcPr>
            <w:tcW w:w="2761" w:type="dxa"/>
            <w:shd w:val="clear" w:color="auto" w:fill="auto"/>
          </w:tcPr>
          <w:p w14:paraId="715831B9" w14:textId="1EE5AAE4" w:rsidR="00427452" w:rsidRPr="00427452" w:rsidRDefault="00427452" w:rsidP="00427452">
            <w:pPr>
              <w:jc w:val="center"/>
              <w:outlineLvl w:val="4"/>
              <w:rPr>
                <w:rFonts w:eastAsia="Times New Roman" w:cs="Open Sans"/>
                <w:bCs/>
                <w:sz w:val="18"/>
                <w:szCs w:val="18"/>
              </w:rPr>
            </w:pPr>
            <w:r w:rsidRPr="00427452">
              <w:rPr>
                <w:sz w:val="18"/>
                <w:szCs w:val="18"/>
              </w:rPr>
              <w:t>2.8</w:t>
            </w:r>
          </w:p>
        </w:tc>
      </w:tr>
      <w:tr w:rsidR="00427452" w:rsidRPr="00044C19" w14:paraId="00E9F61E" w14:textId="77777777" w:rsidTr="00427452">
        <w:tc>
          <w:tcPr>
            <w:tcW w:w="2774" w:type="dxa"/>
            <w:shd w:val="clear" w:color="auto" w:fill="auto"/>
          </w:tcPr>
          <w:p w14:paraId="2B005BF7"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2024</w:t>
            </w:r>
          </w:p>
        </w:tc>
        <w:tc>
          <w:tcPr>
            <w:tcW w:w="2761" w:type="dxa"/>
            <w:shd w:val="clear" w:color="auto" w:fill="auto"/>
          </w:tcPr>
          <w:p w14:paraId="47D4E54D" w14:textId="764928FB" w:rsidR="00427452" w:rsidRPr="00044C19" w:rsidRDefault="00427452" w:rsidP="00427452">
            <w:pPr>
              <w:jc w:val="center"/>
              <w:outlineLvl w:val="4"/>
              <w:rPr>
                <w:rFonts w:eastAsia="Times New Roman" w:cs="Open Sans"/>
                <w:sz w:val="18"/>
                <w:szCs w:val="18"/>
              </w:rPr>
            </w:pPr>
            <w:r>
              <w:rPr>
                <w:rFonts w:eastAsia="Times New Roman" w:cs="Open Sans"/>
                <w:sz w:val="18"/>
                <w:szCs w:val="18"/>
              </w:rPr>
              <w:t>2.9</w:t>
            </w:r>
          </w:p>
        </w:tc>
        <w:tc>
          <w:tcPr>
            <w:tcW w:w="2761" w:type="dxa"/>
            <w:shd w:val="clear" w:color="auto" w:fill="auto"/>
          </w:tcPr>
          <w:p w14:paraId="4D6D9B41" w14:textId="6BD9B582" w:rsidR="00427452" w:rsidRPr="00427452" w:rsidRDefault="00427452" w:rsidP="00427452">
            <w:pPr>
              <w:jc w:val="center"/>
              <w:outlineLvl w:val="4"/>
              <w:rPr>
                <w:rFonts w:eastAsia="Times New Roman" w:cs="Open Sans"/>
                <w:bCs/>
                <w:sz w:val="18"/>
                <w:szCs w:val="18"/>
              </w:rPr>
            </w:pPr>
            <w:r w:rsidRPr="00427452">
              <w:rPr>
                <w:sz w:val="18"/>
                <w:szCs w:val="18"/>
              </w:rPr>
              <w:t>2.8</w:t>
            </w:r>
          </w:p>
        </w:tc>
      </w:tr>
      <w:tr w:rsidR="00427452" w:rsidRPr="00044C19" w14:paraId="4E8B2FC8" w14:textId="77777777" w:rsidTr="00427452">
        <w:tc>
          <w:tcPr>
            <w:tcW w:w="2774" w:type="dxa"/>
            <w:shd w:val="clear" w:color="auto" w:fill="auto"/>
          </w:tcPr>
          <w:p w14:paraId="2A9386C9"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2025</w:t>
            </w:r>
          </w:p>
        </w:tc>
        <w:tc>
          <w:tcPr>
            <w:tcW w:w="2761" w:type="dxa"/>
            <w:shd w:val="clear" w:color="auto" w:fill="auto"/>
          </w:tcPr>
          <w:p w14:paraId="78A69519" w14:textId="3A538336" w:rsidR="00427452" w:rsidRPr="00044C19" w:rsidRDefault="00427452" w:rsidP="00427452">
            <w:pPr>
              <w:jc w:val="center"/>
              <w:outlineLvl w:val="4"/>
              <w:rPr>
                <w:rFonts w:eastAsia="Times New Roman" w:cs="Open Sans"/>
                <w:sz w:val="18"/>
                <w:szCs w:val="18"/>
              </w:rPr>
            </w:pPr>
            <w:r>
              <w:rPr>
                <w:rFonts w:eastAsia="Times New Roman" w:cs="Open Sans"/>
                <w:sz w:val="18"/>
                <w:szCs w:val="18"/>
              </w:rPr>
              <w:t>2.9</w:t>
            </w:r>
          </w:p>
        </w:tc>
        <w:tc>
          <w:tcPr>
            <w:tcW w:w="2761" w:type="dxa"/>
            <w:shd w:val="clear" w:color="auto" w:fill="auto"/>
          </w:tcPr>
          <w:p w14:paraId="29B2E1BF" w14:textId="1A151D69" w:rsidR="00427452" w:rsidRPr="00427452" w:rsidRDefault="00427452" w:rsidP="00427452">
            <w:pPr>
              <w:jc w:val="center"/>
              <w:outlineLvl w:val="4"/>
              <w:rPr>
                <w:rFonts w:eastAsia="Times New Roman" w:cs="Open Sans"/>
                <w:bCs/>
                <w:sz w:val="18"/>
                <w:szCs w:val="18"/>
              </w:rPr>
            </w:pPr>
            <w:r w:rsidRPr="00427452">
              <w:rPr>
                <w:sz w:val="18"/>
                <w:szCs w:val="18"/>
              </w:rPr>
              <w:t>2.8</w:t>
            </w:r>
          </w:p>
        </w:tc>
      </w:tr>
      <w:tr w:rsidR="00427452" w:rsidRPr="00044C19" w14:paraId="5D049050" w14:textId="77777777" w:rsidTr="00427452">
        <w:tc>
          <w:tcPr>
            <w:tcW w:w="2774" w:type="dxa"/>
            <w:shd w:val="clear" w:color="auto" w:fill="auto"/>
          </w:tcPr>
          <w:p w14:paraId="4CB4EBDD"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2026</w:t>
            </w:r>
          </w:p>
        </w:tc>
        <w:tc>
          <w:tcPr>
            <w:tcW w:w="2761" w:type="dxa"/>
            <w:shd w:val="clear" w:color="auto" w:fill="auto"/>
          </w:tcPr>
          <w:p w14:paraId="53C95FD1" w14:textId="73DDE6BE" w:rsidR="00427452" w:rsidRPr="00044C19" w:rsidRDefault="00427452" w:rsidP="00427452">
            <w:pPr>
              <w:jc w:val="center"/>
              <w:outlineLvl w:val="4"/>
              <w:rPr>
                <w:rFonts w:eastAsia="Times New Roman" w:cs="Open Sans"/>
                <w:sz w:val="18"/>
                <w:szCs w:val="18"/>
              </w:rPr>
            </w:pPr>
            <w:r>
              <w:rPr>
                <w:rFonts w:eastAsia="Times New Roman" w:cs="Open Sans"/>
                <w:sz w:val="18"/>
                <w:szCs w:val="18"/>
              </w:rPr>
              <w:t>2.8</w:t>
            </w:r>
          </w:p>
        </w:tc>
        <w:tc>
          <w:tcPr>
            <w:tcW w:w="2761" w:type="dxa"/>
            <w:shd w:val="clear" w:color="auto" w:fill="auto"/>
          </w:tcPr>
          <w:p w14:paraId="6F6DA94B" w14:textId="37160F40" w:rsidR="00427452" w:rsidRPr="00427452" w:rsidRDefault="00427452" w:rsidP="00427452">
            <w:pPr>
              <w:jc w:val="center"/>
              <w:outlineLvl w:val="4"/>
              <w:rPr>
                <w:rFonts w:eastAsia="Times New Roman" w:cs="Open Sans"/>
                <w:bCs/>
                <w:sz w:val="18"/>
                <w:szCs w:val="18"/>
              </w:rPr>
            </w:pPr>
            <w:r w:rsidRPr="00427452">
              <w:rPr>
                <w:sz w:val="18"/>
                <w:szCs w:val="18"/>
              </w:rPr>
              <w:t>2.8</w:t>
            </w:r>
          </w:p>
        </w:tc>
      </w:tr>
      <w:tr w:rsidR="00427452" w:rsidRPr="00044C19" w14:paraId="7D99EC90" w14:textId="77777777" w:rsidTr="00427452">
        <w:tc>
          <w:tcPr>
            <w:tcW w:w="2774" w:type="dxa"/>
            <w:shd w:val="clear" w:color="auto" w:fill="auto"/>
          </w:tcPr>
          <w:p w14:paraId="132146D3"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2027</w:t>
            </w:r>
          </w:p>
        </w:tc>
        <w:tc>
          <w:tcPr>
            <w:tcW w:w="2761" w:type="dxa"/>
            <w:shd w:val="clear" w:color="auto" w:fill="auto"/>
          </w:tcPr>
          <w:p w14:paraId="7EA6C67E" w14:textId="6487874D" w:rsidR="00427452" w:rsidRPr="00044C19" w:rsidRDefault="00427452" w:rsidP="00427452">
            <w:pPr>
              <w:jc w:val="center"/>
              <w:outlineLvl w:val="4"/>
              <w:rPr>
                <w:rFonts w:eastAsia="Times New Roman" w:cs="Open Sans"/>
                <w:sz w:val="18"/>
                <w:szCs w:val="18"/>
              </w:rPr>
            </w:pPr>
            <w:r>
              <w:rPr>
                <w:rFonts w:eastAsia="Times New Roman" w:cs="Open Sans"/>
                <w:sz w:val="18"/>
                <w:szCs w:val="18"/>
              </w:rPr>
              <w:t>2.9</w:t>
            </w:r>
          </w:p>
        </w:tc>
        <w:tc>
          <w:tcPr>
            <w:tcW w:w="2761" w:type="dxa"/>
            <w:shd w:val="clear" w:color="auto" w:fill="auto"/>
          </w:tcPr>
          <w:p w14:paraId="5F19D8AA" w14:textId="6453D660" w:rsidR="00427452" w:rsidRPr="00427452" w:rsidRDefault="00427452" w:rsidP="00427452">
            <w:pPr>
              <w:jc w:val="center"/>
              <w:outlineLvl w:val="4"/>
              <w:rPr>
                <w:rFonts w:eastAsia="Times New Roman" w:cs="Open Sans"/>
                <w:bCs/>
                <w:sz w:val="18"/>
                <w:szCs w:val="18"/>
              </w:rPr>
            </w:pPr>
            <w:r w:rsidRPr="00427452">
              <w:rPr>
                <w:sz w:val="18"/>
                <w:szCs w:val="18"/>
              </w:rPr>
              <w:t>2.9</w:t>
            </w:r>
          </w:p>
        </w:tc>
      </w:tr>
      <w:tr w:rsidR="00427452" w:rsidRPr="00044C19" w14:paraId="646D13E5" w14:textId="77777777" w:rsidTr="00427452">
        <w:tc>
          <w:tcPr>
            <w:tcW w:w="2774" w:type="dxa"/>
            <w:shd w:val="clear" w:color="auto" w:fill="auto"/>
          </w:tcPr>
          <w:p w14:paraId="1515455A"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2028</w:t>
            </w:r>
          </w:p>
        </w:tc>
        <w:tc>
          <w:tcPr>
            <w:tcW w:w="2761" w:type="dxa"/>
            <w:shd w:val="clear" w:color="auto" w:fill="auto"/>
          </w:tcPr>
          <w:p w14:paraId="6C125D0B" w14:textId="389EE59C" w:rsidR="00427452" w:rsidRPr="00044C19" w:rsidRDefault="00427452" w:rsidP="00427452">
            <w:pPr>
              <w:jc w:val="center"/>
              <w:outlineLvl w:val="4"/>
              <w:rPr>
                <w:rFonts w:eastAsia="Times New Roman" w:cs="Open Sans"/>
                <w:sz w:val="18"/>
                <w:szCs w:val="18"/>
              </w:rPr>
            </w:pPr>
            <w:r>
              <w:rPr>
                <w:rFonts w:eastAsia="Times New Roman" w:cs="Open Sans"/>
                <w:sz w:val="18"/>
                <w:szCs w:val="18"/>
              </w:rPr>
              <w:t>2.9</w:t>
            </w:r>
          </w:p>
        </w:tc>
        <w:tc>
          <w:tcPr>
            <w:tcW w:w="2761" w:type="dxa"/>
            <w:shd w:val="clear" w:color="auto" w:fill="auto"/>
          </w:tcPr>
          <w:p w14:paraId="1788568D" w14:textId="7F540FB1" w:rsidR="00427452" w:rsidRPr="00427452" w:rsidRDefault="00427452" w:rsidP="00427452">
            <w:pPr>
              <w:jc w:val="center"/>
              <w:outlineLvl w:val="4"/>
              <w:rPr>
                <w:rFonts w:eastAsia="Times New Roman" w:cs="Open Sans"/>
                <w:bCs/>
                <w:sz w:val="18"/>
                <w:szCs w:val="18"/>
              </w:rPr>
            </w:pPr>
            <w:r w:rsidRPr="00427452">
              <w:rPr>
                <w:sz w:val="18"/>
                <w:szCs w:val="18"/>
              </w:rPr>
              <w:t>2.9</w:t>
            </w:r>
          </w:p>
        </w:tc>
      </w:tr>
      <w:tr w:rsidR="00427452" w:rsidRPr="00044C19" w14:paraId="61D40DBD" w14:textId="77777777" w:rsidTr="00427452">
        <w:tc>
          <w:tcPr>
            <w:tcW w:w="2774" w:type="dxa"/>
            <w:shd w:val="clear" w:color="auto" w:fill="auto"/>
          </w:tcPr>
          <w:p w14:paraId="47A12CA1"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2029</w:t>
            </w:r>
          </w:p>
        </w:tc>
        <w:tc>
          <w:tcPr>
            <w:tcW w:w="2761" w:type="dxa"/>
            <w:shd w:val="clear" w:color="auto" w:fill="auto"/>
          </w:tcPr>
          <w:p w14:paraId="0D3A00AC" w14:textId="4B9DA91A" w:rsidR="00427452" w:rsidRPr="00044C19" w:rsidRDefault="00427452" w:rsidP="00427452">
            <w:pPr>
              <w:jc w:val="center"/>
              <w:outlineLvl w:val="4"/>
              <w:rPr>
                <w:rFonts w:eastAsia="Times New Roman" w:cs="Open Sans"/>
                <w:sz w:val="18"/>
                <w:szCs w:val="18"/>
              </w:rPr>
            </w:pPr>
            <w:r>
              <w:rPr>
                <w:rFonts w:eastAsia="Times New Roman" w:cs="Open Sans"/>
                <w:sz w:val="18"/>
                <w:szCs w:val="18"/>
              </w:rPr>
              <w:t>2.9</w:t>
            </w:r>
          </w:p>
        </w:tc>
        <w:tc>
          <w:tcPr>
            <w:tcW w:w="2761" w:type="dxa"/>
            <w:shd w:val="clear" w:color="auto" w:fill="auto"/>
          </w:tcPr>
          <w:p w14:paraId="05387458" w14:textId="56EAEBF1" w:rsidR="00427452" w:rsidRPr="00427452" w:rsidRDefault="00427452" w:rsidP="00427452">
            <w:pPr>
              <w:jc w:val="center"/>
              <w:outlineLvl w:val="4"/>
              <w:rPr>
                <w:rFonts w:eastAsia="Times New Roman" w:cs="Open Sans"/>
                <w:bCs/>
                <w:sz w:val="18"/>
                <w:szCs w:val="18"/>
              </w:rPr>
            </w:pPr>
            <w:r w:rsidRPr="00427452">
              <w:rPr>
                <w:sz w:val="18"/>
                <w:szCs w:val="18"/>
              </w:rPr>
              <w:t>2.9</w:t>
            </w:r>
          </w:p>
        </w:tc>
      </w:tr>
      <w:tr w:rsidR="00427452" w:rsidRPr="00044C19" w14:paraId="5173EBC3" w14:textId="77777777" w:rsidTr="00427452">
        <w:tc>
          <w:tcPr>
            <w:tcW w:w="2774" w:type="dxa"/>
            <w:shd w:val="clear" w:color="auto" w:fill="auto"/>
          </w:tcPr>
          <w:p w14:paraId="1F1FE73A"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2030</w:t>
            </w:r>
          </w:p>
        </w:tc>
        <w:tc>
          <w:tcPr>
            <w:tcW w:w="2761" w:type="dxa"/>
            <w:shd w:val="clear" w:color="auto" w:fill="auto"/>
          </w:tcPr>
          <w:p w14:paraId="25F64E33" w14:textId="4037ECE7" w:rsidR="00427452" w:rsidRPr="00044C19" w:rsidRDefault="00427452" w:rsidP="00427452">
            <w:pPr>
              <w:jc w:val="center"/>
              <w:outlineLvl w:val="4"/>
              <w:rPr>
                <w:rFonts w:eastAsia="Times New Roman" w:cs="Open Sans"/>
                <w:sz w:val="18"/>
                <w:szCs w:val="18"/>
              </w:rPr>
            </w:pPr>
            <w:r>
              <w:rPr>
                <w:rFonts w:eastAsia="Times New Roman" w:cs="Open Sans"/>
                <w:sz w:val="18"/>
                <w:szCs w:val="18"/>
              </w:rPr>
              <w:t>2.8</w:t>
            </w:r>
          </w:p>
        </w:tc>
        <w:tc>
          <w:tcPr>
            <w:tcW w:w="2761" w:type="dxa"/>
            <w:shd w:val="clear" w:color="auto" w:fill="auto"/>
          </w:tcPr>
          <w:p w14:paraId="7522C1DB" w14:textId="0D6A5319" w:rsidR="00427452" w:rsidRPr="00427452" w:rsidRDefault="00427452" w:rsidP="00427452">
            <w:pPr>
              <w:jc w:val="center"/>
              <w:outlineLvl w:val="4"/>
              <w:rPr>
                <w:rFonts w:eastAsia="Times New Roman" w:cs="Open Sans"/>
                <w:bCs/>
                <w:sz w:val="18"/>
                <w:szCs w:val="18"/>
              </w:rPr>
            </w:pPr>
            <w:r w:rsidRPr="00427452">
              <w:rPr>
                <w:sz w:val="18"/>
                <w:szCs w:val="18"/>
              </w:rPr>
              <w:t>2.9</w:t>
            </w:r>
          </w:p>
        </w:tc>
      </w:tr>
      <w:tr w:rsidR="00427452" w:rsidRPr="00044C19" w14:paraId="41155A57" w14:textId="77777777" w:rsidTr="00427452">
        <w:tc>
          <w:tcPr>
            <w:tcW w:w="2774" w:type="dxa"/>
            <w:shd w:val="clear" w:color="auto" w:fill="auto"/>
          </w:tcPr>
          <w:p w14:paraId="672885C2" w14:textId="77777777" w:rsidR="00427452" w:rsidRPr="00044C19" w:rsidRDefault="00427452" w:rsidP="00427452">
            <w:pPr>
              <w:jc w:val="both"/>
              <w:outlineLvl w:val="4"/>
              <w:rPr>
                <w:rFonts w:eastAsia="Times New Roman" w:cs="Open Sans"/>
                <w:bCs/>
                <w:sz w:val="18"/>
                <w:szCs w:val="18"/>
              </w:rPr>
            </w:pPr>
            <w:r w:rsidRPr="00044C19">
              <w:rPr>
                <w:rFonts w:eastAsia="Calibri" w:cs="Open Sans"/>
                <w:bCs/>
                <w:sz w:val="18"/>
                <w:szCs w:val="18"/>
              </w:rPr>
              <w:t>2031</w:t>
            </w:r>
          </w:p>
        </w:tc>
        <w:tc>
          <w:tcPr>
            <w:tcW w:w="2761" w:type="dxa"/>
            <w:shd w:val="clear" w:color="auto" w:fill="auto"/>
          </w:tcPr>
          <w:p w14:paraId="18A04F3A" w14:textId="3CF3D1BE" w:rsidR="00427452" w:rsidRPr="00044C19" w:rsidRDefault="00427452" w:rsidP="00427452">
            <w:pPr>
              <w:jc w:val="center"/>
              <w:outlineLvl w:val="4"/>
              <w:rPr>
                <w:rFonts w:eastAsia="Times New Roman" w:cs="Open Sans"/>
                <w:sz w:val="18"/>
                <w:szCs w:val="18"/>
              </w:rPr>
            </w:pPr>
            <w:r>
              <w:rPr>
                <w:rFonts w:eastAsia="Times New Roman" w:cs="Open Sans"/>
                <w:sz w:val="18"/>
                <w:szCs w:val="18"/>
              </w:rPr>
              <w:t>2.8</w:t>
            </w:r>
          </w:p>
        </w:tc>
        <w:tc>
          <w:tcPr>
            <w:tcW w:w="2761" w:type="dxa"/>
            <w:shd w:val="clear" w:color="auto" w:fill="auto"/>
          </w:tcPr>
          <w:p w14:paraId="590C1F30" w14:textId="430291B1" w:rsidR="00427452" w:rsidRPr="00427452" w:rsidRDefault="00427452" w:rsidP="00427452">
            <w:pPr>
              <w:jc w:val="center"/>
              <w:outlineLvl w:val="4"/>
              <w:rPr>
                <w:rFonts w:eastAsia="Times New Roman" w:cs="Open Sans"/>
                <w:bCs/>
                <w:sz w:val="18"/>
                <w:szCs w:val="18"/>
              </w:rPr>
            </w:pPr>
            <w:r w:rsidRPr="00427452">
              <w:rPr>
                <w:sz w:val="18"/>
                <w:szCs w:val="18"/>
              </w:rPr>
              <w:t>2.9</w:t>
            </w:r>
          </w:p>
        </w:tc>
      </w:tr>
      <w:tr w:rsidR="00427452" w:rsidRPr="00044C19" w14:paraId="14C4F9D1" w14:textId="77777777" w:rsidTr="001210A1">
        <w:tc>
          <w:tcPr>
            <w:tcW w:w="2774" w:type="dxa"/>
            <w:shd w:val="clear" w:color="auto" w:fill="auto"/>
          </w:tcPr>
          <w:p w14:paraId="6B3796A4" w14:textId="0CDBDFBD" w:rsidR="00427452" w:rsidRPr="00044C19" w:rsidRDefault="00427452" w:rsidP="00427452">
            <w:pPr>
              <w:jc w:val="both"/>
              <w:outlineLvl w:val="4"/>
              <w:rPr>
                <w:rFonts w:eastAsia="Calibri" w:cs="Open Sans"/>
                <w:b/>
                <w:i/>
                <w:iCs/>
                <w:sz w:val="18"/>
                <w:szCs w:val="18"/>
              </w:rPr>
            </w:pPr>
            <w:r w:rsidRPr="00044C19">
              <w:rPr>
                <w:rFonts w:eastAsia="Calibri" w:cs="Open Sans"/>
                <w:b/>
                <w:i/>
                <w:iCs/>
                <w:sz w:val="18"/>
                <w:szCs w:val="18"/>
              </w:rPr>
              <w:t>Change, 201</w:t>
            </w:r>
            <w:r>
              <w:rPr>
                <w:rFonts w:eastAsia="Calibri" w:cs="Open Sans"/>
                <w:b/>
                <w:i/>
                <w:iCs/>
                <w:sz w:val="18"/>
                <w:szCs w:val="18"/>
              </w:rPr>
              <w:t>3</w:t>
            </w:r>
            <w:r w:rsidRPr="00044C19">
              <w:rPr>
                <w:rFonts w:eastAsia="Calibri" w:cs="Open Sans"/>
                <w:b/>
                <w:i/>
                <w:iCs/>
                <w:sz w:val="18"/>
                <w:szCs w:val="18"/>
              </w:rPr>
              <w:t>-203</w:t>
            </w:r>
            <w:r>
              <w:rPr>
                <w:rFonts w:eastAsia="Calibri" w:cs="Open Sans"/>
                <w:b/>
                <w:i/>
                <w:iCs/>
                <w:sz w:val="18"/>
                <w:szCs w:val="18"/>
              </w:rPr>
              <w:t>1</w:t>
            </w:r>
          </w:p>
        </w:tc>
        <w:tc>
          <w:tcPr>
            <w:tcW w:w="2761" w:type="dxa"/>
            <w:shd w:val="clear" w:color="auto" w:fill="auto"/>
          </w:tcPr>
          <w:p w14:paraId="4E9B0604" w14:textId="79EB25F5" w:rsidR="00427452" w:rsidRPr="00044C19" w:rsidRDefault="00427452" w:rsidP="00427452">
            <w:pPr>
              <w:jc w:val="center"/>
              <w:outlineLvl w:val="4"/>
              <w:rPr>
                <w:rFonts w:eastAsia="Calibri" w:cs="Open Sans"/>
                <w:b/>
                <w:bCs/>
                <w:i/>
                <w:iCs/>
                <w:sz w:val="18"/>
                <w:szCs w:val="18"/>
              </w:rPr>
            </w:pPr>
            <w:r>
              <w:rPr>
                <w:rFonts w:eastAsia="Calibri" w:cs="Open Sans"/>
                <w:b/>
                <w:bCs/>
                <w:i/>
                <w:iCs/>
                <w:sz w:val="18"/>
                <w:szCs w:val="18"/>
              </w:rPr>
              <w:t>+55.0</w:t>
            </w:r>
          </w:p>
        </w:tc>
        <w:tc>
          <w:tcPr>
            <w:tcW w:w="2761" w:type="dxa"/>
            <w:shd w:val="clear" w:color="auto" w:fill="auto"/>
          </w:tcPr>
          <w:p w14:paraId="2C42ABC9" w14:textId="4EA539F8" w:rsidR="00427452" w:rsidRPr="00044C19" w:rsidRDefault="00427452" w:rsidP="00427452">
            <w:pPr>
              <w:jc w:val="center"/>
              <w:outlineLvl w:val="4"/>
              <w:rPr>
                <w:rFonts w:eastAsia="Times New Roman" w:cs="Open Sans"/>
                <w:b/>
                <w:i/>
                <w:iCs/>
                <w:sz w:val="18"/>
                <w:szCs w:val="18"/>
              </w:rPr>
            </w:pPr>
            <w:r>
              <w:rPr>
                <w:rFonts w:eastAsia="Times New Roman" w:cs="Open Sans"/>
                <w:b/>
                <w:i/>
                <w:iCs/>
                <w:sz w:val="18"/>
                <w:szCs w:val="18"/>
              </w:rPr>
              <w:t>+57.3</w:t>
            </w:r>
          </w:p>
        </w:tc>
      </w:tr>
    </w:tbl>
    <w:p w14:paraId="63B07874" w14:textId="5BEEC339" w:rsidR="001A784C" w:rsidRPr="00044C19" w:rsidRDefault="001A784C" w:rsidP="001A784C">
      <w:pPr>
        <w:spacing w:after="240" w:line="360" w:lineRule="auto"/>
        <w:ind w:left="720"/>
        <w:jc w:val="both"/>
        <w:rPr>
          <w:rFonts w:eastAsia="Calibri" w:cs="Open Sans"/>
          <w:sz w:val="16"/>
          <w:szCs w:val="16"/>
        </w:rPr>
      </w:pPr>
      <w:r w:rsidRPr="00044C19">
        <w:rPr>
          <w:rFonts w:eastAsia="Calibri" w:cs="Open Sans"/>
          <w:sz w:val="16"/>
          <w:szCs w:val="16"/>
        </w:rPr>
        <w:t>Source: Experian Retail Planner Briefing Notes 11 and 1</w:t>
      </w:r>
      <w:r>
        <w:rPr>
          <w:rFonts w:eastAsia="Calibri" w:cs="Open Sans"/>
          <w:sz w:val="16"/>
          <w:szCs w:val="16"/>
        </w:rPr>
        <w:t>9</w:t>
      </w:r>
    </w:p>
    <w:bookmarkEnd w:id="4"/>
    <w:p w14:paraId="0409D675" w14:textId="3B59946C" w:rsidR="001A784C" w:rsidRPr="00044C19" w:rsidRDefault="001A784C" w:rsidP="00A20C8E">
      <w:pPr>
        <w:pStyle w:val="Level1"/>
      </w:pPr>
      <w:r w:rsidRPr="00044C19">
        <w:t xml:space="preserve">The above data shows </w:t>
      </w:r>
      <w:r w:rsidR="00427452">
        <w:t>very little differen</w:t>
      </w:r>
      <w:r w:rsidR="008A032E">
        <w:t>ce</w:t>
      </w:r>
      <w:r w:rsidR="00427452">
        <w:t xml:space="preserve"> </w:t>
      </w:r>
      <w:r w:rsidRPr="00044C19">
        <w:t xml:space="preserve">between the total comparison goods (per capita) </w:t>
      </w:r>
      <w:r w:rsidRPr="00A20C8E">
        <w:t>expenditure</w:t>
      </w:r>
      <w:r w:rsidRPr="00044C19">
        <w:t xml:space="preserve"> forecasts </w:t>
      </w:r>
      <w:r w:rsidR="00427452">
        <w:t xml:space="preserve">in </w:t>
      </w:r>
      <w:r w:rsidRPr="00044C19">
        <w:t>the 201</w:t>
      </w:r>
      <w:r>
        <w:t>3</w:t>
      </w:r>
      <w:r w:rsidRPr="00044C19">
        <w:t xml:space="preserve"> study and th</w:t>
      </w:r>
      <w:r w:rsidR="00427452">
        <w:t>is</w:t>
      </w:r>
      <w:r w:rsidRPr="00044C19">
        <w:t xml:space="preserve"> latest </w:t>
      </w:r>
      <w:r w:rsidR="00427452">
        <w:t>study</w:t>
      </w:r>
      <w:r w:rsidRPr="00044C19">
        <w:t>.  Growth up to 203</w:t>
      </w:r>
      <w:r>
        <w:t>1</w:t>
      </w:r>
      <w:r w:rsidRPr="00044C19">
        <w:t xml:space="preserve"> (from 201</w:t>
      </w:r>
      <w:r w:rsidR="00427452">
        <w:t>3</w:t>
      </w:r>
      <w:r w:rsidRPr="00044C19">
        <w:t xml:space="preserve"> levels) is now forecast to be </w:t>
      </w:r>
      <w:r w:rsidR="00A20C8E">
        <w:t>very slightly higher</w:t>
      </w:r>
      <w:r w:rsidRPr="00044C19">
        <w:t>, at +</w:t>
      </w:r>
      <w:r>
        <w:t>5</w:t>
      </w:r>
      <w:r w:rsidR="00A20C8E">
        <w:t>7.3</w:t>
      </w:r>
      <w:r w:rsidRPr="00044C19">
        <w:t xml:space="preserve">%.  </w:t>
      </w:r>
    </w:p>
    <w:p w14:paraId="0874F197" w14:textId="44F46391" w:rsidR="001A784C" w:rsidRDefault="001A784C" w:rsidP="00A20C8E">
      <w:pPr>
        <w:pStyle w:val="Level1"/>
      </w:pPr>
      <w:r w:rsidRPr="000D4686">
        <w:t>However, as the data in Table 3.3 below shows, when spending on comparison goods via purely internet-based sales is stripped out of the forecasts then the differences are significant.  At the time of the 2013 retail study, per capita spending via physical comparison goods stores (including internet-related sales associated with physical stores) was forecast to rise by circa +4</w:t>
      </w:r>
      <w:r w:rsidR="000D4686" w:rsidRPr="000D4686">
        <w:t>8.7</w:t>
      </w:r>
      <w:r w:rsidRPr="000D4686">
        <w:t>% up to 203</w:t>
      </w:r>
      <w:r w:rsidR="000D4686" w:rsidRPr="000D4686">
        <w:t>1</w:t>
      </w:r>
      <w:r w:rsidRPr="000D4686">
        <w:t>.  However, the latest comparable forecasts published by Experian show that forecast (per capita) expenditure growth up to 203</w:t>
      </w:r>
      <w:r w:rsidR="000D4686" w:rsidRPr="000D4686">
        <w:t>1</w:t>
      </w:r>
      <w:r w:rsidRPr="000D4686">
        <w:t xml:space="preserve"> will now be much lower at circa +35.</w:t>
      </w:r>
      <w:r w:rsidR="000D4686" w:rsidRPr="000D4686">
        <w:t>3</w:t>
      </w:r>
      <w:r w:rsidRPr="000D4686">
        <w:t>%</w:t>
      </w:r>
      <w:r w:rsidR="000D4686" w:rsidRPr="000D4686">
        <w:t>.</w:t>
      </w:r>
    </w:p>
    <w:p w14:paraId="323CEF12" w14:textId="66AC5DE1" w:rsidR="00F51B3F" w:rsidRDefault="00F51B3F" w:rsidP="00F51B3F">
      <w:pPr>
        <w:pStyle w:val="Level1"/>
        <w:numPr>
          <w:ilvl w:val="0"/>
          <w:numId w:val="0"/>
        </w:numPr>
        <w:ind w:left="720"/>
      </w:pPr>
    </w:p>
    <w:p w14:paraId="7D9A607E" w14:textId="7D804060" w:rsidR="00F51B3F" w:rsidRDefault="00F51B3F" w:rsidP="00F51B3F">
      <w:pPr>
        <w:pStyle w:val="Level1"/>
        <w:numPr>
          <w:ilvl w:val="0"/>
          <w:numId w:val="0"/>
        </w:numPr>
        <w:ind w:left="720"/>
      </w:pPr>
    </w:p>
    <w:p w14:paraId="3C32AD91" w14:textId="2810516C" w:rsidR="00F51B3F" w:rsidRDefault="00F51B3F" w:rsidP="00F51B3F">
      <w:pPr>
        <w:pStyle w:val="Level1"/>
        <w:numPr>
          <w:ilvl w:val="0"/>
          <w:numId w:val="0"/>
        </w:numPr>
        <w:ind w:left="720"/>
      </w:pPr>
    </w:p>
    <w:p w14:paraId="151055A2" w14:textId="3D53BA2D" w:rsidR="00F51B3F" w:rsidRDefault="00F51B3F" w:rsidP="00F51B3F">
      <w:pPr>
        <w:pStyle w:val="Level1"/>
        <w:numPr>
          <w:ilvl w:val="0"/>
          <w:numId w:val="0"/>
        </w:numPr>
        <w:ind w:left="720"/>
      </w:pPr>
    </w:p>
    <w:p w14:paraId="501A1282" w14:textId="77777777" w:rsidR="00F51B3F" w:rsidRPr="000D4686" w:rsidRDefault="00F51B3F" w:rsidP="00F51B3F">
      <w:pPr>
        <w:pStyle w:val="Level1"/>
        <w:numPr>
          <w:ilvl w:val="0"/>
          <w:numId w:val="0"/>
        </w:numPr>
        <w:ind w:left="720"/>
      </w:pPr>
    </w:p>
    <w:p w14:paraId="76EA2849" w14:textId="791DCD3F" w:rsidR="001A784C" w:rsidRPr="00C91FB8" w:rsidRDefault="001A784C" w:rsidP="001A784C">
      <w:pPr>
        <w:pStyle w:val="Heading3"/>
        <w:jc w:val="both"/>
        <w:rPr>
          <w:rStyle w:val="Emphasis"/>
          <w:rFonts w:ascii="Open Sans" w:hAnsi="Open Sans" w:cs="Open Sans"/>
          <w:b w:val="0"/>
          <w:bCs w:val="0"/>
          <w:sz w:val="18"/>
          <w:szCs w:val="18"/>
        </w:rPr>
      </w:pPr>
      <w:bookmarkStart w:id="5" w:name="_Hlk66095481"/>
      <w:r w:rsidRPr="00C91FB8">
        <w:rPr>
          <w:rStyle w:val="Emphasis"/>
          <w:rFonts w:ascii="Open Sans" w:hAnsi="Open Sans" w:cs="Open Sans"/>
          <w:b w:val="0"/>
          <w:bCs w:val="0"/>
          <w:sz w:val="18"/>
          <w:szCs w:val="18"/>
        </w:rPr>
        <w:lastRenderedPageBreak/>
        <w:t>Table 3.3: forecast year-on-year change in per capita comparison goods spending between 201</w:t>
      </w:r>
      <w:r w:rsidR="00C91FB8">
        <w:rPr>
          <w:rStyle w:val="Emphasis"/>
          <w:rFonts w:ascii="Open Sans" w:hAnsi="Open Sans" w:cs="Open Sans"/>
          <w:b w:val="0"/>
          <w:bCs w:val="0"/>
          <w:sz w:val="18"/>
          <w:szCs w:val="18"/>
        </w:rPr>
        <w:t>3</w:t>
      </w:r>
      <w:r w:rsidRPr="00C91FB8">
        <w:rPr>
          <w:rStyle w:val="Emphasis"/>
          <w:rFonts w:ascii="Open Sans" w:hAnsi="Open Sans" w:cs="Open Sans"/>
          <w:b w:val="0"/>
          <w:bCs w:val="0"/>
          <w:sz w:val="18"/>
          <w:szCs w:val="18"/>
        </w:rPr>
        <w:t xml:space="preserve"> and 2031 (excluding pure internet sales)</w:t>
      </w:r>
    </w:p>
    <w:tbl>
      <w:tblPr>
        <w:tblStyle w:val="TableGrid2"/>
        <w:tblW w:w="0" w:type="auto"/>
        <w:tblInd w:w="720" w:type="dxa"/>
        <w:tblLook w:val="04A0" w:firstRow="1" w:lastRow="0" w:firstColumn="1" w:lastColumn="0" w:noHBand="0" w:noVBand="1"/>
      </w:tblPr>
      <w:tblGrid>
        <w:gridCol w:w="2764"/>
        <w:gridCol w:w="2756"/>
        <w:gridCol w:w="2756"/>
      </w:tblGrid>
      <w:tr w:rsidR="001A784C" w:rsidRPr="00FF0516" w14:paraId="5D36F727" w14:textId="77777777" w:rsidTr="001210A1">
        <w:tc>
          <w:tcPr>
            <w:tcW w:w="2764" w:type="dxa"/>
            <w:shd w:val="clear" w:color="auto" w:fill="E8E9E7" w:themeFill="background2" w:themeFillTint="66"/>
          </w:tcPr>
          <w:p w14:paraId="10187C52" w14:textId="77777777" w:rsidR="001A784C" w:rsidRPr="00044C19" w:rsidRDefault="001A784C" w:rsidP="001210A1">
            <w:pPr>
              <w:jc w:val="both"/>
              <w:outlineLvl w:val="4"/>
              <w:rPr>
                <w:rFonts w:eastAsia="Times New Roman" w:cs="Open Sans"/>
                <w:b/>
                <w:color w:val="1F497D"/>
                <w:sz w:val="18"/>
                <w:szCs w:val="18"/>
              </w:rPr>
            </w:pPr>
            <w:r w:rsidRPr="00044C19">
              <w:rPr>
                <w:rFonts w:eastAsia="Times New Roman" w:cs="Open Sans"/>
                <w:b/>
                <w:color w:val="1F497D"/>
                <w:sz w:val="18"/>
                <w:szCs w:val="18"/>
              </w:rPr>
              <w:t>Year</w:t>
            </w:r>
          </w:p>
        </w:tc>
        <w:tc>
          <w:tcPr>
            <w:tcW w:w="2756" w:type="dxa"/>
            <w:shd w:val="clear" w:color="auto" w:fill="E8E9E7" w:themeFill="background2" w:themeFillTint="66"/>
          </w:tcPr>
          <w:p w14:paraId="16661CC0" w14:textId="50F05ACB" w:rsidR="001A784C" w:rsidRPr="00044C19" w:rsidRDefault="001A784C" w:rsidP="001210A1">
            <w:pPr>
              <w:jc w:val="center"/>
              <w:outlineLvl w:val="4"/>
              <w:rPr>
                <w:rFonts w:eastAsia="Times New Roman" w:cs="Open Sans"/>
                <w:b/>
                <w:sz w:val="18"/>
                <w:szCs w:val="18"/>
              </w:rPr>
            </w:pPr>
            <w:r w:rsidRPr="00044C19">
              <w:rPr>
                <w:rFonts w:eastAsia="Times New Roman" w:cs="Open Sans"/>
                <w:b/>
                <w:sz w:val="18"/>
                <w:szCs w:val="18"/>
              </w:rPr>
              <w:t>Experian Retail Planner Briefing Note 1</w:t>
            </w:r>
            <w:r>
              <w:rPr>
                <w:rFonts w:eastAsia="Times New Roman" w:cs="Open Sans"/>
                <w:b/>
                <w:sz w:val="18"/>
                <w:szCs w:val="18"/>
              </w:rPr>
              <w:t>1</w:t>
            </w:r>
          </w:p>
          <w:p w14:paraId="6669A5C0" w14:textId="77777777" w:rsidR="001A784C" w:rsidRPr="00044C19" w:rsidRDefault="001A784C" w:rsidP="001210A1">
            <w:pPr>
              <w:jc w:val="center"/>
              <w:outlineLvl w:val="4"/>
              <w:rPr>
                <w:rFonts w:eastAsia="Times New Roman" w:cs="Open Sans"/>
                <w:b/>
                <w:sz w:val="18"/>
                <w:szCs w:val="18"/>
              </w:rPr>
            </w:pPr>
            <w:r w:rsidRPr="00044C19">
              <w:rPr>
                <w:rFonts w:eastAsia="Times New Roman" w:cs="Open Sans"/>
                <w:b/>
                <w:sz w:val="18"/>
                <w:szCs w:val="18"/>
              </w:rPr>
              <w:t>(% change year-on-year)</w:t>
            </w:r>
          </w:p>
        </w:tc>
        <w:tc>
          <w:tcPr>
            <w:tcW w:w="2756" w:type="dxa"/>
            <w:tcBorders>
              <w:bottom w:val="single" w:sz="4" w:space="0" w:color="auto"/>
            </w:tcBorders>
            <w:shd w:val="clear" w:color="auto" w:fill="E8E9E7" w:themeFill="background2" w:themeFillTint="66"/>
          </w:tcPr>
          <w:p w14:paraId="7E0892D5" w14:textId="77777777" w:rsidR="001A784C" w:rsidRPr="00044C19" w:rsidRDefault="001A784C" w:rsidP="001210A1">
            <w:pPr>
              <w:jc w:val="center"/>
              <w:outlineLvl w:val="4"/>
              <w:rPr>
                <w:rFonts w:eastAsia="Times New Roman" w:cs="Open Sans"/>
                <w:b/>
                <w:sz w:val="18"/>
                <w:szCs w:val="18"/>
              </w:rPr>
            </w:pPr>
            <w:r w:rsidRPr="00044C19">
              <w:rPr>
                <w:rFonts w:eastAsia="Times New Roman" w:cs="Open Sans"/>
                <w:b/>
                <w:sz w:val="18"/>
                <w:szCs w:val="18"/>
              </w:rPr>
              <w:t>Experian Retail Planner Briefing Note 1</w:t>
            </w:r>
            <w:r>
              <w:rPr>
                <w:rFonts w:eastAsia="Times New Roman" w:cs="Open Sans"/>
                <w:b/>
                <w:sz w:val="18"/>
                <w:szCs w:val="18"/>
              </w:rPr>
              <w:t>9</w:t>
            </w:r>
          </w:p>
          <w:p w14:paraId="29F5FEA6" w14:textId="77777777" w:rsidR="001A784C" w:rsidRPr="00044C19" w:rsidRDefault="001A784C" w:rsidP="001210A1">
            <w:pPr>
              <w:jc w:val="center"/>
              <w:outlineLvl w:val="4"/>
              <w:rPr>
                <w:rFonts w:eastAsia="Times New Roman" w:cs="Open Sans"/>
                <w:b/>
                <w:sz w:val="18"/>
                <w:szCs w:val="18"/>
              </w:rPr>
            </w:pPr>
            <w:r w:rsidRPr="00044C19">
              <w:rPr>
                <w:rFonts w:eastAsia="Times New Roman" w:cs="Open Sans"/>
                <w:b/>
                <w:sz w:val="18"/>
                <w:szCs w:val="18"/>
              </w:rPr>
              <w:t>(% change year-on-year)</w:t>
            </w:r>
          </w:p>
        </w:tc>
      </w:tr>
      <w:tr w:rsidR="001254DB" w:rsidRPr="00044C19" w14:paraId="68FB30B7" w14:textId="77777777" w:rsidTr="001254DB">
        <w:tc>
          <w:tcPr>
            <w:tcW w:w="2764" w:type="dxa"/>
            <w:shd w:val="clear" w:color="auto" w:fill="auto"/>
          </w:tcPr>
          <w:p w14:paraId="6BFF5D0F" w14:textId="77777777" w:rsidR="001254DB" w:rsidRPr="00044C19" w:rsidRDefault="001254DB" w:rsidP="001254DB">
            <w:pPr>
              <w:jc w:val="both"/>
              <w:outlineLvl w:val="4"/>
              <w:rPr>
                <w:rFonts w:eastAsia="Calibri" w:cs="Open Sans"/>
                <w:bCs/>
                <w:sz w:val="18"/>
                <w:szCs w:val="18"/>
              </w:rPr>
            </w:pPr>
            <w:r>
              <w:rPr>
                <w:rFonts w:eastAsia="Calibri" w:cs="Open Sans"/>
                <w:bCs/>
                <w:sz w:val="18"/>
                <w:szCs w:val="18"/>
              </w:rPr>
              <w:t>2013</w:t>
            </w:r>
          </w:p>
        </w:tc>
        <w:tc>
          <w:tcPr>
            <w:tcW w:w="2756" w:type="dxa"/>
            <w:shd w:val="clear" w:color="auto" w:fill="auto"/>
          </w:tcPr>
          <w:p w14:paraId="3EA2032F" w14:textId="1FD58F0A" w:rsidR="001254DB" w:rsidRPr="00044C19" w:rsidRDefault="001254DB" w:rsidP="001254DB">
            <w:pPr>
              <w:jc w:val="center"/>
              <w:outlineLvl w:val="4"/>
              <w:rPr>
                <w:rFonts w:eastAsia="Calibri" w:cs="Open Sans"/>
                <w:sz w:val="18"/>
                <w:szCs w:val="18"/>
              </w:rPr>
            </w:pPr>
            <w:r>
              <w:rPr>
                <w:rFonts w:eastAsia="Calibri" w:cs="Open Sans"/>
                <w:sz w:val="18"/>
                <w:szCs w:val="18"/>
              </w:rPr>
              <w:t>2.9</w:t>
            </w:r>
          </w:p>
        </w:tc>
        <w:tc>
          <w:tcPr>
            <w:tcW w:w="2756" w:type="dxa"/>
            <w:shd w:val="clear" w:color="auto" w:fill="auto"/>
          </w:tcPr>
          <w:p w14:paraId="6860E9EE" w14:textId="198CE6E3" w:rsidR="001254DB" w:rsidRPr="001254DB" w:rsidRDefault="001254DB" w:rsidP="001254DB">
            <w:pPr>
              <w:jc w:val="center"/>
              <w:outlineLvl w:val="4"/>
              <w:rPr>
                <w:rFonts w:eastAsia="Calibri" w:cs="Open Sans"/>
                <w:sz w:val="18"/>
                <w:szCs w:val="18"/>
              </w:rPr>
            </w:pPr>
            <w:r w:rsidRPr="001254DB">
              <w:rPr>
                <w:sz w:val="18"/>
                <w:szCs w:val="18"/>
              </w:rPr>
              <w:t>4.9</w:t>
            </w:r>
          </w:p>
        </w:tc>
      </w:tr>
      <w:tr w:rsidR="001254DB" w:rsidRPr="00044C19" w14:paraId="7B524B17" w14:textId="77777777" w:rsidTr="001254DB">
        <w:tc>
          <w:tcPr>
            <w:tcW w:w="2764" w:type="dxa"/>
            <w:shd w:val="clear" w:color="auto" w:fill="auto"/>
          </w:tcPr>
          <w:p w14:paraId="0788D3D8" w14:textId="77777777" w:rsidR="001254DB" w:rsidRPr="00044C19" w:rsidRDefault="001254DB" w:rsidP="001254DB">
            <w:pPr>
              <w:jc w:val="both"/>
              <w:outlineLvl w:val="4"/>
              <w:rPr>
                <w:rFonts w:eastAsia="Calibri" w:cs="Open Sans"/>
                <w:bCs/>
                <w:sz w:val="18"/>
                <w:szCs w:val="18"/>
              </w:rPr>
            </w:pPr>
            <w:r>
              <w:rPr>
                <w:rFonts w:eastAsia="Calibri" w:cs="Open Sans"/>
                <w:bCs/>
                <w:sz w:val="18"/>
                <w:szCs w:val="18"/>
              </w:rPr>
              <w:t>2014</w:t>
            </w:r>
          </w:p>
        </w:tc>
        <w:tc>
          <w:tcPr>
            <w:tcW w:w="2756" w:type="dxa"/>
            <w:shd w:val="clear" w:color="auto" w:fill="auto"/>
          </w:tcPr>
          <w:p w14:paraId="2733C682" w14:textId="6DADA151" w:rsidR="001254DB" w:rsidRPr="00044C19" w:rsidRDefault="001254DB" w:rsidP="001254DB">
            <w:pPr>
              <w:jc w:val="center"/>
              <w:outlineLvl w:val="4"/>
              <w:rPr>
                <w:rFonts w:eastAsia="Calibri" w:cs="Open Sans"/>
                <w:sz w:val="18"/>
                <w:szCs w:val="18"/>
              </w:rPr>
            </w:pPr>
            <w:r>
              <w:rPr>
                <w:rFonts w:eastAsia="Calibri" w:cs="Open Sans"/>
                <w:sz w:val="18"/>
                <w:szCs w:val="18"/>
              </w:rPr>
              <w:t>1.4</w:t>
            </w:r>
          </w:p>
        </w:tc>
        <w:tc>
          <w:tcPr>
            <w:tcW w:w="2756" w:type="dxa"/>
            <w:shd w:val="clear" w:color="auto" w:fill="auto"/>
          </w:tcPr>
          <w:p w14:paraId="0853362F" w14:textId="4D825AB2" w:rsidR="001254DB" w:rsidRPr="001254DB" w:rsidRDefault="001254DB" w:rsidP="001254DB">
            <w:pPr>
              <w:jc w:val="center"/>
              <w:outlineLvl w:val="4"/>
              <w:rPr>
                <w:rFonts w:eastAsia="Calibri" w:cs="Open Sans"/>
                <w:sz w:val="18"/>
                <w:szCs w:val="18"/>
              </w:rPr>
            </w:pPr>
            <w:r w:rsidRPr="001254DB">
              <w:rPr>
                <w:sz w:val="18"/>
                <w:szCs w:val="18"/>
              </w:rPr>
              <w:t>1.7</w:t>
            </w:r>
          </w:p>
        </w:tc>
      </w:tr>
      <w:tr w:rsidR="001254DB" w:rsidRPr="00044C19" w14:paraId="67D0FDB9" w14:textId="77777777" w:rsidTr="001254DB">
        <w:tc>
          <w:tcPr>
            <w:tcW w:w="2764" w:type="dxa"/>
            <w:shd w:val="clear" w:color="auto" w:fill="auto"/>
          </w:tcPr>
          <w:p w14:paraId="1F179D08" w14:textId="77777777" w:rsidR="001254DB" w:rsidRPr="00044C19" w:rsidRDefault="001254DB" w:rsidP="001254DB">
            <w:pPr>
              <w:jc w:val="both"/>
              <w:outlineLvl w:val="4"/>
              <w:rPr>
                <w:rFonts w:eastAsia="Calibri" w:cs="Open Sans"/>
                <w:bCs/>
                <w:sz w:val="18"/>
                <w:szCs w:val="18"/>
              </w:rPr>
            </w:pPr>
            <w:r w:rsidRPr="00044C19">
              <w:rPr>
                <w:rFonts w:eastAsia="Calibri" w:cs="Open Sans"/>
                <w:bCs/>
                <w:sz w:val="18"/>
                <w:szCs w:val="18"/>
              </w:rPr>
              <w:t>2015</w:t>
            </w:r>
          </w:p>
        </w:tc>
        <w:tc>
          <w:tcPr>
            <w:tcW w:w="2756" w:type="dxa"/>
            <w:shd w:val="clear" w:color="auto" w:fill="auto"/>
          </w:tcPr>
          <w:p w14:paraId="67EFF021" w14:textId="51D1295E" w:rsidR="001254DB" w:rsidRPr="00044C19" w:rsidRDefault="001254DB" w:rsidP="001254DB">
            <w:pPr>
              <w:jc w:val="center"/>
              <w:outlineLvl w:val="4"/>
              <w:rPr>
                <w:rFonts w:eastAsia="Calibri" w:cs="Open Sans"/>
                <w:sz w:val="18"/>
                <w:szCs w:val="18"/>
              </w:rPr>
            </w:pPr>
            <w:r>
              <w:rPr>
                <w:rFonts w:eastAsia="Calibri" w:cs="Open Sans"/>
                <w:sz w:val="18"/>
                <w:szCs w:val="18"/>
              </w:rPr>
              <w:t>2.0</w:t>
            </w:r>
          </w:p>
        </w:tc>
        <w:tc>
          <w:tcPr>
            <w:tcW w:w="2756" w:type="dxa"/>
            <w:shd w:val="clear" w:color="auto" w:fill="auto"/>
          </w:tcPr>
          <w:p w14:paraId="7ADC12FA" w14:textId="1CDE3C67" w:rsidR="001254DB" w:rsidRPr="001254DB" w:rsidRDefault="001254DB" w:rsidP="001254DB">
            <w:pPr>
              <w:jc w:val="center"/>
              <w:outlineLvl w:val="4"/>
              <w:rPr>
                <w:rFonts w:eastAsia="Calibri" w:cs="Open Sans"/>
                <w:sz w:val="18"/>
                <w:szCs w:val="18"/>
              </w:rPr>
            </w:pPr>
            <w:r w:rsidRPr="001254DB">
              <w:rPr>
                <w:sz w:val="18"/>
                <w:szCs w:val="18"/>
              </w:rPr>
              <w:t>5.7</w:t>
            </w:r>
          </w:p>
        </w:tc>
      </w:tr>
      <w:tr w:rsidR="001254DB" w:rsidRPr="00044C19" w14:paraId="0CC6DA91" w14:textId="77777777" w:rsidTr="001254DB">
        <w:tc>
          <w:tcPr>
            <w:tcW w:w="2764" w:type="dxa"/>
            <w:shd w:val="clear" w:color="auto" w:fill="auto"/>
          </w:tcPr>
          <w:p w14:paraId="57A29A9E" w14:textId="77777777" w:rsidR="001254DB" w:rsidRPr="00044C19" w:rsidRDefault="001254DB" w:rsidP="001254DB">
            <w:pPr>
              <w:jc w:val="both"/>
              <w:outlineLvl w:val="4"/>
              <w:rPr>
                <w:rFonts w:eastAsia="Calibri" w:cs="Open Sans"/>
                <w:bCs/>
                <w:sz w:val="18"/>
                <w:szCs w:val="18"/>
              </w:rPr>
            </w:pPr>
            <w:r w:rsidRPr="00044C19">
              <w:rPr>
                <w:rFonts w:eastAsia="Calibri" w:cs="Open Sans"/>
                <w:bCs/>
                <w:sz w:val="18"/>
                <w:szCs w:val="18"/>
              </w:rPr>
              <w:t>2016</w:t>
            </w:r>
          </w:p>
        </w:tc>
        <w:tc>
          <w:tcPr>
            <w:tcW w:w="2756" w:type="dxa"/>
            <w:shd w:val="clear" w:color="auto" w:fill="auto"/>
          </w:tcPr>
          <w:p w14:paraId="14127545" w14:textId="19210994" w:rsidR="001254DB" w:rsidRPr="00044C19" w:rsidRDefault="001254DB" w:rsidP="001254DB">
            <w:pPr>
              <w:jc w:val="center"/>
              <w:outlineLvl w:val="4"/>
              <w:rPr>
                <w:rFonts w:eastAsia="Calibri" w:cs="Open Sans"/>
                <w:sz w:val="18"/>
                <w:szCs w:val="18"/>
              </w:rPr>
            </w:pPr>
            <w:r>
              <w:rPr>
                <w:rFonts w:eastAsia="Calibri" w:cs="Open Sans"/>
                <w:sz w:val="18"/>
                <w:szCs w:val="18"/>
              </w:rPr>
              <w:t>2.1</w:t>
            </w:r>
          </w:p>
        </w:tc>
        <w:tc>
          <w:tcPr>
            <w:tcW w:w="2756" w:type="dxa"/>
            <w:shd w:val="clear" w:color="auto" w:fill="auto"/>
          </w:tcPr>
          <w:p w14:paraId="232991B0" w14:textId="14BFF7D0" w:rsidR="001254DB" w:rsidRPr="001254DB" w:rsidRDefault="001254DB" w:rsidP="001254DB">
            <w:pPr>
              <w:jc w:val="center"/>
              <w:outlineLvl w:val="4"/>
              <w:rPr>
                <w:rFonts w:eastAsia="Calibri" w:cs="Open Sans"/>
                <w:sz w:val="18"/>
                <w:szCs w:val="18"/>
              </w:rPr>
            </w:pPr>
            <w:r w:rsidRPr="001254DB">
              <w:rPr>
                <w:sz w:val="18"/>
                <w:szCs w:val="18"/>
              </w:rPr>
              <w:t>3.4</w:t>
            </w:r>
          </w:p>
        </w:tc>
      </w:tr>
      <w:tr w:rsidR="001254DB" w:rsidRPr="00044C19" w14:paraId="4187A704" w14:textId="77777777" w:rsidTr="001254DB">
        <w:tc>
          <w:tcPr>
            <w:tcW w:w="2764" w:type="dxa"/>
            <w:shd w:val="clear" w:color="auto" w:fill="auto"/>
          </w:tcPr>
          <w:p w14:paraId="43BBA70C" w14:textId="77777777" w:rsidR="001254DB" w:rsidRPr="00044C19" w:rsidRDefault="001254DB" w:rsidP="001254DB">
            <w:pPr>
              <w:jc w:val="both"/>
              <w:outlineLvl w:val="4"/>
              <w:rPr>
                <w:rFonts w:eastAsia="Calibri" w:cs="Open Sans"/>
                <w:bCs/>
                <w:sz w:val="18"/>
                <w:szCs w:val="18"/>
              </w:rPr>
            </w:pPr>
            <w:r w:rsidRPr="00044C19">
              <w:rPr>
                <w:rFonts w:eastAsia="Calibri" w:cs="Open Sans"/>
                <w:bCs/>
                <w:sz w:val="18"/>
                <w:szCs w:val="18"/>
              </w:rPr>
              <w:t>2017</w:t>
            </w:r>
          </w:p>
        </w:tc>
        <w:tc>
          <w:tcPr>
            <w:tcW w:w="2756" w:type="dxa"/>
            <w:shd w:val="clear" w:color="auto" w:fill="auto"/>
          </w:tcPr>
          <w:p w14:paraId="11043DF2" w14:textId="35EC29D3" w:rsidR="001254DB" w:rsidRPr="00044C19" w:rsidRDefault="001254DB" w:rsidP="001254DB">
            <w:pPr>
              <w:jc w:val="center"/>
              <w:outlineLvl w:val="4"/>
              <w:rPr>
                <w:rFonts w:eastAsia="Times New Roman" w:cs="Open Sans"/>
                <w:sz w:val="18"/>
                <w:szCs w:val="18"/>
              </w:rPr>
            </w:pPr>
            <w:r>
              <w:rPr>
                <w:rFonts w:eastAsia="Times New Roman" w:cs="Open Sans"/>
                <w:sz w:val="18"/>
                <w:szCs w:val="18"/>
              </w:rPr>
              <w:t>2.1</w:t>
            </w:r>
          </w:p>
        </w:tc>
        <w:tc>
          <w:tcPr>
            <w:tcW w:w="2756" w:type="dxa"/>
            <w:shd w:val="clear" w:color="auto" w:fill="auto"/>
          </w:tcPr>
          <w:p w14:paraId="6AC9246F" w14:textId="2392A97A" w:rsidR="001254DB" w:rsidRPr="001254DB" w:rsidRDefault="001254DB" w:rsidP="001254DB">
            <w:pPr>
              <w:jc w:val="center"/>
              <w:outlineLvl w:val="4"/>
              <w:rPr>
                <w:rFonts w:eastAsia="Times New Roman" w:cs="Open Sans"/>
                <w:bCs/>
                <w:sz w:val="18"/>
                <w:szCs w:val="18"/>
              </w:rPr>
            </w:pPr>
            <w:r w:rsidRPr="001254DB">
              <w:rPr>
                <w:sz w:val="18"/>
                <w:szCs w:val="18"/>
              </w:rPr>
              <w:t>1.6</w:t>
            </w:r>
          </w:p>
        </w:tc>
      </w:tr>
      <w:tr w:rsidR="001254DB" w:rsidRPr="00044C19" w14:paraId="1AE27E88" w14:textId="77777777" w:rsidTr="001254DB">
        <w:tc>
          <w:tcPr>
            <w:tcW w:w="2764" w:type="dxa"/>
            <w:shd w:val="clear" w:color="auto" w:fill="auto"/>
          </w:tcPr>
          <w:p w14:paraId="0C1F257D"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2018</w:t>
            </w:r>
          </w:p>
        </w:tc>
        <w:tc>
          <w:tcPr>
            <w:tcW w:w="2756" w:type="dxa"/>
            <w:shd w:val="clear" w:color="auto" w:fill="auto"/>
          </w:tcPr>
          <w:p w14:paraId="21EDE881" w14:textId="70D7FADB" w:rsidR="001254DB" w:rsidRPr="00044C19" w:rsidRDefault="001254DB" w:rsidP="001254DB">
            <w:pPr>
              <w:jc w:val="center"/>
              <w:outlineLvl w:val="4"/>
              <w:rPr>
                <w:rFonts w:eastAsia="Times New Roman" w:cs="Open Sans"/>
                <w:sz w:val="18"/>
                <w:szCs w:val="18"/>
              </w:rPr>
            </w:pPr>
            <w:r>
              <w:rPr>
                <w:rFonts w:eastAsia="Times New Roman" w:cs="Open Sans"/>
                <w:sz w:val="18"/>
                <w:szCs w:val="18"/>
              </w:rPr>
              <w:t>2.2</w:t>
            </w:r>
          </w:p>
        </w:tc>
        <w:tc>
          <w:tcPr>
            <w:tcW w:w="2756" w:type="dxa"/>
            <w:shd w:val="clear" w:color="auto" w:fill="auto"/>
          </w:tcPr>
          <w:p w14:paraId="3EFD6A44" w14:textId="4C7C68AA" w:rsidR="001254DB" w:rsidRPr="001254DB" w:rsidRDefault="001254DB" w:rsidP="001254DB">
            <w:pPr>
              <w:jc w:val="center"/>
              <w:outlineLvl w:val="4"/>
              <w:rPr>
                <w:rFonts w:eastAsia="Times New Roman" w:cs="Open Sans"/>
                <w:bCs/>
                <w:sz w:val="18"/>
                <w:szCs w:val="18"/>
              </w:rPr>
            </w:pPr>
            <w:r w:rsidRPr="001254DB">
              <w:rPr>
                <w:sz w:val="18"/>
                <w:szCs w:val="18"/>
              </w:rPr>
              <w:t>-0.8</w:t>
            </w:r>
          </w:p>
        </w:tc>
      </w:tr>
      <w:tr w:rsidR="001254DB" w:rsidRPr="00044C19" w14:paraId="413D66EB" w14:textId="77777777" w:rsidTr="001254DB">
        <w:tc>
          <w:tcPr>
            <w:tcW w:w="2764" w:type="dxa"/>
            <w:shd w:val="clear" w:color="auto" w:fill="auto"/>
          </w:tcPr>
          <w:p w14:paraId="7E1CFA59"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2019</w:t>
            </w:r>
          </w:p>
        </w:tc>
        <w:tc>
          <w:tcPr>
            <w:tcW w:w="2756" w:type="dxa"/>
            <w:shd w:val="clear" w:color="auto" w:fill="auto"/>
          </w:tcPr>
          <w:p w14:paraId="38BD2B75" w14:textId="4C268B3C" w:rsidR="001254DB" w:rsidRPr="00044C19" w:rsidRDefault="001254DB" w:rsidP="001254DB">
            <w:pPr>
              <w:jc w:val="center"/>
              <w:outlineLvl w:val="4"/>
              <w:rPr>
                <w:rFonts w:eastAsia="Times New Roman" w:cs="Open Sans"/>
                <w:sz w:val="18"/>
                <w:szCs w:val="18"/>
              </w:rPr>
            </w:pPr>
            <w:r>
              <w:rPr>
                <w:rFonts w:eastAsia="Times New Roman" w:cs="Open Sans"/>
                <w:sz w:val="18"/>
                <w:szCs w:val="18"/>
              </w:rPr>
              <w:t>2.3</w:t>
            </w:r>
          </w:p>
        </w:tc>
        <w:tc>
          <w:tcPr>
            <w:tcW w:w="2756" w:type="dxa"/>
            <w:shd w:val="clear" w:color="auto" w:fill="auto"/>
          </w:tcPr>
          <w:p w14:paraId="4C38FC8C" w14:textId="5BC81633" w:rsidR="001254DB" w:rsidRPr="001254DB" w:rsidRDefault="001254DB" w:rsidP="001254DB">
            <w:pPr>
              <w:jc w:val="center"/>
              <w:outlineLvl w:val="4"/>
              <w:rPr>
                <w:rFonts w:eastAsia="Times New Roman" w:cs="Open Sans"/>
                <w:bCs/>
                <w:sz w:val="18"/>
                <w:szCs w:val="18"/>
              </w:rPr>
            </w:pPr>
            <w:r w:rsidRPr="001254DB">
              <w:rPr>
                <w:sz w:val="18"/>
                <w:szCs w:val="18"/>
              </w:rPr>
              <w:t>0.8</w:t>
            </w:r>
          </w:p>
        </w:tc>
      </w:tr>
      <w:tr w:rsidR="001254DB" w:rsidRPr="00044C19" w14:paraId="735E1975" w14:textId="77777777" w:rsidTr="001254DB">
        <w:tc>
          <w:tcPr>
            <w:tcW w:w="2764" w:type="dxa"/>
            <w:shd w:val="clear" w:color="auto" w:fill="auto"/>
          </w:tcPr>
          <w:p w14:paraId="6BA219F6"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2020</w:t>
            </w:r>
          </w:p>
        </w:tc>
        <w:tc>
          <w:tcPr>
            <w:tcW w:w="2756" w:type="dxa"/>
            <w:shd w:val="clear" w:color="auto" w:fill="auto"/>
          </w:tcPr>
          <w:p w14:paraId="44CAF558" w14:textId="504D6525" w:rsidR="001254DB" w:rsidRPr="00044C19" w:rsidRDefault="001254DB" w:rsidP="001254DB">
            <w:pPr>
              <w:jc w:val="center"/>
              <w:outlineLvl w:val="4"/>
              <w:rPr>
                <w:rFonts w:eastAsia="Times New Roman" w:cs="Open Sans"/>
                <w:sz w:val="18"/>
                <w:szCs w:val="18"/>
              </w:rPr>
            </w:pPr>
            <w:r>
              <w:rPr>
                <w:rFonts w:eastAsia="Times New Roman" w:cs="Open Sans"/>
                <w:sz w:val="18"/>
                <w:szCs w:val="18"/>
              </w:rPr>
              <w:t>2.4</w:t>
            </w:r>
          </w:p>
        </w:tc>
        <w:tc>
          <w:tcPr>
            <w:tcW w:w="2756" w:type="dxa"/>
            <w:shd w:val="clear" w:color="auto" w:fill="auto"/>
          </w:tcPr>
          <w:p w14:paraId="3932F7ED" w14:textId="26089791" w:rsidR="001254DB" w:rsidRPr="001254DB" w:rsidRDefault="001254DB" w:rsidP="001254DB">
            <w:pPr>
              <w:jc w:val="center"/>
              <w:outlineLvl w:val="4"/>
              <w:rPr>
                <w:rFonts w:eastAsia="Times New Roman" w:cs="Open Sans"/>
                <w:bCs/>
                <w:sz w:val="18"/>
                <w:szCs w:val="18"/>
              </w:rPr>
            </w:pPr>
            <w:r w:rsidRPr="001254DB">
              <w:rPr>
                <w:sz w:val="18"/>
                <w:szCs w:val="18"/>
              </w:rPr>
              <w:t>-7.6</w:t>
            </w:r>
          </w:p>
        </w:tc>
      </w:tr>
      <w:tr w:rsidR="001254DB" w:rsidRPr="00044C19" w14:paraId="5EDE67FA" w14:textId="77777777" w:rsidTr="001254DB">
        <w:tc>
          <w:tcPr>
            <w:tcW w:w="2764" w:type="dxa"/>
            <w:shd w:val="clear" w:color="auto" w:fill="auto"/>
          </w:tcPr>
          <w:p w14:paraId="7C039FF3"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2021</w:t>
            </w:r>
          </w:p>
        </w:tc>
        <w:tc>
          <w:tcPr>
            <w:tcW w:w="2756" w:type="dxa"/>
            <w:shd w:val="clear" w:color="auto" w:fill="auto"/>
          </w:tcPr>
          <w:p w14:paraId="321C369F" w14:textId="50B4EEC3" w:rsidR="001254DB" w:rsidRPr="00044C19" w:rsidRDefault="001254DB" w:rsidP="001254DB">
            <w:pPr>
              <w:jc w:val="center"/>
              <w:outlineLvl w:val="4"/>
              <w:rPr>
                <w:rFonts w:eastAsia="Times New Roman" w:cs="Open Sans"/>
                <w:sz w:val="18"/>
                <w:szCs w:val="18"/>
              </w:rPr>
            </w:pPr>
            <w:r>
              <w:rPr>
                <w:rFonts w:eastAsia="Times New Roman" w:cs="Open Sans"/>
                <w:sz w:val="18"/>
                <w:szCs w:val="18"/>
              </w:rPr>
              <w:t>2.8</w:t>
            </w:r>
          </w:p>
        </w:tc>
        <w:tc>
          <w:tcPr>
            <w:tcW w:w="2756" w:type="dxa"/>
            <w:shd w:val="clear" w:color="auto" w:fill="auto"/>
          </w:tcPr>
          <w:p w14:paraId="7F6849A6" w14:textId="32AB64E0" w:rsidR="001254DB" w:rsidRPr="001254DB" w:rsidRDefault="001254DB" w:rsidP="001254DB">
            <w:pPr>
              <w:jc w:val="center"/>
              <w:outlineLvl w:val="4"/>
              <w:rPr>
                <w:rFonts w:eastAsia="Times New Roman" w:cs="Open Sans"/>
                <w:bCs/>
                <w:sz w:val="18"/>
                <w:szCs w:val="18"/>
              </w:rPr>
            </w:pPr>
            <w:r w:rsidRPr="001254DB">
              <w:rPr>
                <w:sz w:val="18"/>
                <w:szCs w:val="18"/>
              </w:rPr>
              <w:t>0.5</w:t>
            </w:r>
          </w:p>
        </w:tc>
      </w:tr>
      <w:tr w:rsidR="001254DB" w:rsidRPr="00044C19" w14:paraId="0AB83F03" w14:textId="77777777" w:rsidTr="001254DB">
        <w:tc>
          <w:tcPr>
            <w:tcW w:w="2764" w:type="dxa"/>
            <w:shd w:val="clear" w:color="auto" w:fill="auto"/>
          </w:tcPr>
          <w:p w14:paraId="1547D9A2"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2022</w:t>
            </w:r>
          </w:p>
        </w:tc>
        <w:tc>
          <w:tcPr>
            <w:tcW w:w="2756" w:type="dxa"/>
            <w:shd w:val="clear" w:color="auto" w:fill="auto"/>
          </w:tcPr>
          <w:p w14:paraId="0074E057" w14:textId="65C0A73E" w:rsidR="001254DB" w:rsidRPr="00044C19" w:rsidRDefault="001254DB" w:rsidP="001254DB">
            <w:pPr>
              <w:jc w:val="center"/>
              <w:outlineLvl w:val="4"/>
              <w:rPr>
                <w:rFonts w:eastAsia="Times New Roman" w:cs="Open Sans"/>
                <w:sz w:val="18"/>
                <w:szCs w:val="18"/>
              </w:rPr>
            </w:pPr>
            <w:r>
              <w:rPr>
                <w:rFonts w:eastAsia="Times New Roman" w:cs="Open Sans"/>
                <w:sz w:val="18"/>
                <w:szCs w:val="18"/>
              </w:rPr>
              <w:t>2.7</w:t>
            </w:r>
          </w:p>
        </w:tc>
        <w:tc>
          <w:tcPr>
            <w:tcW w:w="2756" w:type="dxa"/>
            <w:shd w:val="clear" w:color="auto" w:fill="auto"/>
          </w:tcPr>
          <w:p w14:paraId="1ECF1DD5" w14:textId="7449BEFD" w:rsidR="001254DB" w:rsidRPr="001254DB" w:rsidRDefault="001254DB" w:rsidP="001254DB">
            <w:pPr>
              <w:jc w:val="center"/>
              <w:outlineLvl w:val="4"/>
              <w:rPr>
                <w:rFonts w:eastAsia="Times New Roman" w:cs="Open Sans"/>
                <w:bCs/>
                <w:sz w:val="18"/>
                <w:szCs w:val="18"/>
              </w:rPr>
            </w:pPr>
            <w:r w:rsidRPr="001254DB">
              <w:rPr>
                <w:sz w:val="18"/>
                <w:szCs w:val="18"/>
              </w:rPr>
              <w:t>5.9</w:t>
            </w:r>
          </w:p>
        </w:tc>
      </w:tr>
      <w:tr w:rsidR="001254DB" w:rsidRPr="00044C19" w14:paraId="23FA91B4" w14:textId="77777777" w:rsidTr="001254DB">
        <w:tc>
          <w:tcPr>
            <w:tcW w:w="2764" w:type="dxa"/>
            <w:shd w:val="clear" w:color="auto" w:fill="auto"/>
          </w:tcPr>
          <w:p w14:paraId="595611C5"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2023</w:t>
            </w:r>
          </w:p>
        </w:tc>
        <w:tc>
          <w:tcPr>
            <w:tcW w:w="2756" w:type="dxa"/>
            <w:shd w:val="clear" w:color="auto" w:fill="auto"/>
          </w:tcPr>
          <w:p w14:paraId="55F4932F" w14:textId="7F138B9C" w:rsidR="001254DB" w:rsidRPr="00044C19" w:rsidRDefault="001254DB" w:rsidP="001254DB">
            <w:pPr>
              <w:jc w:val="center"/>
              <w:outlineLvl w:val="4"/>
              <w:rPr>
                <w:rFonts w:eastAsia="Times New Roman" w:cs="Open Sans"/>
                <w:sz w:val="18"/>
                <w:szCs w:val="18"/>
              </w:rPr>
            </w:pPr>
            <w:r>
              <w:rPr>
                <w:rFonts w:eastAsia="Times New Roman" w:cs="Open Sans"/>
                <w:sz w:val="18"/>
                <w:szCs w:val="18"/>
              </w:rPr>
              <w:t>2.8</w:t>
            </w:r>
          </w:p>
        </w:tc>
        <w:tc>
          <w:tcPr>
            <w:tcW w:w="2756" w:type="dxa"/>
            <w:shd w:val="clear" w:color="auto" w:fill="auto"/>
          </w:tcPr>
          <w:p w14:paraId="22BF67B7" w14:textId="4C30D30A" w:rsidR="001254DB" w:rsidRPr="001254DB" w:rsidRDefault="001254DB" w:rsidP="001254DB">
            <w:pPr>
              <w:jc w:val="center"/>
              <w:outlineLvl w:val="4"/>
              <w:rPr>
                <w:rFonts w:eastAsia="Times New Roman" w:cs="Open Sans"/>
                <w:bCs/>
                <w:sz w:val="18"/>
                <w:szCs w:val="18"/>
              </w:rPr>
            </w:pPr>
            <w:r w:rsidRPr="001254DB">
              <w:rPr>
                <w:sz w:val="18"/>
                <w:szCs w:val="18"/>
              </w:rPr>
              <w:t>1.8</w:t>
            </w:r>
          </w:p>
        </w:tc>
      </w:tr>
      <w:tr w:rsidR="001254DB" w:rsidRPr="00044C19" w14:paraId="73740AED" w14:textId="77777777" w:rsidTr="001254DB">
        <w:tc>
          <w:tcPr>
            <w:tcW w:w="2764" w:type="dxa"/>
            <w:shd w:val="clear" w:color="auto" w:fill="auto"/>
          </w:tcPr>
          <w:p w14:paraId="5EB45F09"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2024</w:t>
            </w:r>
          </w:p>
        </w:tc>
        <w:tc>
          <w:tcPr>
            <w:tcW w:w="2756" w:type="dxa"/>
            <w:shd w:val="clear" w:color="auto" w:fill="auto"/>
          </w:tcPr>
          <w:p w14:paraId="48AEC266" w14:textId="289DC6DD" w:rsidR="001254DB" w:rsidRPr="00044C19" w:rsidRDefault="001254DB" w:rsidP="001254DB">
            <w:pPr>
              <w:jc w:val="center"/>
              <w:outlineLvl w:val="4"/>
              <w:rPr>
                <w:rFonts w:eastAsia="Times New Roman" w:cs="Open Sans"/>
                <w:sz w:val="18"/>
                <w:szCs w:val="18"/>
              </w:rPr>
            </w:pPr>
            <w:r>
              <w:rPr>
                <w:rFonts w:eastAsia="Times New Roman" w:cs="Open Sans"/>
                <w:sz w:val="18"/>
                <w:szCs w:val="18"/>
              </w:rPr>
              <w:t>2.9</w:t>
            </w:r>
          </w:p>
        </w:tc>
        <w:tc>
          <w:tcPr>
            <w:tcW w:w="2756" w:type="dxa"/>
            <w:shd w:val="clear" w:color="auto" w:fill="auto"/>
          </w:tcPr>
          <w:p w14:paraId="73648CA2" w14:textId="081D0C77" w:rsidR="001254DB" w:rsidRPr="001254DB" w:rsidRDefault="001254DB" w:rsidP="001254DB">
            <w:pPr>
              <w:jc w:val="center"/>
              <w:outlineLvl w:val="4"/>
              <w:rPr>
                <w:rFonts w:eastAsia="Times New Roman" w:cs="Open Sans"/>
                <w:bCs/>
                <w:sz w:val="18"/>
                <w:szCs w:val="18"/>
              </w:rPr>
            </w:pPr>
            <w:r w:rsidRPr="001254DB">
              <w:rPr>
                <w:sz w:val="18"/>
                <w:szCs w:val="18"/>
              </w:rPr>
              <w:t>1.8</w:t>
            </w:r>
          </w:p>
        </w:tc>
      </w:tr>
      <w:tr w:rsidR="001254DB" w:rsidRPr="00044C19" w14:paraId="70436467" w14:textId="77777777" w:rsidTr="001254DB">
        <w:tc>
          <w:tcPr>
            <w:tcW w:w="2764" w:type="dxa"/>
            <w:shd w:val="clear" w:color="auto" w:fill="auto"/>
          </w:tcPr>
          <w:p w14:paraId="45D40B7A"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2025</w:t>
            </w:r>
          </w:p>
        </w:tc>
        <w:tc>
          <w:tcPr>
            <w:tcW w:w="2756" w:type="dxa"/>
            <w:shd w:val="clear" w:color="auto" w:fill="auto"/>
          </w:tcPr>
          <w:p w14:paraId="72C91804" w14:textId="2E998F37" w:rsidR="001254DB" w:rsidRPr="00044C19" w:rsidRDefault="001254DB" w:rsidP="001254DB">
            <w:pPr>
              <w:jc w:val="center"/>
              <w:outlineLvl w:val="4"/>
              <w:rPr>
                <w:rFonts w:eastAsia="Times New Roman" w:cs="Open Sans"/>
                <w:sz w:val="18"/>
                <w:szCs w:val="18"/>
              </w:rPr>
            </w:pPr>
            <w:r>
              <w:rPr>
                <w:rFonts w:eastAsia="Times New Roman" w:cs="Open Sans"/>
                <w:sz w:val="18"/>
                <w:szCs w:val="18"/>
              </w:rPr>
              <w:t>2.9</w:t>
            </w:r>
          </w:p>
        </w:tc>
        <w:tc>
          <w:tcPr>
            <w:tcW w:w="2756" w:type="dxa"/>
            <w:shd w:val="clear" w:color="auto" w:fill="auto"/>
          </w:tcPr>
          <w:p w14:paraId="27AB4359" w14:textId="5D73DEEF" w:rsidR="001254DB" w:rsidRPr="001254DB" w:rsidRDefault="001254DB" w:rsidP="001254DB">
            <w:pPr>
              <w:jc w:val="center"/>
              <w:outlineLvl w:val="4"/>
              <w:rPr>
                <w:rFonts w:eastAsia="Times New Roman" w:cs="Open Sans"/>
                <w:bCs/>
                <w:sz w:val="18"/>
                <w:szCs w:val="18"/>
              </w:rPr>
            </w:pPr>
            <w:r w:rsidRPr="001254DB">
              <w:rPr>
                <w:sz w:val="18"/>
                <w:szCs w:val="18"/>
              </w:rPr>
              <w:t>1.9</w:t>
            </w:r>
          </w:p>
        </w:tc>
      </w:tr>
      <w:tr w:rsidR="001254DB" w:rsidRPr="00044C19" w14:paraId="675ED62F" w14:textId="77777777" w:rsidTr="001254DB">
        <w:tc>
          <w:tcPr>
            <w:tcW w:w="2764" w:type="dxa"/>
            <w:shd w:val="clear" w:color="auto" w:fill="auto"/>
          </w:tcPr>
          <w:p w14:paraId="646FB0A9"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2026</w:t>
            </w:r>
          </w:p>
        </w:tc>
        <w:tc>
          <w:tcPr>
            <w:tcW w:w="2756" w:type="dxa"/>
            <w:shd w:val="clear" w:color="auto" w:fill="auto"/>
          </w:tcPr>
          <w:p w14:paraId="2BD93D4E" w14:textId="6ACD40CD" w:rsidR="001254DB" w:rsidRPr="00044C19" w:rsidRDefault="001254DB" w:rsidP="001254DB">
            <w:pPr>
              <w:jc w:val="center"/>
              <w:outlineLvl w:val="4"/>
              <w:rPr>
                <w:rFonts w:eastAsia="Times New Roman" w:cs="Open Sans"/>
                <w:sz w:val="18"/>
                <w:szCs w:val="18"/>
              </w:rPr>
            </w:pPr>
            <w:r>
              <w:rPr>
                <w:rFonts w:eastAsia="Times New Roman" w:cs="Open Sans"/>
                <w:sz w:val="18"/>
                <w:szCs w:val="18"/>
              </w:rPr>
              <w:t>2.8</w:t>
            </w:r>
          </w:p>
        </w:tc>
        <w:tc>
          <w:tcPr>
            <w:tcW w:w="2756" w:type="dxa"/>
            <w:shd w:val="clear" w:color="auto" w:fill="auto"/>
          </w:tcPr>
          <w:p w14:paraId="4811A11E" w14:textId="413C6F62" w:rsidR="001254DB" w:rsidRPr="001254DB" w:rsidRDefault="001254DB" w:rsidP="001254DB">
            <w:pPr>
              <w:jc w:val="center"/>
              <w:outlineLvl w:val="4"/>
              <w:rPr>
                <w:rFonts w:eastAsia="Times New Roman" w:cs="Open Sans"/>
                <w:bCs/>
                <w:sz w:val="18"/>
                <w:szCs w:val="18"/>
              </w:rPr>
            </w:pPr>
            <w:r w:rsidRPr="001254DB">
              <w:rPr>
                <w:sz w:val="18"/>
                <w:szCs w:val="18"/>
              </w:rPr>
              <w:t>2.0</w:t>
            </w:r>
          </w:p>
        </w:tc>
      </w:tr>
      <w:tr w:rsidR="001254DB" w:rsidRPr="00044C19" w14:paraId="22A4E537" w14:textId="77777777" w:rsidTr="001254DB">
        <w:tc>
          <w:tcPr>
            <w:tcW w:w="2764" w:type="dxa"/>
            <w:shd w:val="clear" w:color="auto" w:fill="auto"/>
          </w:tcPr>
          <w:p w14:paraId="3C4BC48E"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2027</w:t>
            </w:r>
          </w:p>
        </w:tc>
        <w:tc>
          <w:tcPr>
            <w:tcW w:w="2756" w:type="dxa"/>
            <w:shd w:val="clear" w:color="auto" w:fill="auto"/>
          </w:tcPr>
          <w:p w14:paraId="41C0629D" w14:textId="2F181FC4" w:rsidR="001254DB" w:rsidRPr="00044C19" w:rsidRDefault="001254DB" w:rsidP="001254DB">
            <w:pPr>
              <w:jc w:val="center"/>
              <w:outlineLvl w:val="4"/>
              <w:rPr>
                <w:rFonts w:eastAsia="Times New Roman" w:cs="Open Sans"/>
                <w:sz w:val="18"/>
                <w:szCs w:val="18"/>
              </w:rPr>
            </w:pPr>
            <w:r>
              <w:rPr>
                <w:rFonts w:eastAsia="Times New Roman" w:cs="Open Sans"/>
                <w:sz w:val="18"/>
                <w:szCs w:val="18"/>
              </w:rPr>
              <w:t>2.8</w:t>
            </w:r>
          </w:p>
        </w:tc>
        <w:tc>
          <w:tcPr>
            <w:tcW w:w="2756" w:type="dxa"/>
            <w:shd w:val="clear" w:color="auto" w:fill="auto"/>
          </w:tcPr>
          <w:p w14:paraId="0C93F183" w14:textId="4689E668" w:rsidR="001254DB" w:rsidRPr="001254DB" w:rsidRDefault="001254DB" w:rsidP="001254DB">
            <w:pPr>
              <w:jc w:val="center"/>
              <w:outlineLvl w:val="4"/>
              <w:rPr>
                <w:rFonts w:eastAsia="Times New Roman" w:cs="Open Sans"/>
                <w:bCs/>
                <w:sz w:val="18"/>
                <w:szCs w:val="18"/>
              </w:rPr>
            </w:pPr>
            <w:r w:rsidRPr="001254DB">
              <w:rPr>
                <w:sz w:val="18"/>
                <w:szCs w:val="18"/>
              </w:rPr>
              <w:t>2.1</w:t>
            </w:r>
          </w:p>
        </w:tc>
      </w:tr>
      <w:tr w:rsidR="001254DB" w:rsidRPr="00044C19" w14:paraId="38E90B13" w14:textId="77777777" w:rsidTr="001254DB">
        <w:tc>
          <w:tcPr>
            <w:tcW w:w="2764" w:type="dxa"/>
            <w:shd w:val="clear" w:color="auto" w:fill="auto"/>
          </w:tcPr>
          <w:p w14:paraId="2AFA326B"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2028</w:t>
            </w:r>
          </w:p>
        </w:tc>
        <w:tc>
          <w:tcPr>
            <w:tcW w:w="2756" w:type="dxa"/>
            <w:shd w:val="clear" w:color="auto" w:fill="auto"/>
          </w:tcPr>
          <w:p w14:paraId="5B6CF8A1" w14:textId="63B9D667" w:rsidR="001254DB" w:rsidRPr="00044C19" w:rsidRDefault="001254DB" w:rsidP="001254DB">
            <w:pPr>
              <w:jc w:val="center"/>
              <w:outlineLvl w:val="4"/>
              <w:rPr>
                <w:rFonts w:eastAsia="Times New Roman" w:cs="Open Sans"/>
                <w:sz w:val="18"/>
                <w:szCs w:val="18"/>
              </w:rPr>
            </w:pPr>
            <w:r>
              <w:rPr>
                <w:rFonts w:eastAsia="Times New Roman" w:cs="Open Sans"/>
                <w:sz w:val="18"/>
                <w:szCs w:val="18"/>
              </w:rPr>
              <w:t>2.9</w:t>
            </w:r>
          </w:p>
        </w:tc>
        <w:tc>
          <w:tcPr>
            <w:tcW w:w="2756" w:type="dxa"/>
            <w:shd w:val="clear" w:color="auto" w:fill="auto"/>
          </w:tcPr>
          <w:p w14:paraId="7E8B1672" w14:textId="3358FB86" w:rsidR="001254DB" w:rsidRPr="001254DB" w:rsidRDefault="001254DB" w:rsidP="001254DB">
            <w:pPr>
              <w:jc w:val="center"/>
              <w:outlineLvl w:val="4"/>
              <w:rPr>
                <w:rFonts w:eastAsia="Times New Roman" w:cs="Open Sans"/>
                <w:bCs/>
                <w:sz w:val="18"/>
                <w:szCs w:val="18"/>
              </w:rPr>
            </w:pPr>
            <w:r w:rsidRPr="001254DB">
              <w:rPr>
                <w:sz w:val="18"/>
                <w:szCs w:val="18"/>
              </w:rPr>
              <w:t>2.3</w:t>
            </w:r>
          </w:p>
        </w:tc>
      </w:tr>
      <w:tr w:rsidR="001254DB" w:rsidRPr="00044C19" w14:paraId="7FEE4CD3" w14:textId="77777777" w:rsidTr="001254DB">
        <w:tc>
          <w:tcPr>
            <w:tcW w:w="2764" w:type="dxa"/>
            <w:shd w:val="clear" w:color="auto" w:fill="auto"/>
          </w:tcPr>
          <w:p w14:paraId="5F5AB4E3"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2029</w:t>
            </w:r>
          </w:p>
        </w:tc>
        <w:tc>
          <w:tcPr>
            <w:tcW w:w="2756" w:type="dxa"/>
            <w:shd w:val="clear" w:color="auto" w:fill="auto"/>
          </w:tcPr>
          <w:p w14:paraId="35DA5244" w14:textId="3786DA44" w:rsidR="001254DB" w:rsidRPr="00044C19" w:rsidRDefault="001254DB" w:rsidP="001254DB">
            <w:pPr>
              <w:jc w:val="center"/>
              <w:outlineLvl w:val="4"/>
              <w:rPr>
                <w:rFonts w:eastAsia="Times New Roman" w:cs="Open Sans"/>
                <w:sz w:val="18"/>
                <w:szCs w:val="18"/>
              </w:rPr>
            </w:pPr>
            <w:r>
              <w:rPr>
                <w:rFonts w:eastAsia="Times New Roman" w:cs="Open Sans"/>
                <w:sz w:val="18"/>
                <w:szCs w:val="18"/>
              </w:rPr>
              <w:t>2.9</w:t>
            </w:r>
          </w:p>
        </w:tc>
        <w:tc>
          <w:tcPr>
            <w:tcW w:w="2756" w:type="dxa"/>
            <w:shd w:val="clear" w:color="auto" w:fill="auto"/>
          </w:tcPr>
          <w:p w14:paraId="1392C077" w14:textId="77B6120D" w:rsidR="001254DB" w:rsidRPr="001254DB" w:rsidRDefault="001254DB" w:rsidP="001254DB">
            <w:pPr>
              <w:jc w:val="center"/>
              <w:outlineLvl w:val="4"/>
              <w:rPr>
                <w:rFonts w:eastAsia="Times New Roman" w:cs="Open Sans"/>
                <w:bCs/>
                <w:sz w:val="18"/>
                <w:szCs w:val="18"/>
              </w:rPr>
            </w:pPr>
            <w:r w:rsidRPr="001254DB">
              <w:rPr>
                <w:sz w:val="18"/>
                <w:szCs w:val="18"/>
              </w:rPr>
              <w:t>2.4</w:t>
            </w:r>
          </w:p>
        </w:tc>
      </w:tr>
      <w:tr w:rsidR="001254DB" w:rsidRPr="00044C19" w14:paraId="35160C86" w14:textId="77777777" w:rsidTr="001254DB">
        <w:tc>
          <w:tcPr>
            <w:tcW w:w="2764" w:type="dxa"/>
            <w:shd w:val="clear" w:color="auto" w:fill="auto"/>
          </w:tcPr>
          <w:p w14:paraId="7406324F"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2030</w:t>
            </w:r>
          </w:p>
        </w:tc>
        <w:tc>
          <w:tcPr>
            <w:tcW w:w="2756" w:type="dxa"/>
            <w:shd w:val="clear" w:color="auto" w:fill="auto"/>
          </w:tcPr>
          <w:p w14:paraId="2CC5040D" w14:textId="368A1A38" w:rsidR="001254DB" w:rsidRPr="00044C19" w:rsidRDefault="001254DB" w:rsidP="001254DB">
            <w:pPr>
              <w:jc w:val="center"/>
              <w:outlineLvl w:val="4"/>
              <w:rPr>
                <w:rFonts w:eastAsia="Times New Roman" w:cs="Open Sans"/>
                <w:sz w:val="18"/>
                <w:szCs w:val="18"/>
              </w:rPr>
            </w:pPr>
            <w:r>
              <w:rPr>
                <w:rFonts w:eastAsia="Times New Roman" w:cs="Open Sans"/>
                <w:sz w:val="18"/>
                <w:szCs w:val="18"/>
              </w:rPr>
              <w:t>2.9</w:t>
            </w:r>
          </w:p>
        </w:tc>
        <w:tc>
          <w:tcPr>
            <w:tcW w:w="2756" w:type="dxa"/>
            <w:shd w:val="clear" w:color="auto" w:fill="auto"/>
          </w:tcPr>
          <w:p w14:paraId="1D392A3C" w14:textId="1EDF7CC7" w:rsidR="001254DB" w:rsidRPr="001254DB" w:rsidRDefault="001254DB" w:rsidP="001254DB">
            <w:pPr>
              <w:jc w:val="center"/>
              <w:outlineLvl w:val="4"/>
              <w:rPr>
                <w:rFonts w:eastAsia="Times New Roman" w:cs="Open Sans"/>
                <w:bCs/>
                <w:sz w:val="18"/>
                <w:szCs w:val="18"/>
              </w:rPr>
            </w:pPr>
            <w:r w:rsidRPr="001254DB">
              <w:rPr>
                <w:sz w:val="18"/>
                <w:szCs w:val="18"/>
              </w:rPr>
              <w:t>2.4</w:t>
            </w:r>
          </w:p>
        </w:tc>
      </w:tr>
      <w:tr w:rsidR="001254DB" w:rsidRPr="00044C19" w14:paraId="219C9833" w14:textId="77777777" w:rsidTr="001254DB">
        <w:tc>
          <w:tcPr>
            <w:tcW w:w="2764" w:type="dxa"/>
            <w:shd w:val="clear" w:color="auto" w:fill="auto"/>
          </w:tcPr>
          <w:p w14:paraId="29EB4A85" w14:textId="77777777" w:rsidR="001254DB" w:rsidRPr="00044C19" w:rsidRDefault="001254DB" w:rsidP="001254DB">
            <w:pPr>
              <w:jc w:val="both"/>
              <w:outlineLvl w:val="4"/>
              <w:rPr>
                <w:rFonts w:eastAsia="Times New Roman" w:cs="Open Sans"/>
                <w:bCs/>
                <w:sz w:val="18"/>
                <w:szCs w:val="18"/>
              </w:rPr>
            </w:pPr>
            <w:r w:rsidRPr="00044C19">
              <w:rPr>
                <w:rFonts w:eastAsia="Calibri" w:cs="Open Sans"/>
                <w:bCs/>
                <w:sz w:val="18"/>
                <w:szCs w:val="18"/>
              </w:rPr>
              <w:t>2031</w:t>
            </w:r>
          </w:p>
        </w:tc>
        <w:tc>
          <w:tcPr>
            <w:tcW w:w="2756" w:type="dxa"/>
            <w:shd w:val="clear" w:color="auto" w:fill="auto"/>
          </w:tcPr>
          <w:p w14:paraId="4296A1FD" w14:textId="28F0A9BE" w:rsidR="001254DB" w:rsidRPr="00044C19" w:rsidRDefault="001254DB" w:rsidP="001254DB">
            <w:pPr>
              <w:jc w:val="center"/>
              <w:outlineLvl w:val="4"/>
              <w:rPr>
                <w:rFonts w:eastAsia="Times New Roman" w:cs="Open Sans"/>
                <w:sz w:val="18"/>
                <w:szCs w:val="18"/>
              </w:rPr>
            </w:pPr>
            <w:r>
              <w:rPr>
                <w:rFonts w:eastAsia="Times New Roman" w:cs="Open Sans"/>
                <w:sz w:val="18"/>
                <w:szCs w:val="18"/>
              </w:rPr>
              <w:t>2.9</w:t>
            </w:r>
          </w:p>
        </w:tc>
        <w:tc>
          <w:tcPr>
            <w:tcW w:w="2756" w:type="dxa"/>
            <w:shd w:val="clear" w:color="auto" w:fill="auto"/>
          </w:tcPr>
          <w:p w14:paraId="27D1404D" w14:textId="7EC2A219" w:rsidR="001254DB" w:rsidRPr="001254DB" w:rsidRDefault="001254DB" w:rsidP="001254DB">
            <w:pPr>
              <w:jc w:val="center"/>
              <w:outlineLvl w:val="4"/>
              <w:rPr>
                <w:rFonts w:eastAsia="Times New Roman" w:cs="Open Sans"/>
                <w:bCs/>
                <w:sz w:val="18"/>
                <w:szCs w:val="18"/>
              </w:rPr>
            </w:pPr>
            <w:r w:rsidRPr="001254DB">
              <w:rPr>
                <w:sz w:val="18"/>
                <w:szCs w:val="18"/>
              </w:rPr>
              <w:t>2.5</w:t>
            </w:r>
          </w:p>
        </w:tc>
      </w:tr>
      <w:tr w:rsidR="001254DB" w:rsidRPr="00044C19" w14:paraId="75BC5550" w14:textId="77777777" w:rsidTr="001210A1">
        <w:tc>
          <w:tcPr>
            <w:tcW w:w="2764" w:type="dxa"/>
            <w:shd w:val="clear" w:color="auto" w:fill="auto"/>
          </w:tcPr>
          <w:p w14:paraId="0F87A848" w14:textId="31F443F8" w:rsidR="001254DB" w:rsidRPr="00044C19" w:rsidRDefault="001254DB" w:rsidP="001254DB">
            <w:pPr>
              <w:jc w:val="both"/>
              <w:outlineLvl w:val="4"/>
              <w:rPr>
                <w:rFonts w:eastAsia="Calibri" w:cs="Open Sans"/>
                <w:b/>
                <w:i/>
                <w:iCs/>
                <w:sz w:val="18"/>
                <w:szCs w:val="18"/>
              </w:rPr>
            </w:pPr>
            <w:r w:rsidRPr="00044C19">
              <w:rPr>
                <w:rFonts w:eastAsia="Calibri" w:cs="Open Sans"/>
                <w:b/>
                <w:i/>
                <w:iCs/>
                <w:sz w:val="18"/>
                <w:szCs w:val="18"/>
              </w:rPr>
              <w:t>Change, 201</w:t>
            </w:r>
            <w:r>
              <w:rPr>
                <w:rFonts w:eastAsia="Calibri" w:cs="Open Sans"/>
                <w:b/>
                <w:i/>
                <w:iCs/>
                <w:sz w:val="18"/>
                <w:szCs w:val="18"/>
              </w:rPr>
              <w:t>3</w:t>
            </w:r>
            <w:r w:rsidRPr="00044C19">
              <w:rPr>
                <w:rFonts w:eastAsia="Calibri" w:cs="Open Sans"/>
                <w:b/>
                <w:i/>
                <w:iCs/>
                <w:sz w:val="18"/>
                <w:szCs w:val="18"/>
              </w:rPr>
              <w:t>-203</w:t>
            </w:r>
            <w:r>
              <w:rPr>
                <w:rFonts w:eastAsia="Calibri" w:cs="Open Sans"/>
                <w:b/>
                <w:i/>
                <w:iCs/>
                <w:sz w:val="18"/>
                <w:szCs w:val="18"/>
              </w:rPr>
              <w:t>1</w:t>
            </w:r>
          </w:p>
        </w:tc>
        <w:tc>
          <w:tcPr>
            <w:tcW w:w="2756" w:type="dxa"/>
            <w:shd w:val="clear" w:color="auto" w:fill="auto"/>
          </w:tcPr>
          <w:p w14:paraId="624F9E22" w14:textId="5D8484C2" w:rsidR="001254DB" w:rsidRPr="00044C19" w:rsidRDefault="001254DB" w:rsidP="001254DB">
            <w:pPr>
              <w:jc w:val="center"/>
              <w:outlineLvl w:val="4"/>
              <w:rPr>
                <w:rFonts w:eastAsia="Calibri" w:cs="Open Sans"/>
                <w:b/>
                <w:bCs/>
                <w:i/>
                <w:iCs/>
                <w:sz w:val="18"/>
                <w:szCs w:val="18"/>
              </w:rPr>
            </w:pPr>
            <w:r>
              <w:rPr>
                <w:rFonts w:eastAsia="Calibri" w:cs="Open Sans"/>
                <w:b/>
                <w:bCs/>
                <w:i/>
                <w:iCs/>
                <w:sz w:val="18"/>
                <w:szCs w:val="18"/>
              </w:rPr>
              <w:t>+48.7</w:t>
            </w:r>
          </w:p>
        </w:tc>
        <w:tc>
          <w:tcPr>
            <w:tcW w:w="2756" w:type="dxa"/>
            <w:shd w:val="clear" w:color="auto" w:fill="auto"/>
          </w:tcPr>
          <w:p w14:paraId="23725F3C" w14:textId="4CA24AEB" w:rsidR="001254DB" w:rsidRPr="00044C19" w:rsidRDefault="001254DB" w:rsidP="001254DB">
            <w:pPr>
              <w:jc w:val="center"/>
              <w:outlineLvl w:val="4"/>
              <w:rPr>
                <w:rFonts w:eastAsia="Times New Roman" w:cs="Open Sans"/>
                <w:b/>
                <w:i/>
                <w:iCs/>
                <w:sz w:val="18"/>
                <w:szCs w:val="18"/>
              </w:rPr>
            </w:pPr>
            <w:r>
              <w:rPr>
                <w:rFonts w:eastAsia="Times New Roman" w:cs="Open Sans"/>
                <w:b/>
                <w:i/>
                <w:iCs/>
                <w:sz w:val="18"/>
                <w:szCs w:val="18"/>
              </w:rPr>
              <w:t>+35.3</w:t>
            </w:r>
          </w:p>
        </w:tc>
      </w:tr>
    </w:tbl>
    <w:p w14:paraId="5521DA11" w14:textId="730196A2" w:rsidR="001A784C" w:rsidRPr="00044C19" w:rsidRDefault="001A784C" w:rsidP="00C91FB8">
      <w:pPr>
        <w:ind w:left="720" w:right="1415"/>
        <w:jc w:val="both"/>
        <w:rPr>
          <w:rFonts w:eastAsia="Calibri" w:cs="Open Sans"/>
          <w:sz w:val="16"/>
          <w:szCs w:val="16"/>
        </w:rPr>
      </w:pPr>
      <w:r w:rsidRPr="00044C19">
        <w:rPr>
          <w:rFonts w:eastAsia="Calibri" w:cs="Open Sans"/>
          <w:sz w:val="16"/>
          <w:szCs w:val="16"/>
        </w:rPr>
        <w:t>Source: Experian Retail Planner Briefing Notes 1</w:t>
      </w:r>
      <w:r>
        <w:rPr>
          <w:rFonts w:eastAsia="Calibri" w:cs="Open Sans"/>
          <w:sz w:val="16"/>
          <w:szCs w:val="16"/>
        </w:rPr>
        <w:t>1</w:t>
      </w:r>
      <w:r w:rsidRPr="00044C19">
        <w:rPr>
          <w:rFonts w:eastAsia="Calibri" w:cs="Open Sans"/>
          <w:sz w:val="16"/>
          <w:szCs w:val="16"/>
        </w:rPr>
        <w:t xml:space="preserve"> and 1</w:t>
      </w:r>
      <w:r>
        <w:rPr>
          <w:rFonts w:eastAsia="Calibri" w:cs="Open Sans"/>
          <w:sz w:val="16"/>
          <w:szCs w:val="16"/>
        </w:rPr>
        <w:t>9</w:t>
      </w:r>
      <w:r w:rsidRPr="00044C19">
        <w:rPr>
          <w:rFonts w:eastAsia="Calibri" w:cs="Open Sans"/>
          <w:sz w:val="16"/>
          <w:szCs w:val="16"/>
        </w:rPr>
        <w:t>.  Figures include spending via the internet which is fulfilled via physical stores.</w:t>
      </w:r>
    </w:p>
    <w:bookmarkEnd w:id="5"/>
    <w:p w14:paraId="7DFAF61F" w14:textId="77777777" w:rsidR="00F51B3F" w:rsidRDefault="00F51B3F" w:rsidP="00F51B3F">
      <w:pPr>
        <w:pStyle w:val="Level1"/>
        <w:numPr>
          <w:ilvl w:val="0"/>
          <w:numId w:val="0"/>
        </w:numPr>
        <w:ind w:left="720"/>
      </w:pPr>
    </w:p>
    <w:p w14:paraId="37DBFA42" w14:textId="3AF5AD02" w:rsidR="001A784C" w:rsidRPr="00044C19" w:rsidRDefault="001A784C" w:rsidP="000D4686">
      <w:pPr>
        <w:pStyle w:val="Level1"/>
      </w:pPr>
      <w:r w:rsidRPr="00044C19">
        <w:t xml:space="preserve">The continued increasing influence of comparison goods shopping via the internet is demonstrated by the figures in Table </w:t>
      </w:r>
      <w:r>
        <w:t>3.</w:t>
      </w:r>
      <w:r w:rsidRPr="00044C19">
        <w:t>4 below which show the rise in market share in this channel.  At the time of the 201</w:t>
      </w:r>
      <w:r>
        <w:t>3</w:t>
      </w:r>
      <w:r w:rsidRPr="00044C19">
        <w:t xml:space="preserve"> retail study, the market share of sales via the internet were forecast to rise from </w:t>
      </w:r>
      <w:r w:rsidR="00560D64">
        <w:t>10.8</w:t>
      </w:r>
      <w:r w:rsidRPr="00044C19">
        <w:t>% in 201</w:t>
      </w:r>
      <w:r w:rsidR="00560D64">
        <w:t>3</w:t>
      </w:r>
      <w:r w:rsidRPr="00044C19">
        <w:t xml:space="preserve"> to 1</w:t>
      </w:r>
      <w:r w:rsidR="00560D64">
        <w:t>5.9</w:t>
      </w:r>
      <w:r w:rsidRPr="00044C19">
        <w:t>% in 20</w:t>
      </w:r>
      <w:r w:rsidR="00560D64">
        <w:t>31</w:t>
      </w:r>
      <w:r w:rsidRPr="00044C19">
        <w:t>.  However, the forecast level of growth in market share to 203</w:t>
      </w:r>
      <w:r w:rsidR="00560D64">
        <w:t>1</w:t>
      </w:r>
      <w:r w:rsidRPr="00044C19">
        <w:t xml:space="preserve"> has now significantly increased to circa 2</w:t>
      </w:r>
      <w:r w:rsidR="00560D64">
        <w:t>3.9</w:t>
      </w:r>
      <w:r w:rsidRPr="00044C19">
        <w:t>% in 202</w:t>
      </w:r>
      <w:r>
        <w:t>2</w:t>
      </w:r>
      <w:r w:rsidRPr="00044C19">
        <w:t xml:space="preserve"> and circa 28</w:t>
      </w:r>
      <w:r>
        <w:t>.6</w:t>
      </w:r>
      <w:r w:rsidRPr="00044C19">
        <w:t>% in 20</w:t>
      </w:r>
      <w:r w:rsidR="00560D64">
        <w:t>31</w:t>
      </w:r>
      <w:r w:rsidRPr="00044C19">
        <w:t xml:space="preserve">.  </w:t>
      </w:r>
    </w:p>
    <w:p w14:paraId="0D1C9178" w14:textId="1FC0FFA5" w:rsidR="001A784C" w:rsidRDefault="001A784C" w:rsidP="000D4686">
      <w:pPr>
        <w:pStyle w:val="Level1"/>
      </w:pPr>
      <w:r w:rsidRPr="00044C19">
        <w:t>It is therefore clear from the latest (202</w:t>
      </w:r>
      <w:r>
        <w:t>2</w:t>
      </w:r>
      <w:r w:rsidRPr="00044C19">
        <w:t>)</w:t>
      </w:r>
      <w:r w:rsidR="00744AC2">
        <w:t xml:space="preserve"> Experian</w:t>
      </w:r>
      <w:r w:rsidRPr="00044C19">
        <w:t xml:space="preserve"> forecasts that there will be a materially lower amount of available comparison goods </w:t>
      </w:r>
      <w:r w:rsidRPr="000D4686">
        <w:t>expenditure</w:t>
      </w:r>
      <w:r w:rsidRPr="00044C19">
        <w:t xml:space="preserve"> to support in-centre and out-of-centre comparison goods floorspace.</w:t>
      </w:r>
    </w:p>
    <w:p w14:paraId="4A1C247F" w14:textId="34B107E2" w:rsidR="00F51B3F" w:rsidRDefault="00F51B3F" w:rsidP="00F51B3F">
      <w:pPr>
        <w:pStyle w:val="Level1"/>
        <w:numPr>
          <w:ilvl w:val="0"/>
          <w:numId w:val="0"/>
        </w:numPr>
        <w:ind w:left="720"/>
      </w:pPr>
    </w:p>
    <w:p w14:paraId="06884A96" w14:textId="35A21C08" w:rsidR="00F51B3F" w:rsidRDefault="00F51B3F" w:rsidP="00F51B3F">
      <w:pPr>
        <w:pStyle w:val="Level1"/>
        <w:numPr>
          <w:ilvl w:val="0"/>
          <w:numId w:val="0"/>
        </w:numPr>
        <w:ind w:left="720"/>
      </w:pPr>
    </w:p>
    <w:p w14:paraId="271A39F2" w14:textId="342DC6FE" w:rsidR="00F51B3F" w:rsidRDefault="00F51B3F" w:rsidP="00F51B3F">
      <w:pPr>
        <w:pStyle w:val="Level1"/>
        <w:numPr>
          <w:ilvl w:val="0"/>
          <w:numId w:val="0"/>
        </w:numPr>
        <w:ind w:left="720"/>
      </w:pPr>
    </w:p>
    <w:p w14:paraId="5B37BC17" w14:textId="04379294" w:rsidR="00F51B3F" w:rsidRDefault="00F51B3F" w:rsidP="00F51B3F">
      <w:pPr>
        <w:pStyle w:val="Level1"/>
        <w:numPr>
          <w:ilvl w:val="0"/>
          <w:numId w:val="0"/>
        </w:numPr>
        <w:ind w:left="720"/>
      </w:pPr>
    </w:p>
    <w:p w14:paraId="62FEF189" w14:textId="6984F054" w:rsidR="00F51B3F" w:rsidRDefault="00F51B3F" w:rsidP="00F51B3F">
      <w:pPr>
        <w:pStyle w:val="Level1"/>
        <w:numPr>
          <w:ilvl w:val="0"/>
          <w:numId w:val="0"/>
        </w:numPr>
        <w:ind w:left="720"/>
      </w:pPr>
    </w:p>
    <w:p w14:paraId="2C04C55F" w14:textId="4E1494D8" w:rsidR="00F51B3F" w:rsidRDefault="00F51B3F" w:rsidP="00F51B3F">
      <w:pPr>
        <w:pStyle w:val="Level1"/>
        <w:numPr>
          <w:ilvl w:val="0"/>
          <w:numId w:val="0"/>
        </w:numPr>
        <w:ind w:left="720"/>
      </w:pPr>
    </w:p>
    <w:p w14:paraId="069EF951" w14:textId="77777777" w:rsidR="00F51B3F" w:rsidRPr="00044C19" w:rsidRDefault="00F51B3F" w:rsidP="00F51B3F">
      <w:pPr>
        <w:pStyle w:val="Level1"/>
        <w:numPr>
          <w:ilvl w:val="0"/>
          <w:numId w:val="0"/>
        </w:numPr>
        <w:ind w:left="720"/>
      </w:pPr>
    </w:p>
    <w:p w14:paraId="5EF55171" w14:textId="77777777" w:rsidR="001A784C" w:rsidRPr="000D4686" w:rsidRDefault="001A784C" w:rsidP="001A784C">
      <w:pPr>
        <w:pStyle w:val="Heading3"/>
        <w:jc w:val="both"/>
        <w:rPr>
          <w:rStyle w:val="Emphasis"/>
          <w:rFonts w:ascii="Open Sans" w:hAnsi="Open Sans" w:cs="Open Sans"/>
          <w:b w:val="0"/>
          <w:bCs w:val="0"/>
          <w:sz w:val="18"/>
          <w:szCs w:val="18"/>
        </w:rPr>
      </w:pPr>
      <w:r w:rsidRPr="000D4686">
        <w:rPr>
          <w:rStyle w:val="Emphasis"/>
          <w:rFonts w:ascii="Open Sans" w:hAnsi="Open Sans" w:cs="Open Sans"/>
          <w:b w:val="0"/>
          <w:bCs w:val="0"/>
          <w:sz w:val="18"/>
          <w:szCs w:val="18"/>
        </w:rPr>
        <w:lastRenderedPageBreak/>
        <w:t>Table 3.4: market share of internet sales for comparison goods shopping, 2012-2029</w:t>
      </w:r>
    </w:p>
    <w:tbl>
      <w:tblPr>
        <w:tblStyle w:val="TableGrid2"/>
        <w:tblW w:w="0" w:type="auto"/>
        <w:tblInd w:w="720" w:type="dxa"/>
        <w:tblLook w:val="04A0" w:firstRow="1" w:lastRow="0" w:firstColumn="1" w:lastColumn="0" w:noHBand="0" w:noVBand="1"/>
      </w:tblPr>
      <w:tblGrid>
        <w:gridCol w:w="2730"/>
        <w:gridCol w:w="2773"/>
        <w:gridCol w:w="2773"/>
      </w:tblGrid>
      <w:tr w:rsidR="001A784C" w:rsidRPr="00FF0516" w14:paraId="2CFE4E92" w14:textId="77777777" w:rsidTr="001210A1">
        <w:tc>
          <w:tcPr>
            <w:tcW w:w="2730" w:type="dxa"/>
            <w:shd w:val="clear" w:color="auto" w:fill="E8E9E7" w:themeFill="background2" w:themeFillTint="66"/>
          </w:tcPr>
          <w:p w14:paraId="04425570" w14:textId="77777777" w:rsidR="001A784C" w:rsidRPr="00044C19" w:rsidRDefault="001A784C" w:rsidP="001210A1">
            <w:pPr>
              <w:jc w:val="both"/>
              <w:outlineLvl w:val="4"/>
              <w:rPr>
                <w:rFonts w:eastAsia="Times New Roman" w:cs="Open Sans"/>
                <w:b/>
                <w:color w:val="1F497D"/>
                <w:sz w:val="18"/>
                <w:szCs w:val="18"/>
              </w:rPr>
            </w:pPr>
            <w:r w:rsidRPr="00044C19">
              <w:rPr>
                <w:rFonts w:eastAsia="Times New Roman" w:cs="Open Sans"/>
                <w:b/>
                <w:color w:val="1F497D"/>
                <w:sz w:val="18"/>
                <w:szCs w:val="18"/>
              </w:rPr>
              <w:t>Year</w:t>
            </w:r>
          </w:p>
        </w:tc>
        <w:tc>
          <w:tcPr>
            <w:tcW w:w="2773" w:type="dxa"/>
            <w:shd w:val="clear" w:color="auto" w:fill="E8E9E7" w:themeFill="background2" w:themeFillTint="66"/>
          </w:tcPr>
          <w:p w14:paraId="7FD4670D" w14:textId="6067FB67" w:rsidR="001A784C" w:rsidRPr="00044C19" w:rsidRDefault="001A784C" w:rsidP="001210A1">
            <w:pPr>
              <w:jc w:val="center"/>
              <w:outlineLvl w:val="4"/>
              <w:rPr>
                <w:rFonts w:eastAsia="Times New Roman" w:cs="Open Sans"/>
                <w:b/>
                <w:sz w:val="18"/>
                <w:szCs w:val="18"/>
              </w:rPr>
            </w:pPr>
            <w:r w:rsidRPr="00044C19">
              <w:rPr>
                <w:rFonts w:eastAsia="Times New Roman" w:cs="Open Sans"/>
                <w:b/>
                <w:sz w:val="18"/>
                <w:szCs w:val="18"/>
              </w:rPr>
              <w:t>Experian Retail Planner Briefing Note 1</w:t>
            </w:r>
            <w:r>
              <w:rPr>
                <w:rFonts w:eastAsia="Times New Roman" w:cs="Open Sans"/>
                <w:b/>
                <w:sz w:val="18"/>
                <w:szCs w:val="18"/>
              </w:rPr>
              <w:t>1</w:t>
            </w:r>
          </w:p>
        </w:tc>
        <w:tc>
          <w:tcPr>
            <w:tcW w:w="2773" w:type="dxa"/>
            <w:tcBorders>
              <w:bottom w:val="single" w:sz="4" w:space="0" w:color="auto"/>
            </w:tcBorders>
            <w:shd w:val="clear" w:color="auto" w:fill="E8E9E7" w:themeFill="background2" w:themeFillTint="66"/>
          </w:tcPr>
          <w:p w14:paraId="128254DD" w14:textId="77777777" w:rsidR="001A784C" w:rsidRPr="00044C19" w:rsidRDefault="001A784C" w:rsidP="001210A1">
            <w:pPr>
              <w:jc w:val="center"/>
              <w:outlineLvl w:val="4"/>
              <w:rPr>
                <w:rFonts w:eastAsia="Times New Roman" w:cs="Open Sans"/>
                <w:b/>
                <w:sz w:val="18"/>
                <w:szCs w:val="18"/>
              </w:rPr>
            </w:pPr>
            <w:r w:rsidRPr="00044C19">
              <w:rPr>
                <w:rFonts w:eastAsia="Times New Roman" w:cs="Open Sans"/>
                <w:b/>
                <w:sz w:val="18"/>
                <w:szCs w:val="18"/>
              </w:rPr>
              <w:t>Experian Retail Planner Briefing Note 1</w:t>
            </w:r>
            <w:r>
              <w:rPr>
                <w:rFonts w:eastAsia="Times New Roman" w:cs="Open Sans"/>
                <w:b/>
                <w:sz w:val="18"/>
                <w:szCs w:val="18"/>
              </w:rPr>
              <w:t>9</w:t>
            </w:r>
          </w:p>
        </w:tc>
      </w:tr>
      <w:tr w:rsidR="00271CB0" w:rsidRPr="00044C19" w14:paraId="3C8CDD7E" w14:textId="77777777" w:rsidTr="00271CB0">
        <w:tc>
          <w:tcPr>
            <w:tcW w:w="2730" w:type="dxa"/>
            <w:shd w:val="clear" w:color="auto" w:fill="auto"/>
          </w:tcPr>
          <w:p w14:paraId="72FD7783" w14:textId="77777777" w:rsidR="00271CB0" w:rsidRPr="00044C19" w:rsidRDefault="00271CB0" w:rsidP="00271CB0">
            <w:pPr>
              <w:jc w:val="both"/>
              <w:outlineLvl w:val="4"/>
              <w:rPr>
                <w:rFonts w:eastAsia="Calibri" w:cs="Open Sans"/>
                <w:bCs/>
                <w:sz w:val="18"/>
                <w:szCs w:val="18"/>
              </w:rPr>
            </w:pPr>
            <w:r>
              <w:rPr>
                <w:rFonts w:eastAsia="Calibri" w:cs="Open Sans"/>
                <w:bCs/>
                <w:sz w:val="18"/>
                <w:szCs w:val="18"/>
              </w:rPr>
              <w:t>2013</w:t>
            </w:r>
          </w:p>
        </w:tc>
        <w:tc>
          <w:tcPr>
            <w:tcW w:w="2773" w:type="dxa"/>
            <w:shd w:val="clear" w:color="auto" w:fill="auto"/>
          </w:tcPr>
          <w:p w14:paraId="00DED4F7" w14:textId="754F378A" w:rsidR="00271CB0" w:rsidRPr="00044C19" w:rsidRDefault="00560D64" w:rsidP="00271CB0">
            <w:pPr>
              <w:jc w:val="center"/>
              <w:outlineLvl w:val="4"/>
              <w:rPr>
                <w:rFonts w:eastAsia="Calibri" w:cs="Open Sans"/>
                <w:sz w:val="18"/>
                <w:szCs w:val="18"/>
              </w:rPr>
            </w:pPr>
            <w:r>
              <w:rPr>
                <w:rFonts w:eastAsia="Calibri" w:cs="Open Sans"/>
                <w:sz w:val="18"/>
                <w:szCs w:val="18"/>
              </w:rPr>
              <w:t>10.8</w:t>
            </w:r>
          </w:p>
        </w:tc>
        <w:tc>
          <w:tcPr>
            <w:tcW w:w="2773" w:type="dxa"/>
            <w:shd w:val="clear" w:color="auto" w:fill="auto"/>
          </w:tcPr>
          <w:p w14:paraId="7F9CC70B" w14:textId="34A46259" w:rsidR="00271CB0" w:rsidRPr="00271CB0" w:rsidRDefault="00271CB0" w:rsidP="00271CB0">
            <w:pPr>
              <w:jc w:val="center"/>
              <w:outlineLvl w:val="4"/>
              <w:rPr>
                <w:rFonts w:eastAsia="Calibri" w:cs="Open Sans"/>
                <w:sz w:val="18"/>
                <w:szCs w:val="18"/>
              </w:rPr>
            </w:pPr>
            <w:r w:rsidRPr="00271CB0">
              <w:rPr>
                <w:sz w:val="18"/>
                <w:szCs w:val="18"/>
              </w:rPr>
              <w:t>11.4</w:t>
            </w:r>
          </w:p>
        </w:tc>
      </w:tr>
      <w:tr w:rsidR="00271CB0" w:rsidRPr="00044C19" w14:paraId="78FBD284" w14:textId="77777777" w:rsidTr="00271CB0">
        <w:tc>
          <w:tcPr>
            <w:tcW w:w="2730" w:type="dxa"/>
            <w:shd w:val="clear" w:color="auto" w:fill="auto"/>
          </w:tcPr>
          <w:p w14:paraId="031A10C1" w14:textId="77777777" w:rsidR="00271CB0" w:rsidRPr="00044C19" w:rsidRDefault="00271CB0" w:rsidP="00271CB0">
            <w:pPr>
              <w:jc w:val="both"/>
              <w:outlineLvl w:val="4"/>
              <w:rPr>
                <w:rFonts w:eastAsia="Calibri" w:cs="Open Sans"/>
                <w:bCs/>
                <w:sz w:val="18"/>
                <w:szCs w:val="18"/>
              </w:rPr>
            </w:pPr>
            <w:r>
              <w:rPr>
                <w:rFonts w:eastAsia="Calibri" w:cs="Open Sans"/>
                <w:bCs/>
                <w:sz w:val="18"/>
                <w:szCs w:val="18"/>
              </w:rPr>
              <w:t>2014</w:t>
            </w:r>
          </w:p>
        </w:tc>
        <w:tc>
          <w:tcPr>
            <w:tcW w:w="2773" w:type="dxa"/>
            <w:shd w:val="clear" w:color="auto" w:fill="auto"/>
          </w:tcPr>
          <w:p w14:paraId="1A0177C2" w14:textId="5754EBBF" w:rsidR="00271CB0" w:rsidRPr="00044C19" w:rsidRDefault="00560D64" w:rsidP="00271CB0">
            <w:pPr>
              <w:jc w:val="center"/>
              <w:outlineLvl w:val="4"/>
              <w:rPr>
                <w:rFonts w:eastAsia="Calibri" w:cs="Open Sans"/>
                <w:sz w:val="18"/>
                <w:szCs w:val="18"/>
              </w:rPr>
            </w:pPr>
            <w:r>
              <w:rPr>
                <w:rFonts w:eastAsia="Calibri" w:cs="Open Sans"/>
                <w:sz w:val="18"/>
                <w:szCs w:val="18"/>
              </w:rPr>
              <w:t>11.6</w:t>
            </w:r>
          </w:p>
        </w:tc>
        <w:tc>
          <w:tcPr>
            <w:tcW w:w="2773" w:type="dxa"/>
            <w:shd w:val="clear" w:color="auto" w:fill="auto"/>
          </w:tcPr>
          <w:p w14:paraId="455C176F" w14:textId="215DC36E" w:rsidR="00271CB0" w:rsidRPr="00271CB0" w:rsidRDefault="00271CB0" w:rsidP="00271CB0">
            <w:pPr>
              <w:jc w:val="center"/>
              <w:outlineLvl w:val="4"/>
              <w:rPr>
                <w:rFonts w:eastAsia="Calibri" w:cs="Open Sans"/>
                <w:sz w:val="18"/>
                <w:szCs w:val="18"/>
              </w:rPr>
            </w:pPr>
            <w:r w:rsidRPr="00271CB0">
              <w:rPr>
                <w:sz w:val="18"/>
                <w:szCs w:val="18"/>
              </w:rPr>
              <w:t>11.9</w:t>
            </w:r>
          </w:p>
        </w:tc>
      </w:tr>
      <w:tr w:rsidR="00271CB0" w:rsidRPr="00044C19" w14:paraId="08CF94FC" w14:textId="77777777" w:rsidTr="00271CB0">
        <w:tc>
          <w:tcPr>
            <w:tcW w:w="2730" w:type="dxa"/>
            <w:shd w:val="clear" w:color="auto" w:fill="auto"/>
          </w:tcPr>
          <w:p w14:paraId="6FC7FFF2" w14:textId="77777777" w:rsidR="00271CB0" w:rsidRPr="00044C19" w:rsidRDefault="00271CB0" w:rsidP="00271CB0">
            <w:pPr>
              <w:jc w:val="both"/>
              <w:outlineLvl w:val="4"/>
              <w:rPr>
                <w:rFonts w:eastAsia="Calibri" w:cs="Open Sans"/>
                <w:bCs/>
                <w:sz w:val="18"/>
                <w:szCs w:val="18"/>
              </w:rPr>
            </w:pPr>
            <w:r w:rsidRPr="00044C19">
              <w:rPr>
                <w:rFonts w:eastAsia="Calibri" w:cs="Open Sans"/>
                <w:bCs/>
                <w:sz w:val="18"/>
                <w:szCs w:val="18"/>
              </w:rPr>
              <w:t>2015</w:t>
            </w:r>
          </w:p>
        </w:tc>
        <w:tc>
          <w:tcPr>
            <w:tcW w:w="2773" w:type="dxa"/>
            <w:shd w:val="clear" w:color="auto" w:fill="auto"/>
          </w:tcPr>
          <w:p w14:paraId="66B2D9A1" w14:textId="0D8E0958" w:rsidR="00271CB0" w:rsidRPr="00044C19" w:rsidRDefault="00560D64" w:rsidP="00271CB0">
            <w:pPr>
              <w:jc w:val="center"/>
              <w:outlineLvl w:val="4"/>
              <w:rPr>
                <w:rFonts w:eastAsia="Calibri" w:cs="Open Sans"/>
                <w:sz w:val="18"/>
                <w:szCs w:val="18"/>
              </w:rPr>
            </w:pPr>
            <w:r>
              <w:rPr>
                <w:rFonts w:eastAsia="Calibri" w:cs="Open Sans"/>
                <w:sz w:val="18"/>
                <w:szCs w:val="18"/>
              </w:rPr>
              <w:t>12.3</w:t>
            </w:r>
          </w:p>
        </w:tc>
        <w:tc>
          <w:tcPr>
            <w:tcW w:w="2773" w:type="dxa"/>
            <w:shd w:val="clear" w:color="auto" w:fill="auto"/>
          </w:tcPr>
          <w:p w14:paraId="7653D2EC" w14:textId="251F174C" w:rsidR="00271CB0" w:rsidRPr="00271CB0" w:rsidRDefault="00271CB0" w:rsidP="00271CB0">
            <w:pPr>
              <w:jc w:val="center"/>
              <w:outlineLvl w:val="4"/>
              <w:rPr>
                <w:rFonts w:eastAsia="Calibri" w:cs="Open Sans"/>
                <w:sz w:val="18"/>
                <w:szCs w:val="18"/>
              </w:rPr>
            </w:pPr>
            <w:r w:rsidRPr="00271CB0">
              <w:rPr>
                <w:sz w:val="18"/>
                <w:szCs w:val="18"/>
              </w:rPr>
              <w:t>12.3</w:t>
            </w:r>
          </w:p>
        </w:tc>
      </w:tr>
      <w:tr w:rsidR="00271CB0" w:rsidRPr="00044C19" w14:paraId="4E11C1AF" w14:textId="77777777" w:rsidTr="00271CB0">
        <w:tc>
          <w:tcPr>
            <w:tcW w:w="2730" w:type="dxa"/>
            <w:shd w:val="clear" w:color="auto" w:fill="auto"/>
          </w:tcPr>
          <w:p w14:paraId="1E9334BB" w14:textId="77777777" w:rsidR="00271CB0" w:rsidRPr="00044C19" w:rsidRDefault="00271CB0" w:rsidP="00271CB0">
            <w:pPr>
              <w:jc w:val="both"/>
              <w:outlineLvl w:val="4"/>
              <w:rPr>
                <w:rFonts w:eastAsia="Calibri" w:cs="Open Sans"/>
                <w:bCs/>
                <w:sz w:val="18"/>
                <w:szCs w:val="18"/>
              </w:rPr>
            </w:pPr>
            <w:r w:rsidRPr="00044C19">
              <w:rPr>
                <w:rFonts w:eastAsia="Calibri" w:cs="Open Sans"/>
                <w:bCs/>
                <w:sz w:val="18"/>
                <w:szCs w:val="18"/>
              </w:rPr>
              <w:t>2016</w:t>
            </w:r>
          </w:p>
        </w:tc>
        <w:tc>
          <w:tcPr>
            <w:tcW w:w="2773" w:type="dxa"/>
            <w:shd w:val="clear" w:color="auto" w:fill="auto"/>
          </w:tcPr>
          <w:p w14:paraId="105AB1B8" w14:textId="2E4D2C8A" w:rsidR="00271CB0" w:rsidRPr="00044C19" w:rsidRDefault="00560D64" w:rsidP="00271CB0">
            <w:pPr>
              <w:jc w:val="center"/>
              <w:outlineLvl w:val="4"/>
              <w:rPr>
                <w:rFonts w:eastAsia="Calibri" w:cs="Open Sans"/>
                <w:sz w:val="18"/>
                <w:szCs w:val="18"/>
              </w:rPr>
            </w:pPr>
            <w:r>
              <w:rPr>
                <w:rFonts w:eastAsia="Calibri" w:cs="Open Sans"/>
                <w:sz w:val="18"/>
                <w:szCs w:val="18"/>
              </w:rPr>
              <w:t>13.0</w:t>
            </w:r>
          </w:p>
        </w:tc>
        <w:tc>
          <w:tcPr>
            <w:tcW w:w="2773" w:type="dxa"/>
            <w:shd w:val="clear" w:color="auto" w:fill="auto"/>
          </w:tcPr>
          <w:p w14:paraId="026093C6" w14:textId="34CD8B43" w:rsidR="00271CB0" w:rsidRPr="00271CB0" w:rsidRDefault="00271CB0" w:rsidP="00271CB0">
            <w:pPr>
              <w:jc w:val="center"/>
              <w:outlineLvl w:val="4"/>
              <w:rPr>
                <w:rFonts w:eastAsia="Calibri" w:cs="Open Sans"/>
                <w:sz w:val="18"/>
                <w:szCs w:val="18"/>
              </w:rPr>
            </w:pPr>
            <w:r w:rsidRPr="00271CB0">
              <w:rPr>
                <w:sz w:val="18"/>
                <w:szCs w:val="18"/>
              </w:rPr>
              <w:t>13.7</w:t>
            </w:r>
          </w:p>
        </w:tc>
      </w:tr>
      <w:tr w:rsidR="00271CB0" w:rsidRPr="00044C19" w14:paraId="61871DCA" w14:textId="77777777" w:rsidTr="00271CB0">
        <w:tc>
          <w:tcPr>
            <w:tcW w:w="2730" w:type="dxa"/>
            <w:shd w:val="clear" w:color="auto" w:fill="auto"/>
          </w:tcPr>
          <w:p w14:paraId="1A403D9B" w14:textId="77777777" w:rsidR="00271CB0" w:rsidRPr="00044C19" w:rsidRDefault="00271CB0" w:rsidP="00271CB0">
            <w:pPr>
              <w:jc w:val="both"/>
              <w:outlineLvl w:val="4"/>
              <w:rPr>
                <w:rFonts w:eastAsia="Calibri" w:cs="Open Sans"/>
                <w:bCs/>
                <w:sz w:val="18"/>
                <w:szCs w:val="18"/>
              </w:rPr>
            </w:pPr>
            <w:r w:rsidRPr="00044C19">
              <w:rPr>
                <w:rFonts w:eastAsia="Calibri" w:cs="Open Sans"/>
                <w:bCs/>
                <w:sz w:val="18"/>
                <w:szCs w:val="18"/>
              </w:rPr>
              <w:t>2017</w:t>
            </w:r>
          </w:p>
        </w:tc>
        <w:tc>
          <w:tcPr>
            <w:tcW w:w="2773" w:type="dxa"/>
            <w:shd w:val="clear" w:color="auto" w:fill="auto"/>
          </w:tcPr>
          <w:p w14:paraId="2D88246C" w14:textId="61075425" w:rsidR="00271CB0" w:rsidRPr="00044C19" w:rsidRDefault="00560D64" w:rsidP="00271CB0">
            <w:pPr>
              <w:jc w:val="center"/>
              <w:outlineLvl w:val="4"/>
              <w:rPr>
                <w:rFonts w:eastAsia="Times New Roman" w:cs="Open Sans"/>
                <w:sz w:val="18"/>
                <w:szCs w:val="18"/>
              </w:rPr>
            </w:pPr>
            <w:r>
              <w:rPr>
                <w:rFonts w:eastAsia="Times New Roman" w:cs="Open Sans"/>
                <w:sz w:val="18"/>
                <w:szCs w:val="18"/>
              </w:rPr>
              <w:t>13.8</w:t>
            </w:r>
          </w:p>
        </w:tc>
        <w:tc>
          <w:tcPr>
            <w:tcW w:w="2773" w:type="dxa"/>
            <w:shd w:val="clear" w:color="auto" w:fill="auto"/>
          </w:tcPr>
          <w:p w14:paraId="5AEA1727" w14:textId="4C645C36" w:rsidR="00271CB0" w:rsidRPr="00271CB0" w:rsidRDefault="00271CB0" w:rsidP="00271CB0">
            <w:pPr>
              <w:jc w:val="center"/>
              <w:outlineLvl w:val="4"/>
              <w:rPr>
                <w:rFonts w:eastAsia="Times New Roman" w:cs="Open Sans"/>
                <w:bCs/>
                <w:sz w:val="18"/>
                <w:szCs w:val="18"/>
              </w:rPr>
            </w:pPr>
            <w:r w:rsidRPr="00271CB0">
              <w:rPr>
                <w:sz w:val="18"/>
                <w:szCs w:val="18"/>
              </w:rPr>
              <w:t>15.6</w:t>
            </w:r>
          </w:p>
        </w:tc>
      </w:tr>
      <w:tr w:rsidR="00271CB0" w:rsidRPr="00044C19" w14:paraId="33CE2DFD" w14:textId="77777777" w:rsidTr="00271CB0">
        <w:tc>
          <w:tcPr>
            <w:tcW w:w="2730" w:type="dxa"/>
            <w:shd w:val="clear" w:color="auto" w:fill="auto"/>
          </w:tcPr>
          <w:p w14:paraId="178EBA6F" w14:textId="77777777" w:rsidR="00271CB0" w:rsidRPr="00044C19" w:rsidRDefault="00271CB0" w:rsidP="00271CB0">
            <w:pPr>
              <w:jc w:val="both"/>
              <w:outlineLvl w:val="4"/>
              <w:rPr>
                <w:rFonts w:eastAsia="Times New Roman" w:cs="Open Sans"/>
                <w:bCs/>
                <w:sz w:val="18"/>
                <w:szCs w:val="18"/>
              </w:rPr>
            </w:pPr>
            <w:r w:rsidRPr="00044C19">
              <w:rPr>
                <w:rFonts w:eastAsia="Calibri" w:cs="Open Sans"/>
                <w:bCs/>
                <w:sz w:val="18"/>
                <w:szCs w:val="18"/>
              </w:rPr>
              <w:t>2018</w:t>
            </w:r>
          </w:p>
        </w:tc>
        <w:tc>
          <w:tcPr>
            <w:tcW w:w="2773" w:type="dxa"/>
            <w:shd w:val="clear" w:color="auto" w:fill="auto"/>
          </w:tcPr>
          <w:p w14:paraId="5992E4F4" w14:textId="7980552D" w:rsidR="00271CB0" w:rsidRPr="00044C19" w:rsidRDefault="00560D64" w:rsidP="00271CB0">
            <w:pPr>
              <w:jc w:val="center"/>
              <w:outlineLvl w:val="4"/>
              <w:rPr>
                <w:rFonts w:eastAsia="Times New Roman" w:cs="Open Sans"/>
                <w:sz w:val="18"/>
                <w:szCs w:val="18"/>
              </w:rPr>
            </w:pPr>
            <w:r>
              <w:rPr>
                <w:rFonts w:eastAsia="Times New Roman" w:cs="Open Sans"/>
                <w:sz w:val="18"/>
                <w:szCs w:val="18"/>
              </w:rPr>
              <w:t>14.5</w:t>
            </w:r>
          </w:p>
        </w:tc>
        <w:tc>
          <w:tcPr>
            <w:tcW w:w="2773" w:type="dxa"/>
            <w:shd w:val="clear" w:color="auto" w:fill="auto"/>
          </w:tcPr>
          <w:p w14:paraId="73663A0E" w14:textId="41325969" w:rsidR="00271CB0" w:rsidRPr="00271CB0" w:rsidRDefault="00271CB0" w:rsidP="00271CB0">
            <w:pPr>
              <w:jc w:val="center"/>
              <w:outlineLvl w:val="4"/>
              <w:rPr>
                <w:rFonts w:eastAsia="Times New Roman" w:cs="Open Sans"/>
                <w:bCs/>
                <w:sz w:val="18"/>
                <w:szCs w:val="18"/>
              </w:rPr>
            </w:pPr>
            <w:r w:rsidRPr="00271CB0">
              <w:rPr>
                <w:sz w:val="18"/>
                <w:szCs w:val="18"/>
              </w:rPr>
              <w:t>17.1</w:t>
            </w:r>
          </w:p>
        </w:tc>
      </w:tr>
      <w:tr w:rsidR="00271CB0" w:rsidRPr="00044C19" w14:paraId="4F3B05AC" w14:textId="77777777" w:rsidTr="00271CB0">
        <w:tc>
          <w:tcPr>
            <w:tcW w:w="2730" w:type="dxa"/>
            <w:shd w:val="clear" w:color="auto" w:fill="auto"/>
          </w:tcPr>
          <w:p w14:paraId="07C702FA" w14:textId="77777777" w:rsidR="00271CB0" w:rsidRPr="00044C19" w:rsidRDefault="00271CB0" w:rsidP="00271CB0">
            <w:pPr>
              <w:jc w:val="both"/>
              <w:outlineLvl w:val="4"/>
              <w:rPr>
                <w:rFonts w:eastAsia="Times New Roman" w:cs="Open Sans"/>
                <w:bCs/>
                <w:sz w:val="18"/>
                <w:szCs w:val="18"/>
              </w:rPr>
            </w:pPr>
            <w:r w:rsidRPr="00044C19">
              <w:rPr>
                <w:rFonts w:eastAsia="Calibri" w:cs="Open Sans"/>
                <w:bCs/>
                <w:sz w:val="18"/>
                <w:szCs w:val="18"/>
              </w:rPr>
              <w:t>2019</w:t>
            </w:r>
          </w:p>
        </w:tc>
        <w:tc>
          <w:tcPr>
            <w:tcW w:w="2773" w:type="dxa"/>
            <w:shd w:val="clear" w:color="auto" w:fill="auto"/>
          </w:tcPr>
          <w:p w14:paraId="78C9EFE8" w14:textId="33978D1F" w:rsidR="00271CB0" w:rsidRPr="00044C19" w:rsidRDefault="00560D64" w:rsidP="00271CB0">
            <w:pPr>
              <w:jc w:val="center"/>
              <w:outlineLvl w:val="4"/>
              <w:rPr>
                <w:rFonts w:eastAsia="Times New Roman" w:cs="Open Sans"/>
                <w:sz w:val="18"/>
                <w:szCs w:val="18"/>
              </w:rPr>
            </w:pPr>
            <w:r>
              <w:rPr>
                <w:rFonts w:eastAsia="Times New Roman" w:cs="Open Sans"/>
                <w:sz w:val="18"/>
                <w:szCs w:val="18"/>
              </w:rPr>
              <w:t>15.1</w:t>
            </w:r>
          </w:p>
        </w:tc>
        <w:tc>
          <w:tcPr>
            <w:tcW w:w="2773" w:type="dxa"/>
            <w:shd w:val="clear" w:color="auto" w:fill="auto"/>
          </w:tcPr>
          <w:p w14:paraId="7605953C" w14:textId="439CEA29" w:rsidR="00271CB0" w:rsidRPr="00271CB0" w:rsidRDefault="00271CB0" w:rsidP="00271CB0">
            <w:pPr>
              <w:jc w:val="center"/>
              <w:outlineLvl w:val="4"/>
              <w:rPr>
                <w:rFonts w:eastAsia="Times New Roman" w:cs="Open Sans"/>
                <w:bCs/>
                <w:sz w:val="18"/>
                <w:szCs w:val="18"/>
              </w:rPr>
            </w:pPr>
            <w:r w:rsidRPr="00271CB0">
              <w:rPr>
                <w:sz w:val="18"/>
                <w:szCs w:val="18"/>
              </w:rPr>
              <w:t>18.2</w:t>
            </w:r>
          </w:p>
        </w:tc>
      </w:tr>
      <w:tr w:rsidR="00271CB0" w:rsidRPr="00044C19" w14:paraId="3C01932E" w14:textId="77777777" w:rsidTr="00271CB0">
        <w:tc>
          <w:tcPr>
            <w:tcW w:w="2730" w:type="dxa"/>
            <w:shd w:val="clear" w:color="auto" w:fill="auto"/>
          </w:tcPr>
          <w:p w14:paraId="26558076" w14:textId="77777777" w:rsidR="00271CB0" w:rsidRPr="00044C19" w:rsidRDefault="00271CB0" w:rsidP="00271CB0">
            <w:pPr>
              <w:jc w:val="both"/>
              <w:outlineLvl w:val="4"/>
              <w:rPr>
                <w:rFonts w:eastAsia="Times New Roman" w:cs="Open Sans"/>
                <w:bCs/>
                <w:sz w:val="18"/>
                <w:szCs w:val="18"/>
              </w:rPr>
            </w:pPr>
            <w:r w:rsidRPr="00044C19">
              <w:rPr>
                <w:rFonts w:eastAsia="Calibri" w:cs="Open Sans"/>
                <w:bCs/>
                <w:sz w:val="18"/>
                <w:szCs w:val="18"/>
              </w:rPr>
              <w:t>2020</w:t>
            </w:r>
          </w:p>
        </w:tc>
        <w:tc>
          <w:tcPr>
            <w:tcW w:w="2773" w:type="dxa"/>
            <w:shd w:val="clear" w:color="auto" w:fill="auto"/>
          </w:tcPr>
          <w:p w14:paraId="392DF4B3" w14:textId="130B2A86" w:rsidR="00271CB0" w:rsidRPr="00044C19" w:rsidRDefault="00560D64" w:rsidP="00271CB0">
            <w:pPr>
              <w:jc w:val="center"/>
              <w:outlineLvl w:val="4"/>
              <w:rPr>
                <w:rFonts w:eastAsia="Times New Roman" w:cs="Open Sans"/>
                <w:sz w:val="18"/>
                <w:szCs w:val="18"/>
              </w:rPr>
            </w:pPr>
            <w:r>
              <w:rPr>
                <w:rFonts w:eastAsia="Times New Roman" w:cs="Open Sans"/>
                <w:sz w:val="18"/>
                <w:szCs w:val="18"/>
              </w:rPr>
              <w:t>15.5</w:t>
            </w:r>
          </w:p>
        </w:tc>
        <w:tc>
          <w:tcPr>
            <w:tcW w:w="2773" w:type="dxa"/>
            <w:shd w:val="clear" w:color="auto" w:fill="auto"/>
          </w:tcPr>
          <w:p w14:paraId="33115BF5" w14:textId="75CFF8A3" w:rsidR="00271CB0" w:rsidRPr="00271CB0" w:rsidRDefault="00271CB0" w:rsidP="00271CB0">
            <w:pPr>
              <w:jc w:val="center"/>
              <w:outlineLvl w:val="4"/>
              <w:rPr>
                <w:rFonts w:eastAsia="Times New Roman" w:cs="Open Sans"/>
                <w:bCs/>
                <w:sz w:val="18"/>
                <w:szCs w:val="18"/>
              </w:rPr>
            </w:pPr>
            <w:r w:rsidRPr="00271CB0">
              <w:rPr>
                <w:sz w:val="18"/>
                <w:szCs w:val="18"/>
              </w:rPr>
              <w:t>25.6</w:t>
            </w:r>
          </w:p>
        </w:tc>
      </w:tr>
      <w:tr w:rsidR="00271CB0" w:rsidRPr="00044C19" w14:paraId="0BC988AF" w14:textId="77777777" w:rsidTr="00271CB0">
        <w:tc>
          <w:tcPr>
            <w:tcW w:w="2730" w:type="dxa"/>
            <w:shd w:val="clear" w:color="auto" w:fill="auto"/>
          </w:tcPr>
          <w:p w14:paraId="23782900" w14:textId="77777777" w:rsidR="00271CB0" w:rsidRPr="00044C19" w:rsidRDefault="00271CB0" w:rsidP="00271CB0">
            <w:pPr>
              <w:jc w:val="both"/>
              <w:outlineLvl w:val="4"/>
              <w:rPr>
                <w:rFonts w:eastAsia="Times New Roman" w:cs="Open Sans"/>
                <w:bCs/>
                <w:sz w:val="18"/>
                <w:szCs w:val="18"/>
              </w:rPr>
            </w:pPr>
            <w:r w:rsidRPr="00044C19">
              <w:rPr>
                <w:rFonts w:eastAsia="Calibri" w:cs="Open Sans"/>
                <w:bCs/>
                <w:sz w:val="18"/>
                <w:szCs w:val="18"/>
              </w:rPr>
              <w:t>2021</w:t>
            </w:r>
          </w:p>
        </w:tc>
        <w:tc>
          <w:tcPr>
            <w:tcW w:w="2773" w:type="dxa"/>
            <w:shd w:val="clear" w:color="auto" w:fill="auto"/>
          </w:tcPr>
          <w:p w14:paraId="53C99DF2" w14:textId="407C7761" w:rsidR="00271CB0" w:rsidRPr="00044C19" w:rsidRDefault="00560D64" w:rsidP="00271CB0">
            <w:pPr>
              <w:jc w:val="center"/>
              <w:outlineLvl w:val="4"/>
              <w:rPr>
                <w:rFonts w:eastAsia="Times New Roman" w:cs="Open Sans"/>
                <w:sz w:val="18"/>
                <w:szCs w:val="18"/>
              </w:rPr>
            </w:pPr>
            <w:r>
              <w:rPr>
                <w:rFonts w:eastAsia="Times New Roman" w:cs="Open Sans"/>
                <w:sz w:val="18"/>
                <w:szCs w:val="18"/>
              </w:rPr>
              <w:t>15.7</w:t>
            </w:r>
          </w:p>
        </w:tc>
        <w:tc>
          <w:tcPr>
            <w:tcW w:w="2773" w:type="dxa"/>
            <w:shd w:val="clear" w:color="auto" w:fill="auto"/>
          </w:tcPr>
          <w:p w14:paraId="78BD288C" w14:textId="50C00DA6" w:rsidR="00271CB0" w:rsidRPr="00271CB0" w:rsidRDefault="00271CB0" w:rsidP="00271CB0">
            <w:pPr>
              <w:jc w:val="center"/>
              <w:outlineLvl w:val="4"/>
              <w:rPr>
                <w:rFonts w:eastAsia="Times New Roman" w:cs="Open Sans"/>
                <w:bCs/>
                <w:sz w:val="18"/>
                <w:szCs w:val="18"/>
              </w:rPr>
            </w:pPr>
            <w:r w:rsidRPr="00271CB0">
              <w:rPr>
                <w:sz w:val="18"/>
                <w:szCs w:val="18"/>
              </w:rPr>
              <w:t>26.6</w:t>
            </w:r>
          </w:p>
        </w:tc>
      </w:tr>
      <w:tr w:rsidR="00271CB0" w:rsidRPr="00044C19" w14:paraId="354B77D7" w14:textId="77777777" w:rsidTr="00271CB0">
        <w:tc>
          <w:tcPr>
            <w:tcW w:w="2730" w:type="dxa"/>
            <w:shd w:val="clear" w:color="auto" w:fill="auto"/>
          </w:tcPr>
          <w:p w14:paraId="4D8D64EF" w14:textId="77777777" w:rsidR="00271CB0" w:rsidRPr="00044C19" w:rsidRDefault="00271CB0" w:rsidP="00271CB0">
            <w:pPr>
              <w:jc w:val="both"/>
              <w:outlineLvl w:val="4"/>
              <w:rPr>
                <w:rFonts w:eastAsia="Times New Roman" w:cs="Open Sans"/>
                <w:bCs/>
                <w:sz w:val="18"/>
                <w:szCs w:val="18"/>
              </w:rPr>
            </w:pPr>
            <w:r w:rsidRPr="00044C19">
              <w:rPr>
                <w:rFonts w:eastAsia="Calibri" w:cs="Open Sans"/>
                <w:bCs/>
                <w:sz w:val="18"/>
                <w:szCs w:val="18"/>
              </w:rPr>
              <w:t>2022</w:t>
            </w:r>
          </w:p>
        </w:tc>
        <w:tc>
          <w:tcPr>
            <w:tcW w:w="2773" w:type="dxa"/>
            <w:shd w:val="clear" w:color="auto" w:fill="auto"/>
          </w:tcPr>
          <w:p w14:paraId="446609FA" w14:textId="3AE59E02" w:rsidR="00271CB0" w:rsidRPr="00044C19" w:rsidRDefault="00560D64" w:rsidP="00271CB0">
            <w:pPr>
              <w:jc w:val="center"/>
              <w:outlineLvl w:val="4"/>
              <w:rPr>
                <w:rFonts w:eastAsia="Times New Roman" w:cs="Open Sans"/>
                <w:sz w:val="18"/>
                <w:szCs w:val="18"/>
              </w:rPr>
            </w:pPr>
            <w:r>
              <w:rPr>
                <w:rFonts w:eastAsia="Times New Roman" w:cs="Open Sans"/>
                <w:sz w:val="18"/>
                <w:szCs w:val="18"/>
              </w:rPr>
              <w:t>15.9</w:t>
            </w:r>
          </w:p>
        </w:tc>
        <w:tc>
          <w:tcPr>
            <w:tcW w:w="2773" w:type="dxa"/>
            <w:shd w:val="clear" w:color="auto" w:fill="auto"/>
          </w:tcPr>
          <w:p w14:paraId="19999DE7" w14:textId="72D87D2E" w:rsidR="00271CB0" w:rsidRPr="00271CB0" w:rsidRDefault="00271CB0" w:rsidP="00271CB0">
            <w:pPr>
              <w:jc w:val="center"/>
              <w:outlineLvl w:val="4"/>
              <w:rPr>
                <w:rFonts w:eastAsia="Times New Roman" w:cs="Open Sans"/>
                <w:bCs/>
                <w:sz w:val="18"/>
                <w:szCs w:val="18"/>
              </w:rPr>
            </w:pPr>
            <w:r w:rsidRPr="00271CB0">
              <w:rPr>
                <w:sz w:val="18"/>
                <w:szCs w:val="18"/>
              </w:rPr>
              <w:t>23.9</w:t>
            </w:r>
          </w:p>
        </w:tc>
      </w:tr>
      <w:tr w:rsidR="00271CB0" w:rsidRPr="00044C19" w14:paraId="18425E2C" w14:textId="77777777" w:rsidTr="00271CB0">
        <w:tc>
          <w:tcPr>
            <w:tcW w:w="2730" w:type="dxa"/>
            <w:shd w:val="clear" w:color="auto" w:fill="auto"/>
          </w:tcPr>
          <w:p w14:paraId="2B41538A" w14:textId="77777777" w:rsidR="00271CB0" w:rsidRPr="00044C19" w:rsidRDefault="00271CB0" w:rsidP="00271CB0">
            <w:pPr>
              <w:jc w:val="both"/>
              <w:outlineLvl w:val="4"/>
              <w:rPr>
                <w:rFonts w:eastAsia="Times New Roman" w:cs="Open Sans"/>
                <w:bCs/>
                <w:sz w:val="18"/>
                <w:szCs w:val="18"/>
              </w:rPr>
            </w:pPr>
            <w:r w:rsidRPr="00044C19">
              <w:rPr>
                <w:rFonts w:eastAsia="Calibri" w:cs="Open Sans"/>
                <w:bCs/>
                <w:sz w:val="18"/>
                <w:szCs w:val="18"/>
              </w:rPr>
              <w:t>2023</w:t>
            </w:r>
          </w:p>
        </w:tc>
        <w:tc>
          <w:tcPr>
            <w:tcW w:w="2773" w:type="dxa"/>
            <w:shd w:val="clear" w:color="auto" w:fill="auto"/>
          </w:tcPr>
          <w:p w14:paraId="042EA636" w14:textId="005863A2" w:rsidR="00271CB0" w:rsidRPr="00044C19" w:rsidRDefault="00560D64" w:rsidP="00271CB0">
            <w:pPr>
              <w:jc w:val="center"/>
              <w:outlineLvl w:val="4"/>
              <w:rPr>
                <w:rFonts w:eastAsia="Times New Roman" w:cs="Open Sans"/>
                <w:sz w:val="18"/>
                <w:szCs w:val="18"/>
              </w:rPr>
            </w:pPr>
            <w:r>
              <w:rPr>
                <w:rFonts w:eastAsia="Times New Roman" w:cs="Open Sans"/>
                <w:sz w:val="18"/>
                <w:szCs w:val="18"/>
              </w:rPr>
              <w:t>15.9</w:t>
            </w:r>
          </w:p>
        </w:tc>
        <w:tc>
          <w:tcPr>
            <w:tcW w:w="2773" w:type="dxa"/>
            <w:shd w:val="clear" w:color="auto" w:fill="auto"/>
          </w:tcPr>
          <w:p w14:paraId="0CAB0743" w14:textId="764752C8" w:rsidR="00271CB0" w:rsidRPr="00271CB0" w:rsidRDefault="00271CB0" w:rsidP="00271CB0">
            <w:pPr>
              <w:jc w:val="center"/>
              <w:outlineLvl w:val="4"/>
              <w:rPr>
                <w:rFonts w:eastAsia="Times New Roman" w:cs="Open Sans"/>
                <w:bCs/>
                <w:sz w:val="18"/>
                <w:szCs w:val="18"/>
              </w:rPr>
            </w:pPr>
            <w:r w:rsidRPr="00271CB0">
              <w:rPr>
                <w:sz w:val="18"/>
                <w:szCs w:val="18"/>
              </w:rPr>
              <w:t>24.7</w:t>
            </w:r>
          </w:p>
        </w:tc>
      </w:tr>
      <w:tr w:rsidR="00271CB0" w:rsidRPr="00044C19" w14:paraId="156D9C91" w14:textId="77777777" w:rsidTr="00271CB0">
        <w:tc>
          <w:tcPr>
            <w:tcW w:w="2730" w:type="dxa"/>
            <w:shd w:val="clear" w:color="auto" w:fill="auto"/>
          </w:tcPr>
          <w:p w14:paraId="452386BD" w14:textId="77777777" w:rsidR="00271CB0" w:rsidRPr="00044C19" w:rsidRDefault="00271CB0" w:rsidP="00271CB0">
            <w:pPr>
              <w:jc w:val="both"/>
              <w:outlineLvl w:val="4"/>
              <w:rPr>
                <w:rFonts w:eastAsia="Times New Roman" w:cs="Open Sans"/>
                <w:bCs/>
                <w:sz w:val="18"/>
                <w:szCs w:val="18"/>
              </w:rPr>
            </w:pPr>
            <w:r w:rsidRPr="00044C19">
              <w:rPr>
                <w:rFonts w:eastAsia="Calibri" w:cs="Open Sans"/>
                <w:bCs/>
                <w:sz w:val="18"/>
                <w:szCs w:val="18"/>
              </w:rPr>
              <w:t>2024</w:t>
            </w:r>
          </w:p>
        </w:tc>
        <w:tc>
          <w:tcPr>
            <w:tcW w:w="2773" w:type="dxa"/>
            <w:shd w:val="clear" w:color="auto" w:fill="auto"/>
          </w:tcPr>
          <w:p w14:paraId="7EF4E8CF" w14:textId="72D30C15" w:rsidR="00271CB0" w:rsidRPr="00044C19" w:rsidRDefault="00560D64" w:rsidP="00271CB0">
            <w:pPr>
              <w:jc w:val="center"/>
              <w:outlineLvl w:val="4"/>
              <w:rPr>
                <w:rFonts w:eastAsia="Times New Roman" w:cs="Open Sans"/>
                <w:sz w:val="18"/>
                <w:szCs w:val="18"/>
              </w:rPr>
            </w:pPr>
            <w:r>
              <w:rPr>
                <w:rFonts w:eastAsia="Times New Roman" w:cs="Open Sans"/>
                <w:sz w:val="18"/>
                <w:szCs w:val="18"/>
              </w:rPr>
              <w:t>15.9</w:t>
            </w:r>
          </w:p>
        </w:tc>
        <w:tc>
          <w:tcPr>
            <w:tcW w:w="2773" w:type="dxa"/>
            <w:shd w:val="clear" w:color="auto" w:fill="auto"/>
          </w:tcPr>
          <w:p w14:paraId="14943979" w14:textId="293FB346" w:rsidR="00271CB0" w:rsidRPr="00271CB0" w:rsidRDefault="00271CB0" w:rsidP="00271CB0">
            <w:pPr>
              <w:jc w:val="center"/>
              <w:outlineLvl w:val="4"/>
              <w:rPr>
                <w:rFonts w:eastAsia="Times New Roman" w:cs="Open Sans"/>
                <w:bCs/>
                <w:sz w:val="18"/>
                <w:szCs w:val="18"/>
              </w:rPr>
            </w:pPr>
            <w:r w:rsidRPr="00271CB0">
              <w:rPr>
                <w:sz w:val="18"/>
                <w:szCs w:val="18"/>
              </w:rPr>
              <w:t>25.4</w:t>
            </w:r>
          </w:p>
        </w:tc>
      </w:tr>
      <w:tr w:rsidR="00271CB0" w:rsidRPr="00044C19" w14:paraId="62E0939D" w14:textId="77777777" w:rsidTr="00271CB0">
        <w:tc>
          <w:tcPr>
            <w:tcW w:w="2730" w:type="dxa"/>
            <w:shd w:val="clear" w:color="auto" w:fill="auto"/>
          </w:tcPr>
          <w:p w14:paraId="291C36B3" w14:textId="77777777" w:rsidR="00271CB0" w:rsidRPr="00044C19" w:rsidRDefault="00271CB0" w:rsidP="00271CB0">
            <w:pPr>
              <w:jc w:val="both"/>
              <w:outlineLvl w:val="4"/>
              <w:rPr>
                <w:rFonts w:eastAsia="Times New Roman" w:cs="Open Sans"/>
                <w:bCs/>
                <w:sz w:val="18"/>
                <w:szCs w:val="18"/>
              </w:rPr>
            </w:pPr>
            <w:r w:rsidRPr="00044C19">
              <w:rPr>
                <w:rFonts w:eastAsia="Calibri" w:cs="Open Sans"/>
                <w:bCs/>
                <w:sz w:val="18"/>
                <w:szCs w:val="18"/>
              </w:rPr>
              <w:t>2025</w:t>
            </w:r>
          </w:p>
        </w:tc>
        <w:tc>
          <w:tcPr>
            <w:tcW w:w="2773" w:type="dxa"/>
            <w:shd w:val="clear" w:color="auto" w:fill="auto"/>
          </w:tcPr>
          <w:p w14:paraId="3A6B4A91" w14:textId="1E0E68F8" w:rsidR="00271CB0" w:rsidRPr="00044C19" w:rsidRDefault="00560D64" w:rsidP="00271CB0">
            <w:pPr>
              <w:jc w:val="center"/>
              <w:outlineLvl w:val="4"/>
              <w:rPr>
                <w:rFonts w:eastAsia="Times New Roman" w:cs="Open Sans"/>
                <w:sz w:val="18"/>
                <w:szCs w:val="18"/>
              </w:rPr>
            </w:pPr>
            <w:r>
              <w:rPr>
                <w:rFonts w:eastAsia="Times New Roman" w:cs="Open Sans"/>
                <w:sz w:val="18"/>
                <w:szCs w:val="18"/>
              </w:rPr>
              <w:t>15.9</w:t>
            </w:r>
          </w:p>
        </w:tc>
        <w:tc>
          <w:tcPr>
            <w:tcW w:w="2773" w:type="dxa"/>
            <w:shd w:val="clear" w:color="auto" w:fill="auto"/>
          </w:tcPr>
          <w:p w14:paraId="411878D6" w14:textId="0BCD5E92" w:rsidR="00271CB0" w:rsidRPr="00271CB0" w:rsidRDefault="00271CB0" w:rsidP="00271CB0">
            <w:pPr>
              <w:jc w:val="center"/>
              <w:outlineLvl w:val="4"/>
              <w:rPr>
                <w:rFonts w:eastAsia="Times New Roman" w:cs="Open Sans"/>
                <w:bCs/>
                <w:sz w:val="18"/>
                <w:szCs w:val="18"/>
              </w:rPr>
            </w:pPr>
            <w:r w:rsidRPr="00271CB0">
              <w:rPr>
                <w:sz w:val="18"/>
                <w:szCs w:val="18"/>
              </w:rPr>
              <w:t>26.1</w:t>
            </w:r>
          </w:p>
        </w:tc>
      </w:tr>
      <w:tr w:rsidR="00271CB0" w:rsidRPr="00044C19" w14:paraId="6E24B774" w14:textId="77777777" w:rsidTr="00271CB0">
        <w:tc>
          <w:tcPr>
            <w:tcW w:w="2730" w:type="dxa"/>
            <w:shd w:val="clear" w:color="auto" w:fill="auto"/>
          </w:tcPr>
          <w:p w14:paraId="5C8BE120" w14:textId="77777777" w:rsidR="00271CB0" w:rsidRPr="00044C19" w:rsidRDefault="00271CB0" w:rsidP="00271CB0">
            <w:pPr>
              <w:jc w:val="both"/>
              <w:outlineLvl w:val="4"/>
              <w:rPr>
                <w:rFonts w:eastAsia="Times New Roman" w:cs="Open Sans"/>
                <w:bCs/>
                <w:sz w:val="18"/>
                <w:szCs w:val="18"/>
              </w:rPr>
            </w:pPr>
            <w:r w:rsidRPr="00044C19">
              <w:rPr>
                <w:rFonts w:eastAsia="Calibri" w:cs="Open Sans"/>
                <w:bCs/>
                <w:sz w:val="18"/>
                <w:szCs w:val="18"/>
              </w:rPr>
              <w:t>2026</w:t>
            </w:r>
          </w:p>
        </w:tc>
        <w:tc>
          <w:tcPr>
            <w:tcW w:w="2773" w:type="dxa"/>
            <w:shd w:val="clear" w:color="auto" w:fill="auto"/>
          </w:tcPr>
          <w:p w14:paraId="7D486276" w14:textId="7FD69D54" w:rsidR="00271CB0" w:rsidRPr="00044C19" w:rsidRDefault="00560D64" w:rsidP="00271CB0">
            <w:pPr>
              <w:jc w:val="center"/>
              <w:outlineLvl w:val="4"/>
              <w:rPr>
                <w:rFonts w:eastAsia="Times New Roman" w:cs="Open Sans"/>
                <w:sz w:val="18"/>
                <w:szCs w:val="18"/>
              </w:rPr>
            </w:pPr>
            <w:r>
              <w:rPr>
                <w:rFonts w:eastAsia="Times New Roman" w:cs="Open Sans"/>
                <w:sz w:val="18"/>
                <w:szCs w:val="18"/>
              </w:rPr>
              <w:t>15.9</w:t>
            </w:r>
          </w:p>
        </w:tc>
        <w:tc>
          <w:tcPr>
            <w:tcW w:w="2773" w:type="dxa"/>
            <w:shd w:val="clear" w:color="auto" w:fill="auto"/>
          </w:tcPr>
          <w:p w14:paraId="5CF640E7" w14:textId="60B1CE38" w:rsidR="00271CB0" w:rsidRPr="00271CB0" w:rsidRDefault="00271CB0" w:rsidP="00271CB0">
            <w:pPr>
              <w:jc w:val="center"/>
              <w:outlineLvl w:val="4"/>
              <w:rPr>
                <w:rFonts w:eastAsia="Times New Roman" w:cs="Open Sans"/>
                <w:bCs/>
                <w:sz w:val="18"/>
                <w:szCs w:val="18"/>
              </w:rPr>
            </w:pPr>
            <w:r w:rsidRPr="00271CB0">
              <w:rPr>
                <w:sz w:val="18"/>
                <w:szCs w:val="18"/>
              </w:rPr>
              <w:t>26.7</w:t>
            </w:r>
          </w:p>
        </w:tc>
      </w:tr>
      <w:tr w:rsidR="00271CB0" w:rsidRPr="00044C19" w14:paraId="1D86D863" w14:textId="77777777" w:rsidTr="00271CB0">
        <w:tc>
          <w:tcPr>
            <w:tcW w:w="2730" w:type="dxa"/>
            <w:shd w:val="clear" w:color="auto" w:fill="auto"/>
          </w:tcPr>
          <w:p w14:paraId="119EDFAB" w14:textId="77777777" w:rsidR="00271CB0" w:rsidRPr="00044C19" w:rsidRDefault="00271CB0" w:rsidP="00271CB0">
            <w:pPr>
              <w:jc w:val="both"/>
              <w:outlineLvl w:val="4"/>
              <w:rPr>
                <w:rFonts w:eastAsia="Times New Roman" w:cs="Open Sans"/>
                <w:bCs/>
                <w:sz w:val="18"/>
                <w:szCs w:val="18"/>
              </w:rPr>
            </w:pPr>
            <w:r w:rsidRPr="00044C19">
              <w:rPr>
                <w:rFonts w:eastAsia="Calibri" w:cs="Open Sans"/>
                <w:bCs/>
                <w:sz w:val="18"/>
                <w:szCs w:val="18"/>
              </w:rPr>
              <w:t>2027</w:t>
            </w:r>
          </w:p>
        </w:tc>
        <w:tc>
          <w:tcPr>
            <w:tcW w:w="2773" w:type="dxa"/>
            <w:shd w:val="clear" w:color="auto" w:fill="auto"/>
          </w:tcPr>
          <w:p w14:paraId="16F766C9" w14:textId="5AFD6727" w:rsidR="00271CB0" w:rsidRPr="00044C19" w:rsidRDefault="00560D64" w:rsidP="00271CB0">
            <w:pPr>
              <w:jc w:val="center"/>
              <w:outlineLvl w:val="4"/>
              <w:rPr>
                <w:rFonts w:eastAsia="Times New Roman" w:cs="Open Sans"/>
                <w:sz w:val="18"/>
                <w:szCs w:val="18"/>
              </w:rPr>
            </w:pPr>
            <w:r>
              <w:rPr>
                <w:rFonts w:eastAsia="Times New Roman" w:cs="Open Sans"/>
                <w:sz w:val="18"/>
                <w:szCs w:val="18"/>
              </w:rPr>
              <w:t>16.0</w:t>
            </w:r>
          </w:p>
        </w:tc>
        <w:tc>
          <w:tcPr>
            <w:tcW w:w="2773" w:type="dxa"/>
            <w:shd w:val="clear" w:color="auto" w:fill="auto"/>
          </w:tcPr>
          <w:p w14:paraId="2C2EE152" w14:textId="2041299D" w:rsidR="00271CB0" w:rsidRPr="00271CB0" w:rsidRDefault="00271CB0" w:rsidP="00271CB0">
            <w:pPr>
              <w:jc w:val="center"/>
              <w:outlineLvl w:val="4"/>
              <w:rPr>
                <w:rFonts w:eastAsia="Times New Roman" w:cs="Open Sans"/>
                <w:bCs/>
                <w:sz w:val="18"/>
                <w:szCs w:val="18"/>
              </w:rPr>
            </w:pPr>
            <w:r w:rsidRPr="00271CB0">
              <w:rPr>
                <w:sz w:val="18"/>
                <w:szCs w:val="18"/>
              </w:rPr>
              <w:t>27.2</w:t>
            </w:r>
          </w:p>
        </w:tc>
      </w:tr>
      <w:tr w:rsidR="00271CB0" w:rsidRPr="00044C19" w14:paraId="2355EEB4" w14:textId="77777777" w:rsidTr="00271CB0">
        <w:tc>
          <w:tcPr>
            <w:tcW w:w="2730" w:type="dxa"/>
            <w:shd w:val="clear" w:color="auto" w:fill="auto"/>
          </w:tcPr>
          <w:p w14:paraId="59282062" w14:textId="77777777" w:rsidR="00271CB0" w:rsidRPr="00044C19" w:rsidRDefault="00271CB0" w:rsidP="00271CB0">
            <w:pPr>
              <w:jc w:val="both"/>
              <w:outlineLvl w:val="4"/>
              <w:rPr>
                <w:rFonts w:eastAsia="Times New Roman" w:cs="Open Sans"/>
                <w:bCs/>
                <w:sz w:val="18"/>
                <w:szCs w:val="18"/>
              </w:rPr>
            </w:pPr>
            <w:r w:rsidRPr="00044C19">
              <w:rPr>
                <w:rFonts w:eastAsia="Calibri" w:cs="Open Sans"/>
                <w:bCs/>
                <w:sz w:val="18"/>
                <w:szCs w:val="18"/>
              </w:rPr>
              <w:t>2028</w:t>
            </w:r>
          </w:p>
        </w:tc>
        <w:tc>
          <w:tcPr>
            <w:tcW w:w="2773" w:type="dxa"/>
            <w:shd w:val="clear" w:color="auto" w:fill="auto"/>
          </w:tcPr>
          <w:p w14:paraId="736F484F" w14:textId="7611EDA6" w:rsidR="00271CB0" w:rsidRPr="00044C19" w:rsidRDefault="00560D64" w:rsidP="00271CB0">
            <w:pPr>
              <w:jc w:val="center"/>
              <w:outlineLvl w:val="4"/>
              <w:rPr>
                <w:rFonts w:eastAsia="Times New Roman" w:cs="Open Sans"/>
                <w:sz w:val="18"/>
                <w:szCs w:val="18"/>
              </w:rPr>
            </w:pPr>
            <w:r>
              <w:rPr>
                <w:rFonts w:eastAsia="Times New Roman" w:cs="Open Sans"/>
                <w:sz w:val="18"/>
                <w:szCs w:val="18"/>
              </w:rPr>
              <w:t>16.0</w:t>
            </w:r>
          </w:p>
        </w:tc>
        <w:tc>
          <w:tcPr>
            <w:tcW w:w="2773" w:type="dxa"/>
            <w:shd w:val="clear" w:color="auto" w:fill="auto"/>
          </w:tcPr>
          <w:p w14:paraId="0F35F072" w14:textId="7EE63BC1" w:rsidR="00271CB0" w:rsidRPr="00271CB0" w:rsidRDefault="00271CB0" w:rsidP="00271CB0">
            <w:pPr>
              <w:jc w:val="center"/>
              <w:outlineLvl w:val="4"/>
              <w:rPr>
                <w:rFonts w:eastAsia="Times New Roman" w:cs="Open Sans"/>
                <w:bCs/>
                <w:sz w:val="18"/>
                <w:szCs w:val="18"/>
              </w:rPr>
            </w:pPr>
            <w:r w:rsidRPr="00271CB0">
              <w:rPr>
                <w:sz w:val="18"/>
                <w:szCs w:val="18"/>
              </w:rPr>
              <w:t>27.6</w:t>
            </w:r>
          </w:p>
        </w:tc>
      </w:tr>
      <w:tr w:rsidR="00271CB0" w:rsidRPr="00044C19" w14:paraId="79B5D2A7" w14:textId="77777777" w:rsidTr="00271CB0">
        <w:tc>
          <w:tcPr>
            <w:tcW w:w="2730" w:type="dxa"/>
            <w:shd w:val="clear" w:color="auto" w:fill="auto"/>
          </w:tcPr>
          <w:p w14:paraId="32B32617" w14:textId="77777777" w:rsidR="00271CB0" w:rsidRPr="00044C19" w:rsidRDefault="00271CB0" w:rsidP="00271CB0">
            <w:pPr>
              <w:jc w:val="both"/>
              <w:outlineLvl w:val="4"/>
              <w:rPr>
                <w:rFonts w:eastAsia="Times New Roman" w:cs="Open Sans"/>
                <w:bCs/>
                <w:sz w:val="18"/>
                <w:szCs w:val="18"/>
              </w:rPr>
            </w:pPr>
            <w:r w:rsidRPr="00044C19">
              <w:rPr>
                <w:rFonts w:eastAsia="Calibri" w:cs="Open Sans"/>
                <w:bCs/>
                <w:sz w:val="18"/>
                <w:szCs w:val="18"/>
              </w:rPr>
              <w:t>2029</w:t>
            </w:r>
          </w:p>
        </w:tc>
        <w:tc>
          <w:tcPr>
            <w:tcW w:w="2773" w:type="dxa"/>
            <w:shd w:val="clear" w:color="auto" w:fill="auto"/>
          </w:tcPr>
          <w:p w14:paraId="1DC90AC3" w14:textId="78FB8D2F" w:rsidR="00271CB0" w:rsidRPr="00044C19" w:rsidRDefault="00560D64" w:rsidP="00271CB0">
            <w:pPr>
              <w:jc w:val="center"/>
              <w:outlineLvl w:val="4"/>
              <w:rPr>
                <w:rFonts w:eastAsia="Times New Roman" w:cs="Open Sans"/>
                <w:sz w:val="18"/>
                <w:szCs w:val="18"/>
              </w:rPr>
            </w:pPr>
            <w:r>
              <w:rPr>
                <w:rFonts w:eastAsia="Times New Roman" w:cs="Open Sans"/>
                <w:sz w:val="18"/>
                <w:szCs w:val="18"/>
              </w:rPr>
              <w:t>16.0</w:t>
            </w:r>
          </w:p>
        </w:tc>
        <w:tc>
          <w:tcPr>
            <w:tcW w:w="2773" w:type="dxa"/>
            <w:shd w:val="clear" w:color="auto" w:fill="auto"/>
          </w:tcPr>
          <w:p w14:paraId="44AE9C7A" w14:textId="618F6581" w:rsidR="00271CB0" w:rsidRPr="00271CB0" w:rsidRDefault="00271CB0" w:rsidP="00271CB0">
            <w:pPr>
              <w:jc w:val="center"/>
              <w:outlineLvl w:val="4"/>
              <w:rPr>
                <w:rFonts w:eastAsia="Times New Roman" w:cs="Open Sans"/>
                <w:bCs/>
                <w:sz w:val="18"/>
                <w:szCs w:val="18"/>
              </w:rPr>
            </w:pPr>
            <w:r w:rsidRPr="00271CB0">
              <w:rPr>
                <w:sz w:val="18"/>
                <w:szCs w:val="18"/>
              </w:rPr>
              <w:t>28.0</w:t>
            </w:r>
          </w:p>
        </w:tc>
      </w:tr>
      <w:tr w:rsidR="00271CB0" w:rsidRPr="00044C19" w14:paraId="1469D2F3" w14:textId="77777777" w:rsidTr="00271CB0">
        <w:tc>
          <w:tcPr>
            <w:tcW w:w="2730" w:type="dxa"/>
            <w:shd w:val="clear" w:color="auto" w:fill="auto"/>
          </w:tcPr>
          <w:p w14:paraId="25A2841D" w14:textId="5CD02A71" w:rsidR="00271CB0" w:rsidRPr="00044C19" w:rsidRDefault="00271CB0" w:rsidP="00271CB0">
            <w:pPr>
              <w:jc w:val="both"/>
              <w:outlineLvl w:val="4"/>
              <w:rPr>
                <w:rFonts w:eastAsia="Calibri" w:cs="Open Sans"/>
                <w:bCs/>
                <w:sz w:val="18"/>
                <w:szCs w:val="18"/>
              </w:rPr>
            </w:pPr>
            <w:r>
              <w:rPr>
                <w:rFonts w:eastAsia="Calibri" w:cs="Open Sans"/>
                <w:bCs/>
                <w:sz w:val="18"/>
                <w:szCs w:val="18"/>
              </w:rPr>
              <w:t>2030</w:t>
            </w:r>
          </w:p>
        </w:tc>
        <w:tc>
          <w:tcPr>
            <w:tcW w:w="2773" w:type="dxa"/>
            <w:shd w:val="clear" w:color="auto" w:fill="auto"/>
          </w:tcPr>
          <w:p w14:paraId="66B3198F" w14:textId="3604E13A" w:rsidR="00271CB0" w:rsidRPr="00044C19" w:rsidRDefault="00560D64" w:rsidP="00271CB0">
            <w:pPr>
              <w:jc w:val="center"/>
              <w:outlineLvl w:val="4"/>
              <w:rPr>
                <w:rFonts w:eastAsia="Times New Roman" w:cs="Open Sans"/>
                <w:sz w:val="18"/>
                <w:szCs w:val="18"/>
              </w:rPr>
            </w:pPr>
            <w:r>
              <w:rPr>
                <w:rFonts w:eastAsia="Times New Roman" w:cs="Open Sans"/>
                <w:sz w:val="18"/>
                <w:szCs w:val="18"/>
              </w:rPr>
              <w:t>15.9</w:t>
            </w:r>
          </w:p>
        </w:tc>
        <w:tc>
          <w:tcPr>
            <w:tcW w:w="2773" w:type="dxa"/>
            <w:shd w:val="clear" w:color="auto" w:fill="auto"/>
          </w:tcPr>
          <w:p w14:paraId="7FE878A8" w14:textId="5535F295" w:rsidR="00271CB0" w:rsidRPr="00271CB0" w:rsidRDefault="00271CB0" w:rsidP="00271CB0">
            <w:pPr>
              <w:jc w:val="center"/>
              <w:outlineLvl w:val="4"/>
              <w:rPr>
                <w:rFonts w:eastAsia="Times New Roman" w:cs="Open Sans"/>
                <w:bCs/>
                <w:sz w:val="18"/>
                <w:szCs w:val="18"/>
              </w:rPr>
            </w:pPr>
            <w:r w:rsidRPr="00271CB0">
              <w:rPr>
                <w:sz w:val="18"/>
                <w:szCs w:val="18"/>
              </w:rPr>
              <w:t>28.3</w:t>
            </w:r>
          </w:p>
        </w:tc>
      </w:tr>
      <w:tr w:rsidR="00271CB0" w:rsidRPr="00044C19" w14:paraId="021C0D9E" w14:textId="77777777" w:rsidTr="00271CB0">
        <w:tc>
          <w:tcPr>
            <w:tcW w:w="2730" w:type="dxa"/>
            <w:shd w:val="clear" w:color="auto" w:fill="auto"/>
          </w:tcPr>
          <w:p w14:paraId="3ACE68F4" w14:textId="155DF8A6" w:rsidR="00271CB0" w:rsidRPr="00044C19" w:rsidRDefault="00271CB0" w:rsidP="00271CB0">
            <w:pPr>
              <w:jc w:val="both"/>
              <w:outlineLvl w:val="4"/>
              <w:rPr>
                <w:rFonts w:eastAsia="Calibri" w:cs="Open Sans"/>
                <w:bCs/>
                <w:sz w:val="18"/>
                <w:szCs w:val="18"/>
              </w:rPr>
            </w:pPr>
            <w:r>
              <w:rPr>
                <w:rFonts w:eastAsia="Calibri" w:cs="Open Sans"/>
                <w:bCs/>
                <w:sz w:val="18"/>
                <w:szCs w:val="18"/>
              </w:rPr>
              <w:t>2031</w:t>
            </w:r>
          </w:p>
        </w:tc>
        <w:tc>
          <w:tcPr>
            <w:tcW w:w="2773" w:type="dxa"/>
            <w:shd w:val="clear" w:color="auto" w:fill="auto"/>
          </w:tcPr>
          <w:p w14:paraId="1B9D26B8" w14:textId="7CE7CE3E" w:rsidR="00271CB0" w:rsidRPr="00044C19" w:rsidRDefault="00560D64" w:rsidP="00271CB0">
            <w:pPr>
              <w:jc w:val="center"/>
              <w:outlineLvl w:val="4"/>
              <w:rPr>
                <w:rFonts w:eastAsia="Times New Roman" w:cs="Open Sans"/>
                <w:sz w:val="18"/>
                <w:szCs w:val="18"/>
              </w:rPr>
            </w:pPr>
            <w:r>
              <w:rPr>
                <w:rFonts w:eastAsia="Times New Roman" w:cs="Open Sans"/>
                <w:sz w:val="18"/>
                <w:szCs w:val="18"/>
              </w:rPr>
              <w:t>15.9</w:t>
            </w:r>
          </w:p>
        </w:tc>
        <w:tc>
          <w:tcPr>
            <w:tcW w:w="2773" w:type="dxa"/>
            <w:shd w:val="clear" w:color="auto" w:fill="auto"/>
          </w:tcPr>
          <w:p w14:paraId="76E31EA8" w14:textId="11A82D7A" w:rsidR="00271CB0" w:rsidRPr="00271CB0" w:rsidRDefault="00271CB0" w:rsidP="00271CB0">
            <w:pPr>
              <w:jc w:val="center"/>
              <w:outlineLvl w:val="4"/>
              <w:rPr>
                <w:rFonts w:eastAsia="Times New Roman" w:cs="Open Sans"/>
                <w:bCs/>
                <w:sz w:val="18"/>
                <w:szCs w:val="18"/>
              </w:rPr>
            </w:pPr>
            <w:r w:rsidRPr="00271CB0">
              <w:rPr>
                <w:sz w:val="18"/>
                <w:szCs w:val="18"/>
              </w:rPr>
              <w:t>28.6</w:t>
            </w:r>
          </w:p>
        </w:tc>
      </w:tr>
    </w:tbl>
    <w:p w14:paraId="4F5F44CE" w14:textId="642036E3" w:rsidR="001A784C" w:rsidRPr="00044C19" w:rsidRDefault="001A784C" w:rsidP="001A784C">
      <w:pPr>
        <w:spacing w:after="240" w:line="360" w:lineRule="auto"/>
        <w:ind w:left="720"/>
        <w:jc w:val="both"/>
        <w:rPr>
          <w:rFonts w:eastAsia="Calibri" w:cs="Open Sans"/>
          <w:sz w:val="16"/>
          <w:szCs w:val="16"/>
        </w:rPr>
      </w:pPr>
      <w:r w:rsidRPr="00044C19">
        <w:rPr>
          <w:rFonts w:eastAsia="Calibri" w:cs="Open Sans"/>
          <w:sz w:val="16"/>
          <w:szCs w:val="16"/>
        </w:rPr>
        <w:t>Source: Experian Retail Planner Briefing Notes 1</w:t>
      </w:r>
      <w:r>
        <w:rPr>
          <w:rFonts w:eastAsia="Calibri" w:cs="Open Sans"/>
          <w:sz w:val="16"/>
          <w:szCs w:val="16"/>
        </w:rPr>
        <w:t>1</w:t>
      </w:r>
      <w:r w:rsidRPr="00044C19">
        <w:rPr>
          <w:rFonts w:eastAsia="Calibri" w:cs="Open Sans"/>
          <w:sz w:val="16"/>
          <w:szCs w:val="16"/>
        </w:rPr>
        <w:t xml:space="preserve"> and 1</w:t>
      </w:r>
      <w:r>
        <w:rPr>
          <w:rFonts w:eastAsia="Calibri" w:cs="Open Sans"/>
          <w:sz w:val="16"/>
          <w:szCs w:val="16"/>
        </w:rPr>
        <w:t>9</w:t>
      </w:r>
      <w:r w:rsidRPr="00044C19">
        <w:rPr>
          <w:rFonts w:eastAsia="Calibri" w:cs="Open Sans"/>
          <w:sz w:val="16"/>
          <w:szCs w:val="16"/>
        </w:rPr>
        <w:t>.</w:t>
      </w:r>
    </w:p>
    <w:p w14:paraId="60105E55" w14:textId="4936B940" w:rsidR="00E12887" w:rsidRPr="00560D64" w:rsidRDefault="00E12887" w:rsidP="00744AC2">
      <w:pPr>
        <w:pStyle w:val="Level1"/>
        <w:numPr>
          <w:ilvl w:val="0"/>
          <w:numId w:val="0"/>
        </w:numPr>
        <w:ind w:left="720"/>
        <w:rPr>
          <w:highlight w:val="yellow"/>
        </w:rPr>
      </w:pPr>
    </w:p>
    <w:p w14:paraId="0D579C48" w14:textId="0470C994" w:rsidR="00E12887" w:rsidRDefault="00E12887">
      <w:pPr>
        <w:spacing w:after="160" w:line="259" w:lineRule="auto"/>
        <w:rPr>
          <w:rFonts w:ascii="Open Sans SemiBold" w:eastAsia="Open Sans" w:hAnsi="Open Sans SemiBold" w:cs="Times New Roman"/>
          <w:b/>
          <w:color w:val="000000" w:themeColor="text1"/>
          <w:sz w:val="32"/>
        </w:rPr>
      </w:pPr>
      <w:r>
        <w:br w:type="page"/>
      </w:r>
    </w:p>
    <w:p w14:paraId="75F1F5AC" w14:textId="01C93B7C" w:rsidR="00E12887" w:rsidRDefault="00E12887" w:rsidP="00E12887">
      <w:pPr>
        <w:pStyle w:val="ListHeading1"/>
      </w:pPr>
      <w:bookmarkStart w:id="6" w:name="_Toc116897147"/>
      <w:r>
        <w:lastRenderedPageBreak/>
        <w:t>Town Centre Health Checks</w:t>
      </w:r>
      <w:bookmarkEnd w:id="6"/>
    </w:p>
    <w:p w14:paraId="1FFBA372" w14:textId="48DC36D5" w:rsidR="00E12887" w:rsidRPr="00560D64" w:rsidRDefault="00560D64" w:rsidP="00720441">
      <w:pPr>
        <w:pStyle w:val="Level1"/>
        <w:numPr>
          <w:ilvl w:val="0"/>
          <w:numId w:val="0"/>
        </w:numPr>
        <w:ind w:left="720"/>
        <w:jc w:val="both"/>
        <w:rPr>
          <w:rStyle w:val="Emphasis"/>
        </w:rPr>
      </w:pPr>
      <w:r>
        <w:rPr>
          <w:rStyle w:val="Emphasis"/>
        </w:rPr>
        <w:t>Introduction</w:t>
      </w:r>
    </w:p>
    <w:p w14:paraId="3879032C" w14:textId="124EA0A3" w:rsidR="00E12887" w:rsidRDefault="0087399F" w:rsidP="00720441">
      <w:pPr>
        <w:pStyle w:val="Level1"/>
        <w:jc w:val="both"/>
      </w:pPr>
      <w:proofErr w:type="gramStart"/>
      <w:r>
        <w:t>In order to</w:t>
      </w:r>
      <w:proofErr w:type="gramEnd"/>
      <w:r>
        <w:t xml:space="preserve"> provide an updated set of baseline evidence base information regarding town centre health issues, this Study has gathered and analysed key information</w:t>
      </w:r>
      <w:r w:rsidR="00720441">
        <w:t xml:space="preserve"> in relation to two key areas: land use profile and shopping patterns / visitation rate data.  This data has been gathered for the three main town centres and the three district centres in Torquay and Paignton.</w:t>
      </w:r>
    </w:p>
    <w:p w14:paraId="6D7559DD" w14:textId="08E43C0A" w:rsidR="00720441" w:rsidRPr="00A0531B" w:rsidRDefault="00720441" w:rsidP="00720441">
      <w:pPr>
        <w:pStyle w:val="Level1"/>
        <w:jc w:val="both"/>
      </w:pPr>
      <w:r>
        <w:t xml:space="preserve">In relation to land use data, we have, in line with previous studies, utilised TC’s regular retail monitor data for each of town and district centres. These surveys collect data for all land uses within the defined boundary of each centre and </w:t>
      </w:r>
      <w:r w:rsidR="005A219C">
        <w:t xml:space="preserve">we have classified this data into the standard convenience, comparison, service, other </w:t>
      </w:r>
      <w:proofErr w:type="gramStart"/>
      <w:r w:rsidR="005A219C">
        <w:t>retail</w:t>
      </w:r>
      <w:proofErr w:type="gramEnd"/>
      <w:r w:rsidR="005A219C">
        <w:t xml:space="preserve"> and vacant categories using the standard Experian GOAD ‘centre report’ classification.</w:t>
      </w:r>
      <w:r w:rsidR="00A0531B">
        <w:t xml:space="preserve">  Due to the way in which the data is collected and classified</w:t>
      </w:r>
      <w:r w:rsidR="008C4C26">
        <w:t>,</w:t>
      </w:r>
      <w:r w:rsidR="00A0531B">
        <w:t xml:space="preserve"> a comparison over time can be </w:t>
      </w:r>
      <w:r w:rsidR="00A0531B" w:rsidRPr="00A0531B">
        <w:t>problematic and therefore we just provide the latest 2021 data collected by TC.</w:t>
      </w:r>
    </w:p>
    <w:p w14:paraId="11CC68F8" w14:textId="40980DC8" w:rsidR="005A219C" w:rsidRPr="00C65770" w:rsidRDefault="00A0531B" w:rsidP="00720441">
      <w:pPr>
        <w:pStyle w:val="Level1"/>
        <w:jc w:val="both"/>
      </w:pPr>
      <w:proofErr w:type="gramStart"/>
      <w:r w:rsidRPr="00A0531B">
        <w:t>In order to</w:t>
      </w:r>
      <w:proofErr w:type="gramEnd"/>
      <w:r w:rsidRPr="00A0531B">
        <w:t xml:space="preserve"> </w:t>
      </w:r>
      <w:r w:rsidR="002444A1">
        <w:t xml:space="preserve">provide a comparison over time we have therefore also obtained the latest land use survey data for each of the centres (apart from The Willows) from Experian GOAD.  GOAD data for the three town centres was also contained </w:t>
      </w:r>
      <w:r w:rsidR="002444A1" w:rsidRPr="00C65770">
        <w:t xml:space="preserve">in </w:t>
      </w:r>
      <w:r w:rsidR="000B0B52" w:rsidRPr="00C65770">
        <w:t>the previous 2013 study.</w:t>
      </w:r>
    </w:p>
    <w:p w14:paraId="6DE48EA2" w14:textId="29F6EF0C" w:rsidR="00C65770" w:rsidRPr="00C65770" w:rsidRDefault="005A219C" w:rsidP="00720441">
      <w:pPr>
        <w:pStyle w:val="Level1"/>
        <w:jc w:val="both"/>
      </w:pPr>
      <w:r w:rsidRPr="00C65770">
        <w:t xml:space="preserve">In relation to shopping patterns and visitation rate data, we have utilised the results of the latest household survey data, collected </w:t>
      </w:r>
      <w:r w:rsidR="00C65770" w:rsidRPr="00C65770">
        <w:t>between January and February 2022</w:t>
      </w:r>
      <w:r w:rsidRPr="00C65770">
        <w:t>.</w:t>
      </w:r>
      <w:r w:rsidR="00AF7DE6" w:rsidRPr="00C65770">
        <w:t xml:space="preserve">  </w:t>
      </w:r>
      <w:r w:rsidR="00C65770">
        <w:t xml:space="preserve">The survey was commissioned specifically for this Study and covered a wide area across the Torbay administrative area and into the neighbouring authorities of South Hams and Teignbridge.  The survey area has been split into seven separate zones to coincide with </w:t>
      </w:r>
      <w:r w:rsidR="00611171">
        <w:t>the zones used in previous household surveys, with Zones 3, 4 and 5 covering the three main settlements in Torbay</w:t>
      </w:r>
      <w:r w:rsidR="00611171" w:rsidRPr="00417D55">
        <w:t xml:space="preserve">.  A plan showing the full extent of the household survey area, along with the constituent zones, is contained at Appendix </w:t>
      </w:r>
      <w:r w:rsidR="00417D55" w:rsidRPr="00417D55">
        <w:t>I</w:t>
      </w:r>
      <w:r w:rsidR="00611171" w:rsidRPr="00417D55">
        <w:t xml:space="preserve"> to this</w:t>
      </w:r>
      <w:r w:rsidR="00611171">
        <w:t xml:space="preserve"> document.</w:t>
      </w:r>
    </w:p>
    <w:p w14:paraId="5C8BDFF0" w14:textId="62D34EF6" w:rsidR="00C53D16" w:rsidRDefault="00C53D16" w:rsidP="00720441">
      <w:pPr>
        <w:pStyle w:val="Level1"/>
        <w:jc w:val="both"/>
      </w:pPr>
      <w:r>
        <w:t xml:space="preserve">The use of the 2022 household survey in the context of </w:t>
      </w:r>
      <w:r w:rsidR="00AA4EDA">
        <w:t xml:space="preserve">the ‘town centre’ health check reviews is important as it enables the Study to build up a picture of the catchment area of each centre, its popularity for different types of shopping (plus F&amp;B visits) and its relative market penetration against other centres and out of centre stores. </w:t>
      </w:r>
    </w:p>
    <w:p w14:paraId="324F0B57" w14:textId="0E11D102" w:rsidR="005A219C" w:rsidRDefault="00AF7DE6" w:rsidP="00720441">
      <w:pPr>
        <w:pStyle w:val="Level1"/>
        <w:jc w:val="both"/>
      </w:pPr>
      <w:r>
        <w:t>In relation to shopping patterns, the following data has been analysed</w:t>
      </w:r>
      <w:r w:rsidR="00611171">
        <w:t xml:space="preserve"> for the health check analysis</w:t>
      </w:r>
      <w:r>
        <w:t>:</w:t>
      </w:r>
    </w:p>
    <w:p w14:paraId="21EED381" w14:textId="45F92C0E" w:rsidR="00AF7DE6" w:rsidRDefault="00FB11DF" w:rsidP="00AF7DE6">
      <w:pPr>
        <w:pStyle w:val="ListBullet"/>
      </w:pPr>
      <w:r w:rsidRPr="0087750D">
        <w:rPr>
          <w:u w:val="single"/>
        </w:rPr>
        <w:t>Convenience goods shopping</w:t>
      </w:r>
      <w:r>
        <w:t>.</w:t>
      </w:r>
      <w:r w:rsidR="000B0B52">
        <w:t xml:space="preserve">  </w:t>
      </w:r>
      <w:r w:rsidR="00EE230A">
        <w:t xml:space="preserve">Data has been gathered </w:t>
      </w:r>
      <w:r w:rsidR="00C65770">
        <w:t xml:space="preserve">in relation to </w:t>
      </w:r>
      <w:r w:rsidR="00611171">
        <w:t xml:space="preserve">main and top-up food shopping trips.  </w:t>
      </w:r>
      <w:proofErr w:type="gramStart"/>
      <w:r w:rsidR="00611171">
        <w:t>In order to</w:t>
      </w:r>
      <w:proofErr w:type="gramEnd"/>
      <w:r w:rsidR="00611171">
        <w:t xml:space="preserve"> build up a comprehensive picture of </w:t>
      </w:r>
      <w:r w:rsidR="00C53D16">
        <w:t>food shopping trips across Torbay, the 2022 survey has asked survey respondents for first and second choice main and top-up food shopping destinations.</w:t>
      </w:r>
    </w:p>
    <w:p w14:paraId="031BFD64" w14:textId="77777777" w:rsidR="00AA4EDA" w:rsidRDefault="00AA4EDA" w:rsidP="00AA4EDA">
      <w:pPr>
        <w:pStyle w:val="ListBullet"/>
        <w:numPr>
          <w:ilvl w:val="0"/>
          <w:numId w:val="0"/>
        </w:numPr>
        <w:ind w:left="1077"/>
      </w:pPr>
    </w:p>
    <w:p w14:paraId="439DA0A6" w14:textId="5A5F74A3" w:rsidR="00FB11DF" w:rsidRDefault="00FB11DF" w:rsidP="00AF7DE6">
      <w:pPr>
        <w:pStyle w:val="ListBullet"/>
      </w:pPr>
      <w:r w:rsidRPr="0087750D">
        <w:rPr>
          <w:u w:val="single"/>
        </w:rPr>
        <w:t>Comparison goods shopping</w:t>
      </w:r>
      <w:r>
        <w:t>.</w:t>
      </w:r>
      <w:r w:rsidR="00AA4EDA">
        <w:t xml:space="preserve">  The 2022 survey </w:t>
      </w:r>
      <w:r w:rsidR="00A0297F">
        <w:t>has gather</w:t>
      </w:r>
      <w:r w:rsidR="0087750D">
        <w:t>ed</w:t>
      </w:r>
      <w:r w:rsidR="00A0297F">
        <w:t xml:space="preserve"> data in relation to different types of comparison goods shopping, including: clothing/footwear; furniture/floorcoverings/household textiles; DIY goods, domestic appliances; smaller electrical goods; health and beauty goods; recreational goods.  In line with the approach taken in relation to convenience goods shopping, the 2022 survey has gathered data in relation to first and second choice destinations for each of the above comparison goods categories.</w:t>
      </w:r>
    </w:p>
    <w:p w14:paraId="592B1AB1" w14:textId="081FF571" w:rsidR="00AF7DE6" w:rsidRDefault="00334FD5" w:rsidP="00720441">
      <w:pPr>
        <w:pStyle w:val="Level1"/>
        <w:jc w:val="both"/>
      </w:pPr>
      <w:r>
        <w:t xml:space="preserve">In addition to shopping, the </w:t>
      </w:r>
      <w:r w:rsidR="00611171">
        <w:t xml:space="preserve">2022 household </w:t>
      </w:r>
      <w:r>
        <w:t>survey also gathered data on the usage of food and beverage facilities</w:t>
      </w:r>
      <w:r w:rsidR="0087750D">
        <w:t xml:space="preserve">, which has contributed to both our assessment of town centre health </w:t>
      </w:r>
      <w:proofErr w:type="gramStart"/>
      <w:r w:rsidR="0087750D">
        <w:t>and also</w:t>
      </w:r>
      <w:proofErr w:type="gramEnd"/>
      <w:r w:rsidR="0087750D">
        <w:t xml:space="preserve"> </w:t>
      </w:r>
      <w:r w:rsidR="0047606E">
        <w:t>an assessment of quantitative capacity</w:t>
      </w:r>
      <w:r>
        <w:t>.</w:t>
      </w:r>
    </w:p>
    <w:p w14:paraId="2426D2F6" w14:textId="42F3278F" w:rsidR="00334FD5" w:rsidRDefault="00334FD5" w:rsidP="00720441">
      <w:pPr>
        <w:pStyle w:val="Level1"/>
        <w:jc w:val="both"/>
      </w:pPr>
      <w:r>
        <w:lastRenderedPageBreak/>
        <w:t>Finally</w:t>
      </w:r>
      <w:r w:rsidRPr="00C65770">
        <w:t xml:space="preserve">, the </w:t>
      </w:r>
      <w:r w:rsidR="00C65770" w:rsidRPr="00C65770">
        <w:t>2022</w:t>
      </w:r>
      <w:r w:rsidRPr="00C65770">
        <w:t xml:space="preserve"> household survey</w:t>
      </w:r>
      <w:r>
        <w:t xml:space="preserve"> also included a series of questions </w:t>
      </w:r>
      <w:r w:rsidR="00CB6071">
        <w:t>regarding the usage of the three main town centres in Torbay</w:t>
      </w:r>
      <w:r w:rsidR="00CB6071">
        <w:rPr>
          <w:rStyle w:val="FootnoteReference"/>
        </w:rPr>
        <w:footnoteReference w:id="11"/>
      </w:r>
      <w:r w:rsidR="00CB6071">
        <w:t>.  The information which has been gathered has covered the following areas:</w:t>
      </w:r>
    </w:p>
    <w:p w14:paraId="7ABCFF19" w14:textId="44F901D0" w:rsidR="00CB6071" w:rsidRDefault="00CB6071" w:rsidP="00CB6071">
      <w:pPr>
        <w:pStyle w:val="ListBullet"/>
      </w:pPr>
      <w:r>
        <w:t>frequency of visits to each centre</w:t>
      </w:r>
    </w:p>
    <w:p w14:paraId="1FC76C98" w14:textId="1BB7BD35" w:rsidR="00910180" w:rsidRDefault="00910180" w:rsidP="00CB6071">
      <w:pPr>
        <w:pStyle w:val="ListBullet"/>
      </w:pPr>
      <w:r>
        <w:t xml:space="preserve">changes to visitation rates </w:t>
      </w:r>
      <w:proofErr w:type="gramStart"/>
      <w:r>
        <w:t>as a consequence of</w:t>
      </w:r>
      <w:proofErr w:type="gramEnd"/>
      <w:r>
        <w:t xml:space="preserve"> the Covid 19 pandemic</w:t>
      </w:r>
    </w:p>
    <w:p w14:paraId="7225F8DA" w14:textId="77777777" w:rsidR="00910180" w:rsidRDefault="00910180" w:rsidP="00CB6071">
      <w:pPr>
        <w:pStyle w:val="ListBullet"/>
      </w:pPr>
      <w:r>
        <w:t>main reasons for visiting each centre</w:t>
      </w:r>
    </w:p>
    <w:p w14:paraId="72E247E2" w14:textId="1D48E467" w:rsidR="00910180" w:rsidRDefault="00910180" w:rsidP="00CB6071">
      <w:pPr>
        <w:pStyle w:val="ListBullet"/>
      </w:pPr>
      <w:r>
        <w:t>usual time of day of visiting the centre</w:t>
      </w:r>
    </w:p>
    <w:p w14:paraId="106F13F8" w14:textId="24B946A5" w:rsidR="00910180" w:rsidRDefault="00910180" w:rsidP="00CB6071">
      <w:pPr>
        <w:pStyle w:val="ListBullet"/>
      </w:pPr>
      <w:r w:rsidRPr="00D064CE">
        <w:t>mode</w:t>
      </w:r>
      <w:r w:rsidRPr="00B44051">
        <w:rPr>
          <w:strike/>
        </w:rPr>
        <w:t>l</w:t>
      </w:r>
      <w:r w:rsidRPr="00D064CE">
        <w:t xml:space="preserve"> of travel to</w:t>
      </w:r>
      <w:r>
        <w:t xml:space="preserve"> the centre</w:t>
      </w:r>
    </w:p>
    <w:p w14:paraId="72D7EF1F" w14:textId="63C766DB" w:rsidR="00910180" w:rsidRDefault="00910180" w:rsidP="00CB6071">
      <w:pPr>
        <w:pStyle w:val="ListBullet"/>
      </w:pPr>
      <w:r>
        <w:t>likes, dislikes and suggested improvements for each centre</w:t>
      </w:r>
    </w:p>
    <w:p w14:paraId="73C1BA4C" w14:textId="2F13DD9E" w:rsidR="00910180" w:rsidRDefault="00910180" w:rsidP="00CB6071">
      <w:pPr>
        <w:pStyle w:val="ListBullet"/>
      </w:pPr>
      <w:r>
        <w:t>if the closest town centre is not visited</w:t>
      </w:r>
      <w:r>
        <w:rPr>
          <w:rStyle w:val="FootnoteReference"/>
        </w:rPr>
        <w:footnoteReference w:id="12"/>
      </w:r>
      <w:r w:rsidR="00270CB6">
        <w:t>, which alternate centre is used (and the reasons why)</w:t>
      </w:r>
    </w:p>
    <w:p w14:paraId="2C7AA6FE" w14:textId="06A58977" w:rsidR="00CB6071" w:rsidRDefault="00270CB6" w:rsidP="00720441">
      <w:pPr>
        <w:pStyle w:val="Level1"/>
        <w:jc w:val="both"/>
      </w:pPr>
      <w:r>
        <w:t xml:space="preserve">We now turn to </w:t>
      </w:r>
      <w:r w:rsidR="00643176">
        <w:t>the key evidence base data for each centre in turn.</w:t>
      </w:r>
    </w:p>
    <w:p w14:paraId="317DD6FA" w14:textId="6705D6EA" w:rsidR="00560D64" w:rsidRPr="00560D64" w:rsidRDefault="00560D64" w:rsidP="00720441">
      <w:pPr>
        <w:pStyle w:val="Level1"/>
        <w:numPr>
          <w:ilvl w:val="0"/>
          <w:numId w:val="0"/>
        </w:numPr>
        <w:ind w:left="720"/>
        <w:jc w:val="both"/>
        <w:rPr>
          <w:rStyle w:val="Emphasis"/>
        </w:rPr>
      </w:pPr>
      <w:r>
        <w:rPr>
          <w:rStyle w:val="Emphasis"/>
        </w:rPr>
        <w:t>Torquay</w:t>
      </w:r>
      <w:r w:rsidR="00643176">
        <w:rPr>
          <w:rStyle w:val="Emphasis"/>
        </w:rPr>
        <w:t xml:space="preserve"> Town Centre</w:t>
      </w:r>
    </w:p>
    <w:p w14:paraId="0A4BF139" w14:textId="65E9ABA6" w:rsidR="00E12887" w:rsidRDefault="00DE1D77" w:rsidP="00720441">
      <w:pPr>
        <w:pStyle w:val="Level1"/>
        <w:jc w:val="both"/>
      </w:pPr>
      <w:r>
        <w:t>With</w:t>
      </w:r>
      <w:r w:rsidR="00C14CD0">
        <w:t>in</w:t>
      </w:r>
      <w:r>
        <w:t xml:space="preserve"> the adopted Local Plan policies map</w:t>
      </w:r>
      <w:r w:rsidR="00107030">
        <w:rPr>
          <w:rStyle w:val="FootnoteReference"/>
        </w:rPr>
        <w:footnoteReference w:id="13"/>
      </w:r>
      <w:r>
        <w:t>, Torbay town centre has four notable designations: the town centre boundary, the primary shopping area boundary, along with separate primary and secondary shopping frontages.</w:t>
      </w:r>
      <w:r w:rsidR="00CE0E94">
        <w:t xml:space="preserve">  These are described in turn </w:t>
      </w:r>
      <w:proofErr w:type="gramStart"/>
      <w:r w:rsidR="00CE0E94">
        <w:t xml:space="preserve">below, </w:t>
      </w:r>
      <w:r w:rsidR="00D273F2">
        <w:t>and</w:t>
      </w:r>
      <w:proofErr w:type="gramEnd"/>
      <w:r w:rsidR="00D273F2">
        <w:t xml:space="preserve"> shown on plans contained in appendices at the rear of this document.</w:t>
      </w:r>
    </w:p>
    <w:p w14:paraId="1E55AAF4" w14:textId="77777777" w:rsidR="00F76FE6" w:rsidRDefault="00F76FE6" w:rsidP="00720441">
      <w:pPr>
        <w:pStyle w:val="Level1"/>
        <w:jc w:val="both"/>
      </w:pPr>
      <w:r>
        <w:t>The boundary / frontage definitions in Torquay town centre are as follows:</w:t>
      </w:r>
    </w:p>
    <w:p w14:paraId="796A8ACD" w14:textId="0D7442C9" w:rsidR="00F76FE6" w:rsidRDefault="00641C6A" w:rsidP="00F76FE6">
      <w:pPr>
        <w:pStyle w:val="ListBullet"/>
      </w:pPr>
      <w:r w:rsidRPr="00A96402">
        <w:rPr>
          <w:u w:val="single"/>
        </w:rPr>
        <w:t>Town centre</w:t>
      </w:r>
      <w:r w:rsidR="00285131">
        <w:rPr>
          <w:rStyle w:val="FootnoteReference"/>
          <w:u w:val="single"/>
        </w:rPr>
        <w:footnoteReference w:id="14"/>
      </w:r>
      <w:r>
        <w:t>.  The town centre boundary stretches from the junction of Union Street and Trematon Avenue in the north (including the Town Hall and adjacent car park) southwards along Union Street</w:t>
      </w:r>
      <w:r>
        <w:rPr>
          <w:rStyle w:val="FootnoteReference"/>
        </w:rPr>
        <w:footnoteReference w:id="15"/>
      </w:r>
      <w:r>
        <w:t xml:space="preserve"> and Fleet Street towards the harbour area, encompassing Victoria Parade, Beacon </w:t>
      </w:r>
      <w:proofErr w:type="gramStart"/>
      <w:r>
        <w:t>Hull</w:t>
      </w:r>
      <w:proofErr w:type="gramEnd"/>
      <w:r>
        <w:t xml:space="preserve"> and The Terrace around its southern edge.</w:t>
      </w:r>
    </w:p>
    <w:p w14:paraId="1C0AC464" w14:textId="4E417832" w:rsidR="00F76FE6" w:rsidRDefault="00641C6A" w:rsidP="00F76FE6">
      <w:pPr>
        <w:pStyle w:val="ListBullet"/>
      </w:pPr>
      <w:r w:rsidRPr="00A96402">
        <w:rPr>
          <w:u w:val="single"/>
        </w:rPr>
        <w:t>Primary shopping area (‘PSA’)</w:t>
      </w:r>
      <w:r w:rsidR="00285131">
        <w:rPr>
          <w:rStyle w:val="FootnoteReference"/>
          <w:u w:val="single"/>
        </w:rPr>
        <w:footnoteReference w:id="16"/>
      </w:r>
      <w:r w:rsidRPr="00A96402">
        <w:rPr>
          <w:u w:val="single"/>
        </w:rPr>
        <w:t>.</w:t>
      </w:r>
      <w:r>
        <w:t xml:space="preserve">  The defined PSA covers a much smaller area than the town centre boundary, focusing on either side of Union Street (including the Union Square shopping centre) plus the Tesco unit on the northern edge of Fleet Street.</w:t>
      </w:r>
    </w:p>
    <w:p w14:paraId="23282D44" w14:textId="6E6912E5" w:rsidR="006A1972" w:rsidRPr="00285131" w:rsidRDefault="00641C6A" w:rsidP="00B44051">
      <w:pPr>
        <w:pStyle w:val="ListBullet"/>
      </w:pPr>
      <w:r w:rsidRPr="00285131">
        <w:rPr>
          <w:u w:val="single"/>
        </w:rPr>
        <w:t>Primary shopping frontage</w:t>
      </w:r>
      <w:r w:rsidR="00285131">
        <w:rPr>
          <w:rStyle w:val="FootnoteReference"/>
          <w:u w:val="single"/>
        </w:rPr>
        <w:footnoteReference w:id="17"/>
      </w:r>
      <w:r w:rsidRPr="00285131">
        <w:t xml:space="preserve">.  </w:t>
      </w:r>
      <w:r w:rsidR="00302D09" w:rsidRPr="00285131">
        <w:t>This designation covers the frontages of the same buildings included within the PSA, along with several units on The Strand opposite the harbour area.</w:t>
      </w:r>
    </w:p>
    <w:p w14:paraId="38367625" w14:textId="79084074" w:rsidR="00A96402" w:rsidRPr="00285131" w:rsidRDefault="00302D09" w:rsidP="00B44051">
      <w:pPr>
        <w:pStyle w:val="ListBullet"/>
      </w:pPr>
      <w:r w:rsidRPr="00285131">
        <w:rPr>
          <w:u w:val="single"/>
        </w:rPr>
        <w:t>Secondary shopping frontage</w:t>
      </w:r>
      <w:r w:rsidR="00285131">
        <w:rPr>
          <w:rStyle w:val="FootnoteReference"/>
          <w:u w:val="single"/>
        </w:rPr>
        <w:footnoteReference w:id="18"/>
      </w:r>
      <w:r w:rsidRPr="00285131">
        <w:t xml:space="preserve">.  Including building frontages along Union Street (up the junction with Castle Circus), Pimlico, Lower Union Lane, Fleet Street, Cary Parade, Vaughan Parade, the western end of </w:t>
      </w:r>
      <w:proofErr w:type="spellStart"/>
      <w:r w:rsidRPr="00285131">
        <w:t>Torwood</w:t>
      </w:r>
      <w:proofErr w:type="spellEnd"/>
      <w:r w:rsidRPr="00285131">
        <w:t xml:space="preserve"> Street and </w:t>
      </w:r>
      <w:r w:rsidR="004E511E" w:rsidRPr="00285131">
        <w:t>Victoria</w:t>
      </w:r>
      <w:r w:rsidRPr="00285131">
        <w:t xml:space="preserve"> Parade</w:t>
      </w:r>
      <w:r w:rsidR="00A96402" w:rsidRPr="00285131">
        <w:t>.</w:t>
      </w:r>
    </w:p>
    <w:p w14:paraId="28A18FA2" w14:textId="4EC72018" w:rsidR="00D273F2" w:rsidRDefault="00B75C59" w:rsidP="00720441">
      <w:pPr>
        <w:pStyle w:val="Level1"/>
        <w:jc w:val="both"/>
      </w:pPr>
      <w:r>
        <w:t>With regards to the land use profile of the town centre, the results of the 2021 TC Retail Monitor research are contained in Table 4.1 below.</w:t>
      </w:r>
      <w:r w:rsidR="000E06CC">
        <w:t xml:space="preserve">  As discussed above, the raw TC land use data has been classified into convenience, comparison, service, other and vacant categories using Experian GOAD’s ‘centre report’ definitions which means that </w:t>
      </w:r>
      <w:r w:rsidR="008A032E">
        <w:t xml:space="preserve">not </w:t>
      </w:r>
      <w:proofErr w:type="gramStart"/>
      <w:r w:rsidR="000E06CC">
        <w:t>all of</w:t>
      </w:r>
      <w:proofErr w:type="gramEnd"/>
      <w:r w:rsidR="000E06CC">
        <w:t xml:space="preserve"> the land uses within the town centre boundary are included within the data below.</w:t>
      </w:r>
    </w:p>
    <w:p w14:paraId="7BD9EE8E" w14:textId="3D8EBBAB" w:rsidR="005646EB" w:rsidRDefault="005646EB" w:rsidP="005646EB">
      <w:pPr>
        <w:pStyle w:val="Level1"/>
        <w:numPr>
          <w:ilvl w:val="0"/>
          <w:numId w:val="0"/>
        </w:numPr>
        <w:ind w:left="720"/>
        <w:jc w:val="both"/>
      </w:pPr>
    </w:p>
    <w:p w14:paraId="0862E012" w14:textId="371328EA" w:rsidR="00B75C59" w:rsidRPr="00B75C59" w:rsidRDefault="00B75C59" w:rsidP="008A032E">
      <w:pPr>
        <w:pStyle w:val="Level1"/>
        <w:numPr>
          <w:ilvl w:val="0"/>
          <w:numId w:val="0"/>
        </w:numPr>
        <w:spacing w:after="120" w:line="240" w:lineRule="auto"/>
        <w:ind w:firstLine="720"/>
        <w:jc w:val="both"/>
        <w:rPr>
          <w:rStyle w:val="Emphasis"/>
          <w:sz w:val="18"/>
          <w:szCs w:val="18"/>
        </w:rPr>
      </w:pPr>
      <w:bookmarkStart w:id="7" w:name="_Hlk111632616"/>
      <w:r>
        <w:rPr>
          <w:rStyle w:val="Emphasis"/>
          <w:sz w:val="18"/>
          <w:szCs w:val="18"/>
        </w:rPr>
        <w:lastRenderedPageBreak/>
        <w:t xml:space="preserve">Table 4.1: Torquay town centre land use profile – Torbay Council </w:t>
      </w:r>
      <w:r w:rsidR="00B529EC">
        <w:rPr>
          <w:rStyle w:val="Emphasis"/>
          <w:sz w:val="18"/>
          <w:szCs w:val="18"/>
        </w:rPr>
        <w:t xml:space="preserve">2021 </w:t>
      </w:r>
      <w:r>
        <w:rPr>
          <w:rStyle w:val="Emphasis"/>
          <w:sz w:val="18"/>
          <w:szCs w:val="18"/>
        </w:rPr>
        <w:t>Retail Monitor Data</w:t>
      </w:r>
    </w:p>
    <w:tbl>
      <w:tblPr>
        <w:tblStyle w:val="CustomTable2"/>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501"/>
        <w:gridCol w:w="2268"/>
      </w:tblGrid>
      <w:tr w:rsidR="00B75C59" w:rsidRPr="00B75C59" w14:paraId="60AB988F" w14:textId="77777777" w:rsidTr="00B52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E8E9E7" w:themeFill="background2" w:themeFillTint="66"/>
          </w:tcPr>
          <w:p w14:paraId="1B51CAB1" w14:textId="4A7246A7" w:rsidR="00B75C59" w:rsidRPr="00B75C59" w:rsidRDefault="00B75C59" w:rsidP="00B75C59">
            <w:pPr>
              <w:pStyle w:val="Level1"/>
              <w:numPr>
                <w:ilvl w:val="0"/>
                <w:numId w:val="0"/>
              </w:numPr>
              <w:spacing w:before="0" w:after="0" w:line="240" w:lineRule="auto"/>
              <w:jc w:val="both"/>
              <w:rPr>
                <w:color w:val="auto"/>
                <w:sz w:val="18"/>
                <w:szCs w:val="18"/>
              </w:rPr>
            </w:pPr>
            <w:r w:rsidRPr="00B75C59">
              <w:rPr>
                <w:color w:val="auto"/>
                <w:sz w:val="18"/>
                <w:szCs w:val="18"/>
              </w:rPr>
              <w:t>Sector</w:t>
            </w:r>
          </w:p>
        </w:tc>
        <w:tc>
          <w:tcPr>
            <w:tcW w:w="2501" w:type="dxa"/>
            <w:shd w:val="clear" w:color="auto" w:fill="E8E9E7" w:themeFill="background2" w:themeFillTint="66"/>
          </w:tcPr>
          <w:p w14:paraId="2BD9A046" w14:textId="7E1108AE" w:rsidR="00B75C59" w:rsidRPr="00B75C59" w:rsidRDefault="00B75C59" w:rsidP="00B75C59">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B75C59">
              <w:rPr>
                <w:color w:val="auto"/>
                <w:sz w:val="18"/>
                <w:szCs w:val="18"/>
              </w:rPr>
              <w:t>No. of Units</w:t>
            </w:r>
          </w:p>
        </w:tc>
        <w:tc>
          <w:tcPr>
            <w:tcW w:w="2268" w:type="dxa"/>
            <w:shd w:val="clear" w:color="auto" w:fill="E8E9E7" w:themeFill="background2" w:themeFillTint="66"/>
          </w:tcPr>
          <w:p w14:paraId="56E66B34" w14:textId="443129AB" w:rsidR="00B75C59" w:rsidRPr="00B75C59" w:rsidRDefault="00B75C59" w:rsidP="00B75C59">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B75C59">
              <w:rPr>
                <w:color w:val="auto"/>
                <w:sz w:val="18"/>
                <w:szCs w:val="18"/>
              </w:rPr>
              <w:t xml:space="preserve">% </w:t>
            </w:r>
            <w:proofErr w:type="gramStart"/>
            <w:r w:rsidRPr="00B75C59">
              <w:rPr>
                <w:color w:val="auto"/>
                <w:sz w:val="18"/>
                <w:szCs w:val="18"/>
              </w:rPr>
              <w:t>of</w:t>
            </w:r>
            <w:proofErr w:type="gramEnd"/>
            <w:r w:rsidRPr="00B75C59">
              <w:rPr>
                <w:color w:val="auto"/>
                <w:sz w:val="18"/>
                <w:szCs w:val="18"/>
              </w:rPr>
              <w:t xml:space="preserve"> Total Surveyed Units</w:t>
            </w:r>
          </w:p>
        </w:tc>
      </w:tr>
      <w:tr w:rsidR="00B75C59" w:rsidRPr="00B75C59" w14:paraId="1DE4F7F3" w14:textId="77777777" w:rsidTr="00B52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32088AA7" w14:textId="4BCB0B28" w:rsidR="00B75C59" w:rsidRPr="00B75C59" w:rsidRDefault="00B75C59" w:rsidP="00B75C59">
            <w:pPr>
              <w:pStyle w:val="Level1"/>
              <w:numPr>
                <w:ilvl w:val="0"/>
                <w:numId w:val="0"/>
              </w:numPr>
              <w:spacing w:before="0" w:after="0" w:line="240" w:lineRule="auto"/>
              <w:jc w:val="both"/>
              <w:rPr>
                <w:bCs/>
                <w:color w:val="auto"/>
                <w:sz w:val="18"/>
                <w:szCs w:val="18"/>
              </w:rPr>
            </w:pPr>
            <w:r>
              <w:rPr>
                <w:bCs/>
                <w:color w:val="auto"/>
                <w:sz w:val="18"/>
                <w:szCs w:val="18"/>
              </w:rPr>
              <w:t>Convenience</w:t>
            </w:r>
          </w:p>
        </w:tc>
        <w:tc>
          <w:tcPr>
            <w:tcW w:w="2501" w:type="dxa"/>
            <w:shd w:val="clear" w:color="auto" w:fill="auto"/>
          </w:tcPr>
          <w:p w14:paraId="0CBC074E" w14:textId="2AE06A4F" w:rsidR="00B75C59" w:rsidRPr="00B75C59" w:rsidRDefault="00B75C59" w:rsidP="00B75C59">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25</w:t>
            </w:r>
          </w:p>
        </w:tc>
        <w:tc>
          <w:tcPr>
            <w:tcW w:w="2268" w:type="dxa"/>
            <w:shd w:val="clear" w:color="auto" w:fill="auto"/>
          </w:tcPr>
          <w:p w14:paraId="2470FEA0" w14:textId="0CD3BE57" w:rsidR="00B75C59" w:rsidRPr="00B75C59" w:rsidRDefault="00B75C59" w:rsidP="00B75C59">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6.4%</w:t>
            </w:r>
          </w:p>
        </w:tc>
      </w:tr>
      <w:tr w:rsidR="00B75C59" w:rsidRPr="00B75C59" w14:paraId="56F5D0B2" w14:textId="77777777" w:rsidTr="00B529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7408E51D" w14:textId="49B72957" w:rsidR="00B75C59" w:rsidRPr="00B75C59" w:rsidRDefault="00B75C59" w:rsidP="00B75C59">
            <w:pPr>
              <w:pStyle w:val="Level1"/>
              <w:numPr>
                <w:ilvl w:val="0"/>
                <w:numId w:val="0"/>
              </w:numPr>
              <w:spacing w:before="0" w:after="0" w:line="240" w:lineRule="auto"/>
              <w:jc w:val="both"/>
              <w:rPr>
                <w:bCs/>
                <w:color w:val="auto"/>
                <w:sz w:val="18"/>
                <w:szCs w:val="18"/>
              </w:rPr>
            </w:pPr>
            <w:r>
              <w:rPr>
                <w:bCs/>
                <w:color w:val="auto"/>
                <w:sz w:val="18"/>
                <w:szCs w:val="18"/>
              </w:rPr>
              <w:t>Comparison</w:t>
            </w:r>
          </w:p>
        </w:tc>
        <w:tc>
          <w:tcPr>
            <w:tcW w:w="2501" w:type="dxa"/>
            <w:shd w:val="clear" w:color="auto" w:fill="auto"/>
          </w:tcPr>
          <w:p w14:paraId="144A8073" w14:textId="3EFA6FF0" w:rsidR="00B75C59" w:rsidRPr="00B75C59" w:rsidRDefault="00B75C59" w:rsidP="00B75C59">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Pr>
                <w:bCs/>
                <w:color w:val="auto"/>
                <w:sz w:val="18"/>
                <w:szCs w:val="18"/>
              </w:rPr>
              <w:t>132</w:t>
            </w:r>
          </w:p>
        </w:tc>
        <w:tc>
          <w:tcPr>
            <w:tcW w:w="2268" w:type="dxa"/>
            <w:shd w:val="clear" w:color="auto" w:fill="auto"/>
          </w:tcPr>
          <w:p w14:paraId="092E7972" w14:textId="66909CF7" w:rsidR="00B75C59" w:rsidRPr="00B75C59" w:rsidRDefault="00B75C59" w:rsidP="00B75C59">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Pr>
                <w:bCs/>
                <w:color w:val="auto"/>
                <w:sz w:val="18"/>
                <w:szCs w:val="18"/>
              </w:rPr>
              <w:t>34.0%</w:t>
            </w:r>
          </w:p>
        </w:tc>
      </w:tr>
      <w:tr w:rsidR="00B75C59" w:rsidRPr="00B75C59" w14:paraId="0C8E3B76" w14:textId="77777777" w:rsidTr="00B52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2F54250A" w14:textId="5DAD8C33" w:rsidR="00B75C59" w:rsidRPr="00B75C59" w:rsidRDefault="00B75C59" w:rsidP="00B75C59">
            <w:pPr>
              <w:pStyle w:val="Level1"/>
              <w:numPr>
                <w:ilvl w:val="0"/>
                <w:numId w:val="0"/>
              </w:numPr>
              <w:spacing w:before="0" w:after="0" w:line="240" w:lineRule="auto"/>
              <w:jc w:val="both"/>
              <w:rPr>
                <w:bCs/>
                <w:color w:val="auto"/>
                <w:sz w:val="18"/>
                <w:szCs w:val="18"/>
              </w:rPr>
            </w:pPr>
            <w:r>
              <w:rPr>
                <w:bCs/>
                <w:color w:val="auto"/>
                <w:sz w:val="18"/>
                <w:szCs w:val="18"/>
              </w:rPr>
              <w:t>Service</w:t>
            </w:r>
          </w:p>
        </w:tc>
        <w:tc>
          <w:tcPr>
            <w:tcW w:w="2501" w:type="dxa"/>
            <w:shd w:val="clear" w:color="auto" w:fill="auto"/>
          </w:tcPr>
          <w:p w14:paraId="4A1DCB72" w14:textId="6070C15B" w:rsidR="00B75C59" w:rsidRPr="00B75C59" w:rsidRDefault="00B75C59" w:rsidP="00B75C59">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145</w:t>
            </w:r>
          </w:p>
        </w:tc>
        <w:tc>
          <w:tcPr>
            <w:tcW w:w="2268" w:type="dxa"/>
            <w:shd w:val="clear" w:color="auto" w:fill="auto"/>
          </w:tcPr>
          <w:p w14:paraId="7412B3F2" w14:textId="39E449EF" w:rsidR="00B75C59" w:rsidRPr="00B75C59" w:rsidRDefault="00B75C59" w:rsidP="00B75C59">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37.4%</w:t>
            </w:r>
          </w:p>
        </w:tc>
      </w:tr>
      <w:tr w:rsidR="00B75C59" w:rsidRPr="00B75C59" w14:paraId="00C1807B" w14:textId="77777777" w:rsidTr="00B529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478BCAC0" w14:textId="762AB696" w:rsidR="00B75C59" w:rsidRPr="00B75C59" w:rsidRDefault="00B75C59" w:rsidP="00B75C59">
            <w:pPr>
              <w:pStyle w:val="Level1"/>
              <w:numPr>
                <w:ilvl w:val="0"/>
                <w:numId w:val="0"/>
              </w:numPr>
              <w:spacing w:before="0" w:after="0" w:line="240" w:lineRule="auto"/>
              <w:jc w:val="both"/>
              <w:rPr>
                <w:bCs/>
                <w:color w:val="auto"/>
                <w:sz w:val="18"/>
                <w:szCs w:val="18"/>
              </w:rPr>
            </w:pPr>
            <w:r>
              <w:rPr>
                <w:bCs/>
                <w:color w:val="auto"/>
                <w:sz w:val="18"/>
                <w:szCs w:val="18"/>
              </w:rPr>
              <w:t>Other</w:t>
            </w:r>
          </w:p>
        </w:tc>
        <w:tc>
          <w:tcPr>
            <w:tcW w:w="2501" w:type="dxa"/>
            <w:shd w:val="clear" w:color="auto" w:fill="auto"/>
          </w:tcPr>
          <w:p w14:paraId="58EDFA05" w14:textId="60B6A2E3" w:rsidR="00B75C59" w:rsidRPr="00B75C59" w:rsidRDefault="00B75C59" w:rsidP="00B75C59">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Pr>
                <w:bCs/>
                <w:color w:val="auto"/>
                <w:sz w:val="18"/>
                <w:szCs w:val="18"/>
              </w:rPr>
              <w:t>0</w:t>
            </w:r>
          </w:p>
        </w:tc>
        <w:tc>
          <w:tcPr>
            <w:tcW w:w="2268" w:type="dxa"/>
            <w:shd w:val="clear" w:color="auto" w:fill="auto"/>
          </w:tcPr>
          <w:p w14:paraId="3C9D7C97" w14:textId="7C43F516" w:rsidR="00B75C59" w:rsidRPr="00B75C59" w:rsidRDefault="00B75C59" w:rsidP="00B75C59">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Pr>
                <w:bCs/>
                <w:color w:val="auto"/>
                <w:sz w:val="18"/>
                <w:szCs w:val="18"/>
              </w:rPr>
              <w:t>0.0%</w:t>
            </w:r>
          </w:p>
        </w:tc>
      </w:tr>
      <w:tr w:rsidR="00B75C59" w:rsidRPr="00B75C59" w14:paraId="56584C8A" w14:textId="77777777" w:rsidTr="00B52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1A6A9713" w14:textId="6053907B" w:rsidR="00B75C59" w:rsidRPr="00B75C59" w:rsidRDefault="00B75C59" w:rsidP="00B75C59">
            <w:pPr>
              <w:pStyle w:val="Level1"/>
              <w:numPr>
                <w:ilvl w:val="0"/>
                <w:numId w:val="0"/>
              </w:numPr>
              <w:spacing w:before="0" w:after="0" w:line="240" w:lineRule="auto"/>
              <w:jc w:val="both"/>
              <w:rPr>
                <w:bCs/>
                <w:color w:val="auto"/>
                <w:sz w:val="18"/>
                <w:szCs w:val="18"/>
              </w:rPr>
            </w:pPr>
            <w:r>
              <w:rPr>
                <w:bCs/>
                <w:color w:val="auto"/>
                <w:sz w:val="18"/>
                <w:szCs w:val="18"/>
              </w:rPr>
              <w:t>Vacant</w:t>
            </w:r>
          </w:p>
        </w:tc>
        <w:tc>
          <w:tcPr>
            <w:tcW w:w="2501" w:type="dxa"/>
            <w:shd w:val="clear" w:color="auto" w:fill="auto"/>
          </w:tcPr>
          <w:p w14:paraId="063263B6" w14:textId="166DD358" w:rsidR="00B75C59" w:rsidRPr="00B75C59" w:rsidRDefault="00B75C59" w:rsidP="00B75C59">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86</w:t>
            </w:r>
          </w:p>
        </w:tc>
        <w:tc>
          <w:tcPr>
            <w:tcW w:w="2268" w:type="dxa"/>
            <w:shd w:val="clear" w:color="auto" w:fill="auto"/>
          </w:tcPr>
          <w:p w14:paraId="5627F7BF" w14:textId="797BC772" w:rsidR="00B75C59" w:rsidRPr="00B75C59" w:rsidRDefault="00B75C59" w:rsidP="00B75C59">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Pr>
                <w:bCs/>
                <w:color w:val="auto"/>
                <w:sz w:val="18"/>
                <w:szCs w:val="18"/>
              </w:rPr>
              <w:t>22.2%</w:t>
            </w:r>
          </w:p>
        </w:tc>
      </w:tr>
      <w:tr w:rsidR="00B75C59" w:rsidRPr="00B75C59" w14:paraId="54D51F30" w14:textId="77777777" w:rsidTr="00B529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147D2CBE" w14:textId="52A7F4BD" w:rsidR="00B75C59" w:rsidRPr="00B75C59" w:rsidRDefault="00B75C59" w:rsidP="00B75C59">
            <w:pPr>
              <w:pStyle w:val="Level1"/>
              <w:numPr>
                <w:ilvl w:val="0"/>
                <w:numId w:val="0"/>
              </w:numPr>
              <w:spacing w:before="0" w:after="0" w:line="240" w:lineRule="auto"/>
              <w:jc w:val="both"/>
              <w:rPr>
                <w:bCs/>
                <w:color w:val="auto"/>
                <w:sz w:val="18"/>
                <w:szCs w:val="18"/>
              </w:rPr>
            </w:pPr>
            <w:r>
              <w:rPr>
                <w:bCs/>
                <w:color w:val="auto"/>
                <w:sz w:val="18"/>
                <w:szCs w:val="18"/>
              </w:rPr>
              <w:t>Total</w:t>
            </w:r>
          </w:p>
        </w:tc>
        <w:tc>
          <w:tcPr>
            <w:tcW w:w="2501" w:type="dxa"/>
            <w:shd w:val="clear" w:color="auto" w:fill="auto"/>
          </w:tcPr>
          <w:p w14:paraId="212A2A00" w14:textId="6FB0B3B4" w:rsidR="00B75C59" w:rsidRPr="00B75C59" w:rsidRDefault="00B75C59" w:rsidP="00B75C59">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Pr>
                <w:bCs/>
                <w:color w:val="auto"/>
                <w:sz w:val="18"/>
                <w:szCs w:val="18"/>
              </w:rPr>
              <w:t>388</w:t>
            </w:r>
          </w:p>
        </w:tc>
        <w:tc>
          <w:tcPr>
            <w:tcW w:w="2268" w:type="dxa"/>
            <w:shd w:val="clear" w:color="auto" w:fill="auto"/>
          </w:tcPr>
          <w:p w14:paraId="699A0595" w14:textId="4F584CEB" w:rsidR="00B75C59" w:rsidRPr="00B75C59" w:rsidRDefault="00B75C59" w:rsidP="00B75C59">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Pr>
                <w:bCs/>
                <w:color w:val="auto"/>
                <w:sz w:val="18"/>
                <w:szCs w:val="18"/>
              </w:rPr>
              <w:t>100%</w:t>
            </w:r>
          </w:p>
        </w:tc>
      </w:tr>
    </w:tbl>
    <w:p w14:paraId="141B7BD2" w14:textId="08D2C9FE" w:rsidR="00B75C59" w:rsidRPr="00B75C59" w:rsidRDefault="00B75C59" w:rsidP="00B75C59">
      <w:pPr>
        <w:pStyle w:val="Level1"/>
        <w:numPr>
          <w:ilvl w:val="0"/>
          <w:numId w:val="0"/>
        </w:numPr>
        <w:ind w:left="720"/>
        <w:jc w:val="both"/>
        <w:rPr>
          <w:sz w:val="16"/>
          <w:szCs w:val="16"/>
        </w:rPr>
      </w:pPr>
      <w:r>
        <w:rPr>
          <w:sz w:val="16"/>
          <w:szCs w:val="16"/>
        </w:rPr>
        <w:t>Source: Torbay Council Retail Monitor 2021</w:t>
      </w:r>
    </w:p>
    <w:bookmarkEnd w:id="7"/>
    <w:p w14:paraId="4D6A2693" w14:textId="4B64651C" w:rsidR="00B75C59" w:rsidRDefault="000E06CC" w:rsidP="00720441">
      <w:pPr>
        <w:pStyle w:val="Level1"/>
        <w:jc w:val="both"/>
      </w:pPr>
      <w:r>
        <w:t>The above data indicates that, of the units surveyed, around one third are each devoted with comparison goods retail and retail service uses, with retail service uses forming the largest grouping in the centre at 37% of all surveyed units.  This is a similar profile to the one observed in the 2013 retail study</w:t>
      </w:r>
      <w:r>
        <w:rPr>
          <w:rStyle w:val="FootnoteReference"/>
        </w:rPr>
        <w:footnoteReference w:id="19"/>
      </w:r>
      <w:r>
        <w:t xml:space="preserve">.  A similar picture </w:t>
      </w:r>
      <w:r w:rsidR="003E6F04">
        <w:t>emerges in relation to the proportion of convenience goods retailers within the town centre (circa 6%).</w:t>
      </w:r>
    </w:p>
    <w:p w14:paraId="466EFF96" w14:textId="05D02D42" w:rsidR="000E06CC" w:rsidRDefault="003E6F04" w:rsidP="00720441">
      <w:pPr>
        <w:pStyle w:val="Level1"/>
        <w:jc w:val="both"/>
      </w:pPr>
      <w:r>
        <w:t xml:space="preserve">In relation to the proportion of vacant units surveyed in the 2021 Retail Monitor, </w:t>
      </w:r>
      <w:r w:rsidR="00AD0781">
        <w:t>86 units were identified which comprise around one fifth (22%) of all surveyed units.  This is an increase in the proportion of vacancies identified in the 2013 retail study, from 15.2%</w:t>
      </w:r>
      <w:r w:rsidR="00AD0781">
        <w:rPr>
          <w:rStyle w:val="FootnoteReference"/>
        </w:rPr>
        <w:footnoteReference w:id="20"/>
      </w:r>
      <w:r w:rsidR="00AD0781">
        <w:t>.</w:t>
      </w:r>
    </w:p>
    <w:p w14:paraId="351BEE16" w14:textId="26410890" w:rsidR="00B75C59" w:rsidRDefault="00AD0781" w:rsidP="00720441">
      <w:pPr>
        <w:pStyle w:val="Level1"/>
        <w:jc w:val="both"/>
      </w:pPr>
      <w:r>
        <w:t xml:space="preserve">Turning to </w:t>
      </w:r>
      <w:r w:rsidR="004B763E">
        <w:t xml:space="preserve">the Experian GOAD land use data, Table 4.2 </w:t>
      </w:r>
      <w:r w:rsidR="004B763E" w:rsidRPr="007910D0">
        <w:t xml:space="preserve">below </w:t>
      </w:r>
      <w:r w:rsidR="00662847" w:rsidRPr="007910D0">
        <w:t xml:space="preserve">provides the latest </w:t>
      </w:r>
      <w:r w:rsidR="00662847" w:rsidRPr="00B44051">
        <w:t>(June 2021) survey</w:t>
      </w:r>
      <w:r w:rsidR="00662847" w:rsidRPr="007910D0">
        <w:t xml:space="preserve"> data and places it alongside data quoted in the previous 2013 retail study (for the years 2006, 2010 and 2013).  The contents of Table 4.2 show that following </w:t>
      </w:r>
      <w:r w:rsidR="008E3DC7" w:rsidRPr="007910D0">
        <w:t>a steady decrease</w:t>
      </w:r>
      <w:r w:rsidR="008E3DC7">
        <w:t xml:space="preserve"> in the number and proportion of convenience goods units between 2006 and 2013, there has been an increase to 31 units (or 7.8% of all surveyed units) as of 2021.  This increase is in line with the growth in the proportion of convenience goods retailers in town centres nationally, although the proportion of this type of retail in Torquay town centre (7.8%) remains below the national average of 10.2%. </w:t>
      </w:r>
    </w:p>
    <w:p w14:paraId="5AC4D586" w14:textId="67A04762" w:rsidR="00DF585A" w:rsidRPr="00995B93" w:rsidRDefault="00995B93" w:rsidP="00995B93">
      <w:pPr>
        <w:pStyle w:val="Level1"/>
        <w:numPr>
          <w:ilvl w:val="0"/>
          <w:numId w:val="0"/>
        </w:numPr>
        <w:spacing w:after="120" w:line="240" w:lineRule="auto"/>
        <w:ind w:left="720"/>
        <w:jc w:val="both"/>
        <w:rPr>
          <w:rStyle w:val="Emphasis"/>
          <w:sz w:val="18"/>
          <w:szCs w:val="18"/>
        </w:rPr>
      </w:pPr>
      <w:r w:rsidRPr="00995B93">
        <w:rPr>
          <w:rStyle w:val="Emphasis"/>
          <w:sz w:val="18"/>
          <w:szCs w:val="18"/>
        </w:rPr>
        <w:t xml:space="preserve">Table 4.2: Torquay town centre land use profile – </w:t>
      </w:r>
      <w:r>
        <w:rPr>
          <w:rStyle w:val="Emphasis"/>
          <w:sz w:val="18"/>
          <w:szCs w:val="18"/>
        </w:rPr>
        <w:t>Experian GOAD data</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67"/>
        <w:gridCol w:w="567"/>
        <w:gridCol w:w="709"/>
        <w:gridCol w:w="567"/>
        <w:gridCol w:w="567"/>
        <w:gridCol w:w="567"/>
        <w:gridCol w:w="567"/>
        <w:gridCol w:w="567"/>
        <w:gridCol w:w="708"/>
        <w:gridCol w:w="567"/>
        <w:gridCol w:w="567"/>
        <w:gridCol w:w="709"/>
      </w:tblGrid>
      <w:tr w:rsidR="00AD0781" w:rsidRPr="0068660F" w14:paraId="0F3C4ABB" w14:textId="77777777" w:rsidTr="002B1054">
        <w:trPr>
          <w:cantSplit/>
        </w:trPr>
        <w:tc>
          <w:tcPr>
            <w:tcW w:w="1418" w:type="dxa"/>
            <w:shd w:val="pct12" w:color="auto" w:fill="FFFFFF"/>
          </w:tcPr>
          <w:p w14:paraId="14ABB46D" w14:textId="77777777" w:rsidR="00AD0781" w:rsidRPr="0068660F" w:rsidRDefault="00AD0781" w:rsidP="00AD0781">
            <w:pPr>
              <w:spacing w:line="360" w:lineRule="auto"/>
              <w:ind w:left="60" w:hanging="60"/>
              <w:rPr>
                <w:rFonts w:ascii="Century Gothic" w:hAnsi="Century Gothic"/>
                <w:b/>
                <w:sz w:val="16"/>
                <w:szCs w:val="16"/>
              </w:rPr>
            </w:pPr>
            <w:r w:rsidRPr="00FE04A8">
              <w:rPr>
                <w:rFonts w:ascii="Century Gothic" w:hAnsi="Century Gothic"/>
                <w:sz w:val="16"/>
                <w:szCs w:val="16"/>
              </w:rPr>
              <w:tab/>
            </w:r>
            <w:r w:rsidRPr="0068660F">
              <w:rPr>
                <w:rFonts w:ascii="Century Gothic" w:hAnsi="Century Gothic"/>
                <w:b/>
                <w:sz w:val="16"/>
                <w:szCs w:val="16"/>
              </w:rPr>
              <w:t>Sector</w:t>
            </w:r>
          </w:p>
        </w:tc>
        <w:tc>
          <w:tcPr>
            <w:tcW w:w="1843" w:type="dxa"/>
            <w:gridSpan w:val="3"/>
            <w:shd w:val="pct12" w:color="auto" w:fill="FFFFFF"/>
          </w:tcPr>
          <w:p w14:paraId="1A358760"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August 2006</w:t>
            </w:r>
          </w:p>
        </w:tc>
        <w:tc>
          <w:tcPr>
            <w:tcW w:w="1701" w:type="dxa"/>
            <w:gridSpan w:val="3"/>
            <w:shd w:val="pct12" w:color="auto" w:fill="FFFFFF"/>
          </w:tcPr>
          <w:p w14:paraId="1297362F"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July 2010</w:t>
            </w:r>
          </w:p>
        </w:tc>
        <w:tc>
          <w:tcPr>
            <w:tcW w:w="1842" w:type="dxa"/>
            <w:gridSpan w:val="3"/>
            <w:shd w:val="pct12" w:color="auto" w:fill="FFFFFF"/>
          </w:tcPr>
          <w:p w14:paraId="4E06676A" w14:textId="620859A4" w:rsidR="00AD0781" w:rsidRPr="007910D0" w:rsidRDefault="00AD0781" w:rsidP="00AD0781">
            <w:pPr>
              <w:spacing w:line="360" w:lineRule="auto"/>
              <w:ind w:left="709" w:hanging="709"/>
              <w:jc w:val="center"/>
              <w:rPr>
                <w:rFonts w:ascii="Century Gothic" w:hAnsi="Century Gothic"/>
                <w:b/>
                <w:sz w:val="16"/>
                <w:szCs w:val="16"/>
              </w:rPr>
            </w:pPr>
            <w:r w:rsidRPr="007910D0">
              <w:rPr>
                <w:rFonts w:ascii="Century Gothic" w:hAnsi="Century Gothic"/>
                <w:b/>
                <w:sz w:val="16"/>
                <w:szCs w:val="16"/>
              </w:rPr>
              <w:t>July 2013</w:t>
            </w:r>
          </w:p>
        </w:tc>
        <w:tc>
          <w:tcPr>
            <w:tcW w:w="1843" w:type="dxa"/>
            <w:gridSpan w:val="3"/>
            <w:shd w:val="pct12" w:color="auto" w:fill="FFFFFF"/>
          </w:tcPr>
          <w:p w14:paraId="66BA2C24" w14:textId="0DCCEF04" w:rsidR="00AD0781" w:rsidRPr="00B44051" w:rsidRDefault="00AD0781" w:rsidP="00AD0781">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June 2021</w:t>
            </w:r>
          </w:p>
        </w:tc>
      </w:tr>
      <w:tr w:rsidR="00AD0781" w:rsidRPr="0068660F" w14:paraId="04937F98" w14:textId="77777777" w:rsidTr="002B1054">
        <w:tc>
          <w:tcPr>
            <w:tcW w:w="1418" w:type="dxa"/>
            <w:shd w:val="pct12" w:color="auto" w:fill="FFFFFF"/>
          </w:tcPr>
          <w:p w14:paraId="170B9FC2" w14:textId="77777777" w:rsidR="00AD0781" w:rsidRPr="0068660F" w:rsidRDefault="00AD0781" w:rsidP="00AD0781">
            <w:pPr>
              <w:spacing w:line="360" w:lineRule="auto"/>
              <w:ind w:left="709" w:hanging="709"/>
              <w:jc w:val="both"/>
              <w:rPr>
                <w:rFonts w:ascii="Century Gothic" w:hAnsi="Century Gothic"/>
                <w:b/>
                <w:sz w:val="16"/>
                <w:szCs w:val="16"/>
              </w:rPr>
            </w:pPr>
          </w:p>
        </w:tc>
        <w:tc>
          <w:tcPr>
            <w:tcW w:w="567" w:type="dxa"/>
            <w:shd w:val="pct12" w:color="auto" w:fill="FFFFFF"/>
          </w:tcPr>
          <w:p w14:paraId="33FC9551"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No.</w:t>
            </w:r>
          </w:p>
        </w:tc>
        <w:tc>
          <w:tcPr>
            <w:tcW w:w="567" w:type="dxa"/>
            <w:shd w:val="pct12" w:color="auto" w:fill="FFFFFF"/>
          </w:tcPr>
          <w:p w14:paraId="7BF914F8"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709" w:type="dxa"/>
            <w:shd w:val="pct12" w:color="auto" w:fill="FFFFFF"/>
          </w:tcPr>
          <w:p w14:paraId="1DA6786A" w14:textId="12B9C653"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GB</w:t>
            </w:r>
          </w:p>
          <w:p w14:paraId="166639FA"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Ave</w:t>
            </w:r>
          </w:p>
          <w:p w14:paraId="6ACAD986"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0307E23E"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No</w:t>
            </w:r>
          </w:p>
        </w:tc>
        <w:tc>
          <w:tcPr>
            <w:tcW w:w="567" w:type="dxa"/>
            <w:shd w:val="pct12" w:color="auto" w:fill="FFFFFF"/>
          </w:tcPr>
          <w:p w14:paraId="607F220A"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0849B859"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GB</w:t>
            </w:r>
          </w:p>
          <w:p w14:paraId="0F31E93B"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Ave</w:t>
            </w:r>
          </w:p>
          <w:p w14:paraId="08CD2712"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41609E94" w14:textId="77777777" w:rsidR="00AD0781" w:rsidRPr="007910D0" w:rsidRDefault="00AD0781" w:rsidP="00AD0781">
            <w:pPr>
              <w:spacing w:line="360" w:lineRule="auto"/>
              <w:ind w:left="709" w:hanging="709"/>
              <w:jc w:val="center"/>
              <w:rPr>
                <w:rFonts w:ascii="Century Gothic" w:hAnsi="Century Gothic"/>
                <w:b/>
                <w:sz w:val="16"/>
                <w:szCs w:val="16"/>
              </w:rPr>
            </w:pPr>
            <w:r w:rsidRPr="007910D0">
              <w:rPr>
                <w:rFonts w:ascii="Century Gothic" w:hAnsi="Century Gothic"/>
                <w:b/>
                <w:sz w:val="16"/>
                <w:szCs w:val="16"/>
              </w:rPr>
              <w:t>No</w:t>
            </w:r>
          </w:p>
        </w:tc>
        <w:tc>
          <w:tcPr>
            <w:tcW w:w="567" w:type="dxa"/>
            <w:shd w:val="pct12" w:color="auto" w:fill="FFFFFF"/>
          </w:tcPr>
          <w:p w14:paraId="32B060B8" w14:textId="77777777" w:rsidR="00AD0781" w:rsidRPr="007910D0" w:rsidRDefault="00AD0781" w:rsidP="00AD0781">
            <w:pPr>
              <w:spacing w:line="360" w:lineRule="auto"/>
              <w:ind w:left="709" w:hanging="709"/>
              <w:jc w:val="center"/>
              <w:rPr>
                <w:rFonts w:ascii="Century Gothic" w:hAnsi="Century Gothic"/>
                <w:b/>
                <w:sz w:val="16"/>
                <w:szCs w:val="16"/>
              </w:rPr>
            </w:pPr>
            <w:r w:rsidRPr="007910D0">
              <w:rPr>
                <w:rFonts w:ascii="Century Gothic" w:hAnsi="Century Gothic"/>
                <w:b/>
                <w:sz w:val="16"/>
                <w:szCs w:val="16"/>
              </w:rPr>
              <w:t>%</w:t>
            </w:r>
          </w:p>
        </w:tc>
        <w:tc>
          <w:tcPr>
            <w:tcW w:w="708" w:type="dxa"/>
            <w:shd w:val="pct12" w:color="auto" w:fill="FFFFFF"/>
          </w:tcPr>
          <w:p w14:paraId="337B3B3A" w14:textId="77777777" w:rsidR="00AD0781" w:rsidRPr="007910D0" w:rsidRDefault="00AD0781" w:rsidP="00AD0781">
            <w:pPr>
              <w:spacing w:line="360" w:lineRule="auto"/>
              <w:ind w:left="709" w:hanging="709"/>
              <w:jc w:val="center"/>
              <w:rPr>
                <w:rFonts w:ascii="Century Gothic" w:hAnsi="Century Gothic"/>
                <w:b/>
                <w:sz w:val="16"/>
                <w:szCs w:val="16"/>
              </w:rPr>
            </w:pPr>
            <w:r w:rsidRPr="007910D0">
              <w:rPr>
                <w:rFonts w:ascii="Century Gothic" w:hAnsi="Century Gothic"/>
                <w:b/>
                <w:sz w:val="16"/>
                <w:szCs w:val="16"/>
              </w:rPr>
              <w:t>GB</w:t>
            </w:r>
          </w:p>
          <w:p w14:paraId="199BE562" w14:textId="77777777" w:rsidR="00AD0781" w:rsidRPr="007910D0" w:rsidRDefault="00AD0781" w:rsidP="00AD0781">
            <w:pPr>
              <w:spacing w:line="360" w:lineRule="auto"/>
              <w:ind w:left="709" w:hanging="709"/>
              <w:jc w:val="center"/>
              <w:rPr>
                <w:rFonts w:ascii="Century Gothic" w:hAnsi="Century Gothic"/>
                <w:b/>
                <w:sz w:val="16"/>
                <w:szCs w:val="16"/>
              </w:rPr>
            </w:pPr>
            <w:r w:rsidRPr="007910D0">
              <w:rPr>
                <w:rFonts w:ascii="Century Gothic" w:hAnsi="Century Gothic"/>
                <w:b/>
                <w:sz w:val="16"/>
                <w:szCs w:val="16"/>
              </w:rPr>
              <w:t>Ave</w:t>
            </w:r>
          </w:p>
          <w:p w14:paraId="0CBB94C1" w14:textId="77777777" w:rsidR="00AD0781" w:rsidRPr="007910D0" w:rsidRDefault="00AD0781" w:rsidP="00AD0781">
            <w:pPr>
              <w:spacing w:line="360" w:lineRule="auto"/>
              <w:ind w:left="709" w:hanging="709"/>
              <w:jc w:val="center"/>
              <w:rPr>
                <w:rFonts w:ascii="Century Gothic" w:hAnsi="Century Gothic"/>
                <w:b/>
                <w:sz w:val="16"/>
                <w:szCs w:val="16"/>
              </w:rPr>
            </w:pPr>
            <w:r w:rsidRPr="007910D0">
              <w:rPr>
                <w:rFonts w:ascii="Century Gothic" w:hAnsi="Century Gothic"/>
                <w:b/>
                <w:sz w:val="16"/>
                <w:szCs w:val="16"/>
              </w:rPr>
              <w:t>%</w:t>
            </w:r>
          </w:p>
        </w:tc>
        <w:tc>
          <w:tcPr>
            <w:tcW w:w="567" w:type="dxa"/>
            <w:shd w:val="pct12" w:color="auto" w:fill="FFFFFF"/>
          </w:tcPr>
          <w:p w14:paraId="134673C7" w14:textId="77777777" w:rsidR="00AD0781" w:rsidRPr="00B44051" w:rsidRDefault="00AD0781" w:rsidP="00AD0781">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No</w:t>
            </w:r>
          </w:p>
        </w:tc>
        <w:tc>
          <w:tcPr>
            <w:tcW w:w="567" w:type="dxa"/>
            <w:shd w:val="pct12" w:color="auto" w:fill="FFFFFF"/>
          </w:tcPr>
          <w:p w14:paraId="10D44D99" w14:textId="77777777" w:rsidR="00AD0781" w:rsidRPr="00B44051" w:rsidRDefault="00AD0781" w:rsidP="00AD0781">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w:t>
            </w:r>
          </w:p>
        </w:tc>
        <w:tc>
          <w:tcPr>
            <w:tcW w:w="709" w:type="dxa"/>
            <w:shd w:val="pct12" w:color="auto" w:fill="FFFFFF"/>
          </w:tcPr>
          <w:p w14:paraId="3BB191D1" w14:textId="77777777" w:rsidR="00AD0781" w:rsidRPr="00B44051" w:rsidRDefault="00AD0781" w:rsidP="00AD0781">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GB</w:t>
            </w:r>
          </w:p>
          <w:p w14:paraId="2633D159" w14:textId="77777777" w:rsidR="00AD0781" w:rsidRPr="00B44051" w:rsidRDefault="00AD0781" w:rsidP="00AD0781">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Ave</w:t>
            </w:r>
          </w:p>
          <w:p w14:paraId="2CF315AE" w14:textId="77777777" w:rsidR="00AD0781" w:rsidRPr="00B44051" w:rsidRDefault="00AD0781" w:rsidP="00AD0781">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w:t>
            </w:r>
          </w:p>
        </w:tc>
      </w:tr>
      <w:tr w:rsidR="00AD0781" w:rsidRPr="0068660F" w14:paraId="18C8F976" w14:textId="77777777" w:rsidTr="002B1054">
        <w:tc>
          <w:tcPr>
            <w:tcW w:w="1418" w:type="dxa"/>
          </w:tcPr>
          <w:p w14:paraId="2992935B" w14:textId="77777777" w:rsidR="00AD0781" w:rsidRPr="0068660F" w:rsidRDefault="00AD0781" w:rsidP="00AD0781">
            <w:pPr>
              <w:spacing w:line="360" w:lineRule="auto"/>
              <w:ind w:left="709" w:hanging="709"/>
              <w:jc w:val="both"/>
              <w:rPr>
                <w:rFonts w:ascii="Century Gothic" w:hAnsi="Century Gothic"/>
                <w:sz w:val="16"/>
                <w:szCs w:val="16"/>
              </w:rPr>
            </w:pPr>
            <w:r w:rsidRPr="0068660F">
              <w:rPr>
                <w:rFonts w:ascii="Century Gothic" w:hAnsi="Century Gothic"/>
                <w:sz w:val="16"/>
                <w:szCs w:val="16"/>
              </w:rPr>
              <w:t>Convenience</w:t>
            </w:r>
          </w:p>
        </w:tc>
        <w:tc>
          <w:tcPr>
            <w:tcW w:w="567" w:type="dxa"/>
          </w:tcPr>
          <w:p w14:paraId="772BD92E"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34</w:t>
            </w:r>
          </w:p>
        </w:tc>
        <w:tc>
          <w:tcPr>
            <w:tcW w:w="567" w:type="dxa"/>
          </w:tcPr>
          <w:p w14:paraId="6837B2B8"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8.3</w:t>
            </w:r>
          </w:p>
        </w:tc>
        <w:tc>
          <w:tcPr>
            <w:tcW w:w="709" w:type="dxa"/>
          </w:tcPr>
          <w:p w14:paraId="3BD0242C"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9.2</w:t>
            </w:r>
          </w:p>
        </w:tc>
        <w:tc>
          <w:tcPr>
            <w:tcW w:w="567" w:type="dxa"/>
          </w:tcPr>
          <w:p w14:paraId="3B0871F8"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31</w:t>
            </w:r>
          </w:p>
        </w:tc>
        <w:tc>
          <w:tcPr>
            <w:tcW w:w="567" w:type="dxa"/>
          </w:tcPr>
          <w:p w14:paraId="4E090398"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7.3</w:t>
            </w:r>
          </w:p>
        </w:tc>
        <w:tc>
          <w:tcPr>
            <w:tcW w:w="567" w:type="dxa"/>
          </w:tcPr>
          <w:p w14:paraId="4ADBC984"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9.2</w:t>
            </w:r>
          </w:p>
        </w:tc>
        <w:tc>
          <w:tcPr>
            <w:tcW w:w="567" w:type="dxa"/>
          </w:tcPr>
          <w:p w14:paraId="6CCEAAFC" w14:textId="50E4BC90"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22</w:t>
            </w:r>
          </w:p>
        </w:tc>
        <w:tc>
          <w:tcPr>
            <w:tcW w:w="567" w:type="dxa"/>
          </w:tcPr>
          <w:p w14:paraId="4F82842D" w14:textId="7222B01C"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5.3</w:t>
            </w:r>
          </w:p>
        </w:tc>
        <w:tc>
          <w:tcPr>
            <w:tcW w:w="708" w:type="dxa"/>
          </w:tcPr>
          <w:p w14:paraId="5D158B49" w14:textId="37CB0D2C"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8.7</w:t>
            </w:r>
          </w:p>
        </w:tc>
        <w:tc>
          <w:tcPr>
            <w:tcW w:w="567" w:type="dxa"/>
          </w:tcPr>
          <w:p w14:paraId="1E8D60AA" w14:textId="5EBB5BB2" w:rsidR="00AD0781" w:rsidRPr="00B44051" w:rsidRDefault="00AD0781"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31</w:t>
            </w:r>
          </w:p>
        </w:tc>
        <w:tc>
          <w:tcPr>
            <w:tcW w:w="567" w:type="dxa"/>
          </w:tcPr>
          <w:p w14:paraId="30C217E0" w14:textId="2E5179E1" w:rsidR="00AD0781" w:rsidRPr="00B44051" w:rsidRDefault="00AD0781"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7.8</w:t>
            </w:r>
          </w:p>
        </w:tc>
        <w:tc>
          <w:tcPr>
            <w:tcW w:w="709" w:type="dxa"/>
          </w:tcPr>
          <w:p w14:paraId="211AB61B" w14:textId="41683C2F" w:rsidR="00AD0781" w:rsidRPr="00B44051" w:rsidRDefault="00DF585A"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10.2</w:t>
            </w:r>
          </w:p>
        </w:tc>
      </w:tr>
      <w:tr w:rsidR="00AD0781" w:rsidRPr="0068660F" w14:paraId="27DAC6F1" w14:textId="77777777" w:rsidTr="002B1054">
        <w:tc>
          <w:tcPr>
            <w:tcW w:w="1418" w:type="dxa"/>
          </w:tcPr>
          <w:p w14:paraId="7116DA90" w14:textId="77777777" w:rsidR="00AD0781" w:rsidRPr="0068660F" w:rsidRDefault="00AD0781" w:rsidP="00AD0781">
            <w:pPr>
              <w:spacing w:line="360" w:lineRule="auto"/>
              <w:ind w:left="709" w:hanging="709"/>
              <w:jc w:val="both"/>
              <w:rPr>
                <w:rFonts w:ascii="Century Gothic" w:hAnsi="Century Gothic"/>
                <w:sz w:val="16"/>
                <w:szCs w:val="16"/>
              </w:rPr>
            </w:pPr>
            <w:r w:rsidRPr="0068660F">
              <w:rPr>
                <w:rFonts w:ascii="Century Gothic" w:hAnsi="Century Gothic"/>
                <w:sz w:val="16"/>
                <w:szCs w:val="16"/>
              </w:rPr>
              <w:t>Comparison</w:t>
            </w:r>
          </w:p>
        </w:tc>
        <w:tc>
          <w:tcPr>
            <w:tcW w:w="567" w:type="dxa"/>
          </w:tcPr>
          <w:p w14:paraId="14CBB715"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208</w:t>
            </w:r>
          </w:p>
        </w:tc>
        <w:tc>
          <w:tcPr>
            <w:tcW w:w="567" w:type="dxa"/>
          </w:tcPr>
          <w:p w14:paraId="663B6257"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50.7</w:t>
            </w:r>
          </w:p>
        </w:tc>
        <w:tc>
          <w:tcPr>
            <w:tcW w:w="709" w:type="dxa"/>
          </w:tcPr>
          <w:p w14:paraId="0F3888E9"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45.7</w:t>
            </w:r>
          </w:p>
        </w:tc>
        <w:tc>
          <w:tcPr>
            <w:tcW w:w="567" w:type="dxa"/>
          </w:tcPr>
          <w:p w14:paraId="06E91C4E"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177</w:t>
            </w:r>
          </w:p>
        </w:tc>
        <w:tc>
          <w:tcPr>
            <w:tcW w:w="567" w:type="dxa"/>
          </w:tcPr>
          <w:p w14:paraId="37EF7EA7"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41.8</w:t>
            </w:r>
          </w:p>
        </w:tc>
        <w:tc>
          <w:tcPr>
            <w:tcW w:w="567" w:type="dxa"/>
          </w:tcPr>
          <w:p w14:paraId="79DAADD9"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41.8</w:t>
            </w:r>
          </w:p>
        </w:tc>
        <w:tc>
          <w:tcPr>
            <w:tcW w:w="567" w:type="dxa"/>
          </w:tcPr>
          <w:p w14:paraId="554C4E39" w14:textId="03C51326"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171</w:t>
            </w:r>
          </w:p>
        </w:tc>
        <w:tc>
          <w:tcPr>
            <w:tcW w:w="567" w:type="dxa"/>
          </w:tcPr>
          <w:p w14:paraId="6B61CC3A" w14:textId="3A7C5B31"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41.0</w:t>
            </w:r>
          </w:p>
        </w:tc>
        <w:tc>
          <w:tcPr>
            <w:tcW w:w="708" w:type="dxa"/>
          </w:tcPr>
          <w:p w14:paraId="21E4C003" w14:textId="4FC33E17"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41.2</w:t>
            </w:r>
          </w:p>
        </w:tc>
        <w:tc>
          <w:tcPr>
            <w:tcW w:w="567" w:type="dxa"/>
          </w:tcPr>
          <w:p w14:paraId="5FA6FF24" w14:textId="4547A51B" w:rsidR="00AD0781" w:rsidRPr="00B44051" w:rsidRDefault="00AD0781"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128</w:t>
            </w:r>
          </w:p>
        </w:tc>
        <w:tc>
          <w:tcPr>
            <w:tcW w:w="567" w:type="dxa"/>
          </w:tcPr>
          <w:p w14:paraId="2496EFEE" w14:textId="707C4E3D" w:rsidR="00AD0781" w:rsidRPr="00B44051" w:rsidRDefault="00AD0781"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32.2</w:t>
            </w:r>
          </w:p>
        </w:tc>
        <w:tc>
          <w:tcPr>
            <w:tcW w:w="709" w:type="dxa"/>
          </w:tcPr>
          <w:p w14:paraId="4D7F4DDC" w14:textId="42FC5D63" w:rsidR="00AD0781" w:rsidRPr="00B44051" w:rsidRDefault="00DF585A"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34.1</w:t>
            </w:r>
          </w:p>
        </w:tc>
      </w:tr>
      <w:tr w:rsidR="00AD0781" w:rsidRPr="0068660F" w14:paraId="45169377" w14:textId="77777777" w:rsidTr="002B1054">
        <w:tc>
          <w:tcPr>
            <w:tcW w:w="1418" w:type="dxa"/>
          </w:tcPr>
          <w:p w14:paraId="0F0ED31C" w14:textId="77777777" w:rsidR="00AD0781" w:rsidRPr="0068660F" w:rsidRDefault="00AD0781" w:rsidP="00AD0781">
            <w:pPr>
              <w:spacing w:line="360" w:lineRule="auto"/>
              <w:ind w:left="709" w:hanging="709"/>
              <w:jc w:val="both"/>
              <w:rPr>
                <w:rFonts w:ascii="Century Gothic" w:hAnsi="Century Gothic"/>
                <w:sz w:val="16"/>
                <w:szCs w:val="16"/>
              </w:rPr>
            </w:pPr>
            <w:r w:rsidRPr="0068660F">
              <w:rPr>
                <w:rFonts w:ascii="Century Gothic" w:hAnsi="Century Gothic"/>
                <w:sz w:val="16"/>
                <w:szCs w:val="16"/>
              </w:rPr>
              <w:t>Service</w:t>
            </w:r>
          </w:p>
        </w:tc>
        <w:tc>
          <w:tcPr>
            <w:tcW w:w="567" w:type="dxa"/>
          </w:tcPr>
          <w:p w14:paraId="46C59E8E"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123</w:t>
            </w:r>
          </w:p>
        </w:tc>
        <w:tc>
          <w:tcPr>
            <w:tcW w:w="567" w:type="dxa"/>
          </w:tcPr>
          <w:p w14:paraId="26608F12"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30.0</w:t>
            </w:r>
          </w:p>
        </w:tc>
        <w:tc>
          <w:tcPr>
            <w:tcW w:w="709" w:type="dxa"/>
          </w:tcPr>
          <w:p w14:paraId="615D6514"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33.1</w:t>
            </w:r>
          </w:p>
        </w:tc>
        <w:tc>
          <w:tcPr>
            <w:tcW w:w="567" w:type="dxa"/>
          </w:tcPr>
          <w:p w14:paraId="56FB8B4D"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135</w:t>
            </w:r>
          </w:p>
        </w:tc>
        <w:tc>
          <w:tcPr>
            <w:tcW w:w="567" w:type="dxa"/>
          </w:tcPr>
          <w:p w14:paraId="0B1BFD6A"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31.8</w:t>
            </w:r>
          </w:p>
        </w:tc>
        <w:tc>
          <w:tcPr>
            <w:tcW w:w="567" w:type="dxa"/>
          </w:tcPr>
          <w:p w14:paraId="4BD58953"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34.7</w:t>
            </w:r>
          </w:p>
        </w:tc>
        <w:tc>
          <w:tcPr>
            <w:tcW w:w="567" w:type="dxa"/>
          </w:tcPr>
          <w:p w14:paraId="5A02095F" w14:textId="1031E9A6"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144</w:t>
            </w:r>
          </w:p>
        </w:tc>
        <w:tc>
          <w:tcPr>
            <w:tcW w:w="567" w:type="dxa"/>
          </w:tcPr>
          <w:p w14:paraId="1B2E61A6" w14:textId="65DD515B"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34.5</w:t>
            </w:r>
          </w:p>
        </w:tc>
        <w:tc>
          <w:tcPr>
            <w:tcW w:w="708" w:type="dxa"/>
          </w:tcPr>
          <w:p w14:paraId="5D64D281" w14:textId="7686F7E8"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36.3</w:t>
            </w:r>
          </w:p>
        </w:tc>
        <w:tc>
          <w:tcPr>
            <w:tcW w:w="567" w:type="dxa"/>
          </w:tcPr>
          <w:p w14:paraId="7FEC775A" w14:textId="355CBCC0" w:rsidR="00AD0781" w:rsidRPr="00B44051" w:rsidRDefault="00AD0781"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148</w:t>
            </w:r>
          </w:p>
        </w:tc>
        <w:tc>
          <w:tcPr>
            <w:tcW w:w="567" w:type="dxa"/>
          </w:tcPr>
          <w:p w14:paraId="2DABA564" w14:textId="5E3A6406" w:rsidR="00AD0781" w:rsidRPr="00B44051" w:rsidRDefault="00AD0781"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37.3</w:t>
            </w:r>
          </w:p>
        </w:tc>
        <w:tc>
          <w:tcPr>
            <w:tcW w:w="709" w:type="dxa"/>
          </w:tcPr>
          <w:p w14:paraId="2CF4C42C" w14:textId="790B8873" w:rsidR="00AD0781" w:rsidRPr="00B44051" w:rsidRDefault="00DF585A"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39.4</w:t>
            </w:r>
          </w:p>
        </w:tc>
      </w:tr>
      <w:tr w:rsidR="00AD0781" w:rsidRPr="0068660F" w14:paraId="723FD809" w14:textId="77777777" w:rsidTr="008E3DC7">
        <w:tc>
          <w:tcPr>
            <w:tcW w:w="1418" w:type="dxa"/>
            <w:tcBorders>
              <w:bottom w:val="single" w:sz="4" w:space="0" w:color="auto"/>
            </w:tcBorders>
          </w:tcPr>
          <w:p w14:paraId="0E242103" w14:textId="77777777" w:rsidR="00AD0781" w:rsidRPr="0068660F" w:rsidRDefault="00AD0781" w:rsidP="00AD0781">
            <w:pPr>
              <w:spacing w:line="360" w:lineRule="auto"/>
              <w:ind w:left="709" w:hanging="709"/>
              <w:jc w:val="both"/>
              <w:rPr>
                <w:rFonts w:ascii="Century Gothic" w:hAnsi="Century Gothic"/>
                <w:sz w:val="16"/>
                <w:szCs w:val="16"/>
              </w:rPr>
            </w:pPr>
            <w:r w:rsidRPr="0068660F">
              <w:rPr>
                <w:rFonts w:ascii="Century Gothic" w:hAnsi="Century Gothic"/>
                <w:sz w:val="16"/>
                <w:szCs w:val="16"/>
              </w:rPr>
              <w:t>Other</w:t>
            </w:r>
          </w:p>
        </w:tc>
        <w:tc>
          <w:tcPr>
            <w:tcW w:w="567" w:type="dxa"/>
            <w:tcBorders>
              <w:bottom w:val="single" w:sz="4" w:space="0" w:color="auto"/>
            </w:tcBorders>
          </w:tcPr>
          <w:p w14:paraId="1B132F55"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5</w:t>
            </w:r>
          </w:p>
        </w:tc>
        <w:tc>
          <w:tcPr>
            <w:tcW w:w="567" w:type="dxa"/>
            <w:tcBorders>
              <w:bottom w:val="single" w:sz="4" w:space="0" w:color="auto"/>
            </w:tcBorders>
          </w:tcPr>
          <w:p w14:paraId="4A0B8F0B"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1.2</w:t>
            </w:r>
          </w:p>
        </w:tc>
        <w:tc>
          <w:tcPr>
            <w:tcW w:w="709" w:type="dxa"/>
            <w:tcBorders>
              <w:bottom w:val="single" w:sz="4" w:space="0" w:color="auto"/>
            </w:tcBorders>
          </w:tcPr>
          <w:p w14:paraId="387B778E"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1.3</w:t>
            </w:r>
          </w:p>
        </w:tc>
        <w:tc>
          <w:tcPr>
            <w:tcW w:w="567" w:type="dxa"/>
            <w:tcBorders>
              <w:bottom w:val="single" w:sz="4" w:space="0" w:color="auto"/>
            </w:tcBorders>
          </w:tcPr>
          <w:p w14:paraId="73A66543"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6</w:t>
            </w:r>
          </w:p>
        </w:tc>
        <w:tc>
          <w:tcPr>
            <w:tcW w:w="567" w:type="dxa"/>
            <w:tcBorders>
              <w:bottom w:val="single" w:sz="4" w:space="0" w:color="auto"/>
            </w:tcBorders>
          </w:tcPr>
          <w:p w14:paraId="5187C402"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1.4</w:t>
            </w:r>
          </w:p>
        </w:tc>
        <w:tc>
          <w:tcPr>
            <w:tcW w:w="567" w:type="dxa"/>
            <w:tcBorders>
              <w:bottom w:val="single" w:sz="4" w:space="0" w:color="auto"/>
            </w:tcBorders>
          </w:tcPr>
          <w:p w14:paraId="6077668D"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1.2</w:t>
            </w:r>
          </w:p>
        </w:tc>
        <w:tc>
          <w:tcPr>
            <w:tcW w:w="567" w:type="dxa"/>
            <w:tcBorders>
              <w:bottom w:val="single" w:sz="4" w:space="0" w:color="auto"/>
            </w:tcBorders>
          </w:tcPr>
          <w:p w14:paraId="5FA629A7" w14:textId="32E1760B"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3</w:t>
            </w:r>
          </w:p>
        </w:tc>
        <w:tc>
          <w:tcPr>
            <w:tcW w:w="567" w:type="dxa"/>
            <w:tcBorders>
              <w:bottom w:val="single" w:sz="4" w:space="0" w:color="auto"/>
            </w:tcBorders>
          </w:tcPr>
          <w:p w14:paraId="0498E43B" w14:textId="0E7A5A18"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0.7</w:t>
            </w:r>
          </w:p>
        </w:tc>
        <w:tc>
          <w:tcPr>
            <w:tcW w:w="708" w:type="dxa"/>
            <w:tcBorders>
              <w:bottom w:val="single" w:sz="4" w:space="0" w:color="auto"/>
            </w:tcBorders>
          </w:tcPr>
          <w:p w14:paraId="787868DF" w14:textId="06DEF2E2"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1.2</w:t>
            </w:r>
          </w:p>
        </w:tc>
        <w:tc>
          <w:tcPr>
            <w:tcW w:w="567" w:type="dxa"/>
            <w:tcBorders>
              <w:bottom w:val="single" w:sz="4" w:space="0" w:color="auto"/>
            </w:tcBorders>
          </w:tcPr>
          <w:p w14:paraId="3E5C311E" w14:textId="41C1EDE9" w:rsidR="00AD0781" w:rsidRPr="00B44051" w:rsidRDefault="00AD0781"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7</w:t>
            </w:r>
          </w:p>
        </w:tc>
        <w:tc>
          <w:tcPr>
            <w:tcW w:w="567" w:type="dxa"/>
            <w:tcBorders>
              <w:bottom w:val="single" w:sz="4" w:space="0" w:color="auto"/>
            </w:tcBorders>
          </w:tcPr>
          <w:p w14:paraId="71D51A58" w14:textId="3F0B1406" w:rsidR="00AD0781" w:rsidRPr="00B44051" w:rsidRDefault="00AD0781"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1.8</w:t>
            </w:r>
          </w:p>
        </w:tc>
        <w:tc>
          <w:tcPr>
            <w:tcW w:w="709" w:type="dxa"/>
            <w:tcBorders>
              <w:bottom w:val="single" w:sz="4" w:space="0" w:color="auto"/>
            </w:tcBorders>
          </w:tcPr>
          <w:p w14:paraId="1760A8FE" w14:textId="158B40ED" w:rsidR="00AD0781" w:rsidRPr="00B44051" w:rsidRDefault="00DF585A"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1.0</w:t>
            </w:r>
          </w:p>
        </w:tc>
      </w:tr>
      <w:tr w:rsidR="00AD0781" w:rsidRPr="0068660F" w14:paraId="400898A9" w14:textId="77777777" w:rsidTr="008E3DC7">
        <w:tc>
          <w:tcPr>
            <w:tcW w:w="1418" w:type="dxa"/>
            <w:tcBorders>
              <w:top w:val="single" w:sz="4" w:space="0" w:color="auto"/>
              <w:left w:val="single" w:sz="4" w:space="0" w:color="auto"/>
              <w:bottom w:val="single" w:sz="4" w:space="0" w:color="auto"/>
              <w:right w:val="single" w:sz="4" w:space="0" w:color="auto"/>
            </w:tcBorders>
          </w:tcPr>
          <w:p w14:paraId="164FC137" w14:textId="77777777" w:rsidR="00AD0781" w:rsidRPr="0068660F" w:rsidRDefault="00AD0781" w:rsidP="00AD0781">
            <w:pPr>
              <w:spacing w:line="360" w:lineRule="auto"/>
              <w:ind w:left="709" w:hanging="709"/>
              <w:jc w:val="both"/>
              <w:rPr>
                <w:rFonts w:ascii="Century Gothic" w:hAnsi="Century Gothic"/>
                <w:sz w:val="16"/>
                <w:szCs w:val="16"/>
              </w:rPr>
            </w:pPr>
            <w:r w:rsidRPr="0068660F">
              <w:rPr>
                <w:rFonts w:ascii="Century Gothic" w:hAnsi="Century Gothic"/>
                <w:sz w:val="16"/>
                <w:szCs w:val="16"/>
              </w:rPr>
              <w:t>Vacant</w:t>
            </w:r>
          </w:p>
        </w:tc>
        <w:tc>
          <w:tcPr>
            <w:tcW w:w="567" w:type="dxa"/>
            <w:tcBorders>
              <w:top w:val="single" w:sz="4" w:space="0" w:color="auto"/>
              <w:left w:val="single" w:sz="4" w:space="0" w:color="auto"/>
              <w:bottom w:val="single" w:sz="4" w:space="0" w:color="auto"/>
              <w:right w:val="single" w:sz="4" w:space="0" w:color="auto"/>
            </w:tcBorders>
          </w:tcPr>
          <w:p w14:paraId="0CB41CD9"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40</w:t>
            </w:r>
          </w:p>
        </w:tc>
        <w:tc>
          <w:tcPr>
            <w:tcW w:w="567" w:type="dxa"/>
            <w:tcBorders>
              <w:top w:val="single" w:sz="4" w:space="0" w:color="auto"/>
              <w:left w:val="single" w:sz="4" w:space="0" w:color="auto"/>
              <w:bottom w:val="single" w:sz="4" w:space="0" w:color="auto"/>
              <w:right w:val="single" w:sz="4" w:space="0" w:color="auto"/>
            </w:tcBorders>
          </w:tcPr>
          <w:p w14:paraId="74C35758"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9.8</w:t>
            </w:r>
          </w:p>
        </w:tc>
        <w:tc>
          <w:tcPr>
            <w:tcW w:w="709" w:type="dxa"/>
            <w:tcBorders>
              <w:top w:val="single" w:sz="4" w:space="0" w:color="auto"/>
              <w:left w:val="single" w:sz="4" w:space="0" w:color="auto"/>
              <w:bottom w:val="single" w:sz="4" w:space="0" w:color="auto"/>
              <w:right w:val="single" w:sz="4" w:space="0" w:color="auto"/>
            </w:tcBorders>
          </w:tcPr>
          <w:p w14:paraId="04FAB2C0"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10.7</w:t>
            </w:r>
          </w:p>
        </w:tc>
        <w:tc>
          <w:tcPr>
            <w:tcW w:w="567" w:type="dxa"/>
            <w:tcBorders>
              <w:top w:val="single" w:sz="4" w:space="0" w:color="auto"/>
              <w:left w:val="single" w:sz="4" w:space="0" w:color="auto"/>
              <w:bottom w:val="single" w:sz="4" w:space="0" w:color="auto"/>
              <w:right w:val="single" w:sz="4" w:space="0" w:color="auto"/>
            </w:tcBorders>
          </w:tcPr>
          <w:p w14:paraId="20A812E5"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75</w:t>
            </w:r>
          </w:p>
        </w:tc>
        <w:tc>
          <w:tcPr>
            <w:tcW w:w="567" w:type="dxa"/>
            <w:tcBorders>
              <w:top w:val="single" w:sz="4" w:space="0" w:color="auto"/>
              <w:left w:val="single" w:sz="4" w:space="0" w:color="auto"/>
              <w:bottom w:val="single" w:sz="4" w:space="0" w:color="auto"/>
              <w:right w:val="single" w:sz="4" w:space="0" w:color="auto"/>
            </w:tcBorders>
          </w:tcPr>
          <w:p w14:paraId="6AE995EF"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17.7</w:t>
            </w:r>
          </w:p>
        </w:tc>
        <w:tc>
          <w:tcPr>
            <w:tcW w:w="567" w:type="dxa"/>
            <w:tcBorders>
              <w:top w:val="single" w:sz="4" w:space="0" w:color="auto"/>
              <w:left w:val="single" w:sz="4" w:space="0" w:color="auto"/>
              <w:bottom w:val="single" w:sz="4" w:space="0" w:color="auto"/>
              <w:right w:val="single" w:sz="4" w:space="0" w:color="auto"/>
            </w:tcBorders>
          </w:tcPr>
          <w:p w14:paraId="1E29DB40" w14:textId="77777777" w:rsidR="00AD0781" w:rsidRPr="0068660F" w:rsidRDefault="00AD0781" w:rsidP="00AD0781">
            <w:pPr>
              <w:spacing w:line="360" w:lineRule="auto"/>
              <w:ind w:left="709" w:hanging="709"/>
              <w:jc w:val="center"/>
              <w:rPr>
                <w:rFonts w:ascii="Century Gothic" w:hAnsi="Century Gothic"/>
                <w:sz w:val="16"/>
                <w:szCs w:val="16"/>
              </w:rPr>
            </w:pPr>
            <w:r w:rsidRPr="0068660F">
              <w:rPr>
                <w:rFonts w:ascii="Century Gothic" w:hAnsi="Century Gothic"/>
                <w:sz w:val="16"/>
                <w:szCs w:val="16"/>
              </w:rPr>
              <w:t>13.0</w:t>
            </w:r>
          </w:p>
        </w:tc>
        <w:tc>
          <w:tcPr>
            <w:tcW w:w="567" w:type="dxa"/>
            <w:tcBorders>
              <w:top w:val="single" w:sz="4" w:space="0" w:color="auto"/>
              <w:left w:val="single" w:sz="4" w:space="0" w:color="auto"/>
              <w:bottom w:val="single" w:sz="4" w:space="0" w:color="auto"/>
              <w:right w:val="single" w:sz="4" w:space="0" w:color="auto"/>
            </w:tcBorders>
          </w:tcPr>
          <w:p w14:paraId="46CCEF9B" w14:textId="3218895E"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77</w:t>
            </w:r>
          </w:p>
        </w:tc>
        <w:tc>
          <w:tcPr>
            <w:tcW w:w="567" w:type="dxa"/>
            <w:tcBorders>
              <w:top w:val="single" w:sz="4" w:space="0" w:color="auto"/>
              <w:left w:val="single" w:sz="4" w:space="0" w:color="auto"/>
              <w:bottom w:val="single" w:sz="4" w:space="0" w:color="auto"/>
              <w:right w:val="single" w:sz="4" w:space="0" w:color="auto"/>
            </w:tcBorders>
          </w:tcPr>
          <w:p w14:paraId="3F10E07B" w14:textId="725A96A4"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18.5</w:t>
            </w:r>
          </w:p>
        </w:tc>
        <w:tc>
          <w:tcPr>
            <w:tcW w:w="708" w:type="dxa"/>
            <w:tcBorders>
              <w:top w:val="single" w:sz="4" w:space="0" w:color="auto"/>
              <w:left w:val="single" w:sz="4" w:space="0" w:color="auto"/>
              <w:bottom w:val="single" w:sz="4" w:space="0" w:color="auto"/>
              <w:right w:val="single" w:sz="4" w:space="0" w:color="auto"/>
            </w:tcBorders>
          </w:tcPr>
          <w:p w14:paraId="058099FE" w14:textId="1851F3F6" w:rsidR="00AD0781" w:rsidRPr="007910D0" w:rsidRDefault="00AD0781" w:rsidP="00AD0781">
            <w:pPr>
              <w:spacing w:line="360" w:lineRule="auto"/>
              <w:ind w:left="709" w:hanging="709"/>
              <w:jc w:val="center"/>
              <w:rPr>
                <w:rFonts w:ascii="Century Gothic" w:hAnsi="Century Gothic"/>
                <w:sz w:val="16"/>
                <w:szCs w:val="16"/>
              </w:rPr>
            </w:pPr>
            <w:r w:rsidRPr="007910D0">
              <w:rPr>
                <w:rFonts w:ascii="Century Gothic" w:hAnsi="Century Gothic"/>
                <w:sz w:val="16"/>
                <w:szCs w:val="16"/>
              </w:rPr>
              <w:t>12.6</w:t>
            </w:r>
          </w:p>
        </w:tc>
        <w:tc>
          <w:tcPr>
            <w:tcW w:w="567" w:type="dxa"/>
            <w:tcBorders>
              <w:top w:val="single" w:sz="4" w:space="0" w:color="auto"/>
              <w:left w:val="single" w:sz="4" w:space="0" w:color="auto"/>
              <w:bottom w:val="single" w:sz="4" w:space="0" w:color="auto"/>
              <w:right w:val="single" w:sz="4" w:space="0" w:color="auto"/>
            </w:tcBorders>
          </w:tcPr>
          <w:p w14:paraId="31A04771" w14:textId="3534D40B" w:rsidR="00AD0781" w:rsidRPr="00B44051" w:rsidRDefault="00AD0781"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83</w:t>
            </w:r>
          </w:p>
        </w:tc>
        <w:tc>
          <w:tcPr>
            <w:tcW w:w="567" w:type="dxa"/>
            <w:tcBorders>
              <w:top w:val="single" w:sz="4" w:space="0" w:color="auto"/>
              <w:left w:val="single" w:sz="4" w:space="0" w:color="auto"/>
              <w:bottom w:val="single" w:sz="4" w:space="0" w:color="auto"/>
              <w:right w:val="single" w:sz="4" w:space="0" w:color="auto"/>
            </w:tcBorders>
          </w:tcPr>
          <w:p w14:paraId="6CE18D4B" w14:textId="11C38261" w:rsidR="00AD0781" w:rsidRPr="00B44051" w:rsidRDefault="00AD0781"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20.9</w:t>
            </w:r>
          </w:p>
        </w:tc>
        <w:tc>
          <w:tcPr>
            <w:tcW w:w="709" w:type="dxa"/>
            <w:tcBorders>
              <w:top w:val="single" w:sz="4" w:space="0" w:color="auto"/>
              <w:left w:val="single" w:sz="4" w:space="0" w:color="auto"/>
              <w:bottom w:val="single" w:sz="4" w:space="0" w:color="auto"/>
              <w:right w:val="single" w:sz="4" w:space="0" w:color="auto"/>
            </w:tcBorders>
          </w:tcPr>
          <w:p w14:paraId="23F66EE2" w14:textId="01CA6310" w:rsidR="00AD0781" w:rsidRPr="00B44051" w:rsidRDefault="00DF585A" w:rsidP="00AD0781">
            <w:pPr>
              <w:spacing w:line="360" w:lineRule="auto"/>
              <w:ind w:left="709" w:hanging="709"/>
              <w:jc w:val="center"/>
              <w:rPr>
                <w:rFonts w:ascii="Century Gothic" w:hAnsi="Century Gothic"/>
                <w:sz w:val="16"/>
                <w:szCs w:val="16"/>
              </w:rPr>
            </w:pPr>
            <w:r w:rsidRPr="00B44051">
              <w:rPr>
                <w:rFonts w:ascii="Century Gothic" w:hAnsi="Century Gothic"/>
                <w:sz w:val="16"/>
                <w:szCs w:val="16"/>
              </w:rPr>
              <w:t>15.2</w:t>
            </w:r>
          </w:p>
        </w:tc>
      </w:tr>
      <w:tr w:rsidR="00AD0781" w:rsidRPr="0068660F" w14:paraId="363CB0FA" w14:textId="77777777" w:rsidTr="008E3DC7">
        <w:tc>
          <w:tcPr>
            <w:tcW w:w="1418" w:type="dxa"/>
            <w:tcBorders>
              <w:top w:val="single" w:sz="4" w:space="0" w:color="auto"/>
              <w:left w:val="single" w:sz="4" w:space="0" w:color="auto"/>
              <w:bottom w:val="single" w:sz="4" w:space="0" w:color="auto"/>
              <w:right w:val="single" w:sz="4" w:space="0" w:color="auto"/>
            </w:tcBorders>
          </w:tcPr>
          <w:p w14:paraId="24D56CF4" w14:textId="77777777" w:rsidR="00AD0781" w:rsidRPr="0068660F" w:rsidRDefault="00AD0781" w:rsidP="00AD0781">
            <w:pPr>
              <w:spacing w:line="360" w:lineRule="auto"/>
              <w:ind w:left="709" w:hanging="709"/>
              <w:jc w:val="both"/>
              <w:rPr>
                <w:rFonts w:ascii="Century Gothic" w:hAnsi="Century Gothic"/>
                <w:b/>
                <w:sz w:val="16"/>
                <w:szCs w:val="16"/>
              </w:rPr>
            </w:pPr>
            <w:r w:rsidRPr="0068660F">
              <w:rPr>
                <w:rFonts w:ascii="Century Gothic" w:hAnsi="Century Gothic"/>
                <w:b/>
                <w:sz w:val="16"/>
                <w:szCs w:val="16"/>
              </w:rPr>
              <w:t>Total</w:t>
            </w:r>
          </w:p>
        </w:tc>
        <w:tc>
          <w:tcPr>
            <w:tcW w:w="567" w:type="dxa"/>
            <w:tcBorders>
              <w:top w:val="single" w:sz="4" w:space="0" w:color="auto"/>
              <w:left w:val="single" w:sz="4" w:space="0" w:color="auto"/>
              <w:bottom w:val="single" w:sz="4" w:space="0" w:color="auto"/>
              <w:right w:val="single" w:sz="4" w:space="0" w:color="auto"/>
            </w:tcBorders>
          </w:tcPr>
          <w:p w14:paraId="2AC19326"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410</w:t>
            </w:r>
          </w:p>
        </w:tc>
        <w:tc>
          <w:tcPr>
            <w:tcW w:w="567" w:type="dxa"/>
            <w:tcBorders>
              <w:top w:val="single" w:sz="4" w:space="0" w:color="auto"/>
              <w:left w:val="single" w:sz="4" w:space="0" w:color="auto"/>
              <w:bottom w:val="single" w:sz="4" w:space="0" w:color="auto"/>
              <w:right w:val="single" w:sz="4" w:space="0" w:color="auto"/>
            </w:tcBorders>
          </w:tcPr>
          <w:p w14:paraId="5F36EFB8"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100</w:t>
            </w:r>
          </w:p>
        </w:tc>
        <w:tc>
          <w:tcPr>
            <w:tcW w:w="709" w:type="dxa"/>
            <w:tcBorders>
              <w:top w:val="single" w:sz="4" w:space="0" w:color="auto"/>
              <w:left w:val="single" w:sz="4" w:space="0" w:color="auto"/>
              <w:bottom w:val="single" w:sz="4" w:space="0" w:color="auto"/>
              <w:right w:val="single" w:sz="4" w:space="0" w:color="auto"/>
            </w:tcBorders>
          </w:tcPr>
          <w:p w14:paraId="59975AA8"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100</w:t>
            </w:r>
          </w:p>
        </w:tc>
        <w:tc>
          <w:tcPr>
            <w:tcW w:w="567" w:type="dxa"/>
            <w:tcBorders>
              <w:top w:val="single" w:sz="4" w:space="0" w:color="auto"/>
              <w:left w:val="single" w:sz="4" w:space="0" w:color="auto"/>
              <w:bottom w:val="single" w:sz="4" w:space="0" w:color="auto"/>
              <w:right w:val="single" w:sz="4" w:space="0" w:color="auto"/>
            </w:tcBorders>
          </w:tcPr>
          <w:p w14:paraId="1E7DBFB1"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424</w:t>
            </w:r>
          </w:p>
        </w:tc>
        <w:tc>
          <w:tcPr>
            <w:tcW w:w="567" w:type="dxa"/>
            <w:tcBorders>
              <w:top w:val="single" w:sz="4" w:space="0" w:color="auto"/>
              <w:left w:val="single" w:sz="4" w:space="0" w:color="auto"/>
              <w:bottom w:val="single" w:sz="4" w:space="0" w:color="auto"/>
              <w:right w:val="single" w:sz="4" w:space="0" w:color="auto"/>
            </w:tcBorders>
          </w:tcPr>
          <w:p w14:paraId="592FA8EA"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100</w:t>
            </w:r>
          </w:p>
        </w:tc>
        <w:tc>
          <w:tcPr>
            <w:tcW w:w="567" w:type="dxa"/>
            <w:tcBorders>
              <w:top w:val="single" w:sz="4" w:space="0" w:color="auto"/>
              <w:left w:val="single" w:sz="4" w:space="0" w:color="auto"/>
              <w:bottom w:val="single" w:sz="4" w:space="0" w:color="auto"/>
              <w:right w:val="single" w:sz="4" w:space="0" w:color="auto"/>
            </w:tcBorders>
          </w:tcPr>
          <w:p w14:paraId="146FFB04" w14:textId="77777777" w:rsidR="00AD0781" w:rsidRPr="0068660F" w:rsidRDefault="00AD0781" w:rsidP="00AD0781">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100</w:t>
            </w:r>
          </w:p>
        </w:tc>
        <w:tc>
          <w:tcPr>
            <w:tcW w:w="567" w:type="dxa"/>
            <w:tcBorders>
              <w:top w:val="single" w:sz="4" w:space="0" w:color="auto"/>
              <w:left w:val="single" w:sz="4" w:space="0" w:color="auto"/>
              <w:bottom w:val="single" w:sz="4" w:space="0" w:color="auto"/>
              <w:right w:val="single" w:sz="4" w:space="0" w:color="auto"/>
            </w:tcBorders>
          </w:tcPr>
          <w:p w14:paraId="26FD9269" w14:textId="1B08EAE1" w:rsidR="00AD0781" w:rsidRPr="007910D0" w:rsidRDefault="00AD0781" w:rsidP="00AD0781">
            <w:pPr>
              <w:spacing w:line="360" w:lineRule="auto"/>
              <w:ind w:left="709" w:hanging="709"/>
              <w:jc w:val="center"/>
              <w:rPr>
                <w:rFonts w:ascii="Century Gothic" w:hAnsi="Century Gothic"/>
                <w:b/>
                <w:sz w:val="16"/>
                <w:szCs w:val="16"/>
              </w:rPr>
            </w:pPr>
            <w:r w:rsidRPr="007910D0">
              <w:rPr>
                <w:rFonts w:ascii="Century Gothic" w:hAnsi="Century Gothic"/>
                <w:b/>
                <w:sz w:val="16"/>
                <w:szCs w:val="16"/>
              </w:rPr>
              <w:t>416</w:t>
            </w:r>
          </w:p>
        </w:tc>
        <w:tc>
          <w:tcPr>
            <w:tcW w:w="567" w:type="dxa"/>
            <w:tcBorders>
              <w:top w:val="single" w:sz="4" w:space="0" w:color="auto"/>
              <w:left w:val="single" w:sz="4" w:space="0" w:color="auto"/>
              <w:bottom w:val="single" w:sz="4" w:space="0" w:color="auto"/>
              <w:right w:val="single" w:sz="4" w:space="0" w:color="auto"/>
            </w:tcBorders>
          </w:tcPr>
          <w:p w14:paraId="68E68455" w14:textId="40276A4B" w:rsidR="00AD0781" w:rsidRPr="007910D0" w:rsidRDefault="00AD0781" w:rsidP="00AD0781">
            <w:pPr>
              <w:spacing w:line="360" w:lineRule="auto"/>
              <w:ind w:left="709" w:hanging="709"/>
              <w:jc w:val="center"/>
              <w:rPr>
                <w:rFonts w:ascii="Century Gothic" w:hAnsi="Century Gothic"/>
                <w:b/>
                <w:sz w:val="16"/>
                <w:szCs w:val="16"/>
              </w:rPr>
            </w:pPr>
            <w:r w:rsidRPr="007910D0">
              <w:rPr>
                <w:rFonts w:ascii="Century Gothic" w:hAnsi="Century Gothic"/>
                <w:b/>
                <w:sz w:val="16"/>
                <w:szCs w:val="16"/>
              </w:rPr>
              <w:t>100</w:t>
            </w:r>
          </w:p>
        </w:tc>
        <w:tc>
          <w:tcPr>
            <w:tcW w:w="708" w:type="dxa"/>
            <w:tcBorders>
              <w:top w:val="single" w:sz="4" w:space="0" w:color="auto"/>
              <w:left w:val="single" w:sz="4" w:space="0" w:color="auto"/>
              <w:bottom w:val="single" w:sz="4" w:space="0" w:color="auto"/>
              <w:right w:val="single" w:sz="4" w:space="0" w:color="auto"/>
            </w:tcBorders>
          </w:tcPr>
          <w:p w14:paraId="6E6FA7F0" w14:textId="43258DB2" w:rsidR="00AD0781" w:rsidRPr="007910D0" w:rsidRDefault="00AD0781" w:rsidP="00AD0781">
            <w:pPr>
              <w:spacing w:line="360" w:lineRule="auto"/>
              <w:ind w:left="709" w:hanging="709"/>
              <w:jc w:val="center"/>
              <w:rPr>
                <w:rFonts w:ascii="Century Gothic" w:hAnsi="Century Gothic"/>
                <w:b/>
                <w:sz w:val="16"/>
                <w:szCs w:val="16"/>
              </w:rPr>
            </w:pPr>
            <w:r w:rsidRPr="007910D0">
              <w:rPr>
                <w:rFonts w:ascii="Century Gothic" w:hAnsi="Century Gothic"/>
                <w:b/>
                <w:sz w:val="16"/>
                <w:szCs w:val="16"/>
              </w:rPr>
              <w:t>100</w:t>
            </w:r>
          </w:p>
        </w:tc>
        <w:tc>
          <w:tcPr>
            <w:tcW w:w="567" w:type="dxa"/>
            <w:tcBorders>
              <w:top w:val="single" w:sz="4" w:space="0" w:color="auto"/>
              <w:left w:val="single" w:sz="4" w:space="0" w:color="auto"/>
              <w:bottom w:val="single" w:sz="4" w:space="0" w:color="auto"/>
              <w:right w:val="single" w:sz="4" w:space="0" w:color="auto"/>
            </w:tcBorders>
          </w:tcPr>
          <w:p w14:paraId="4C8A9414" w14:textId="1F09F19E" w:rsidR="00AD0781" w:rsidRPr="00B44051" w:rsidRDefault="00AD0781" w:rsidP="00AD0781">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397</w:t>
            </w:r>
          </w:p>
        </w:tc>
        <w:tc>
          <w:tcPr>
            <w:tcW w:w="567" w:type="dxa"/>
            <w:tcBorders>
              <w:top w:val="single" w:sz="4" w:space="0" w:color="auto"/>
              <w:left w:val="single" w:sz="4" w:space="0" w:color="auto"/>
              <w:bottom w:val="single" w:sz="4" w:space="0" w:color="auto"/>
              <w:right w:val="single" w:sz="4" w:space="0" w:color="auto"/>
            </w:tcBorders>
          </w:tcPr>
          <w:p w14:paraId="7B5FA0B3" w14:textId="62EA0DE5" w:rsidR="00AD0781" w:rsidRPr="00B44051" w:rsidRDefault="00AD0781" w:rsidP="00AD0781">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100</w:t>
            </w:r>
          </w:p>
        </w:tc>
        <w:tc>
          <w:tcPr>
            <w:tcW w:w="709" w:type="dxa"/>
            <w:tcBorders>
              <w:top w:val="single" w:sz="4" w:space="0" w:color="auto"/>
              <w:left w:val="single" w:sz="4" w:space="0" w:color="auto"/>
              <w:bottom w:val="single" w:sz="4" w:space="0" w:color="auto"/>
              <w:right w:val="single" w:sz="4" w:space="0" w:color="auto"/>
            </w:tcBorders>
          </w:tcPr>
          <w:p w14:paraId="1EA4E046" w14:textId="0B862A20" w:rsidR="00AD0781" w:rsidRPr="00B44051" w:rsidRDefault="00AD0781" w:rsidP="00AD0781">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100</w:t>
            </w:r>
          </w:p>
        </w:tc>
      </w:tr>
    </w:tbl>
    <w:p w14:paraId="1B116402" w14:textId="651294FC" w:rsidR="00AD0781" w:rsidRPr="008E3DC7" w:rsidRDefault="008E3DC7" w:rsidP="008E3DC7">
      <w:pPr>
        <w:pStyle w:val="Level1"/>
        <w:numPr>
          <w:ilvl w:val="0"/>
          <w:numId w:val="0"/>
        </w:numPr>
        <w:ind w:left="720" w:firstLine="131"/>
        <w:jc w:val="both"/>
        <w:rPr>
          <w:sz w:val="16"/>
          <w:szCs w:val="16"/>
        </w:rPr>
      </w:pPr>
      <w:r>
        <w:rPr>
          <w:sz w:val="16"/>
          <w:szCs w:val="16"/>
        </w:rPr>
        <w:t>Source: Experian GOAD</w:t>
      </w:r>
    </w:p>
    <w:p w14:paraId="1CDECC2A" w14:textId="7709BC9D" w:rsidR="00B75C59" w:rsidRDefault="009D4770" w:rsidP="00720441">
      <w:pPr>
        <w:pStyle w:val="Level1"/>
        <w:jc w:val="both"/>
      </w:pPr>
      <w:r>
        <w:t xml:space="preserve">The decline in the number and proportion of </w:t>
      </w:r>
      <w:r w:rsidR="00CA668C">
        <w:t xml:space="preserve">comparison goods retailers </w:t>
      </w:r>
      <w:r w:rsidR="00FE3862">
        <w:t>since 2006 has continued an intensified since 2013, with a fall from 171 in 2013 to 128 in 2021.  The proportion of surveyed units in comparison goods retail use in the town centre has fallen from 41% in 2013 to 32% in 2021.  This trend is not unique to Torquay, however, as demonstrated by the corresponding fall in the national average, from 41% in 2013 to 34% in 2021.</w:t>
      </w:r>
    </w:p>
    <w:p w14:paraId="56516DAE" w14:textId="472C5E17" w:rsidR="00B75C59" w:rsidRDefault="00EB006C" w:rsidP="00720441">
      <w:pPr>
        <w:pStyle w:val="Level1"/>
        <w:jc w:val="both"/>
      </w:pPr>
      <w:r>
        <w:lastRenderedPageBreak/>
        <w:t xml:space="preserve">The number of retail service uses in the town centre has increased very slightly between 2013 and 2021, from 144 to 148.  The proportion of retail service uses in the town centre remains very slightly below the </w:t>
      </w:r>
      <w:r w:rsidR="00AC77E0">
        <w:t>national average, although the small increase in the proportion of these uses mirrors the national average trend.</w:t>
      </w:r>
    </w:p>
    <w:p w14:paraId="0C228049" w14:textId="68015EDC" w:rsidR="00AC77E0" w:rsidRDefault="00AC77E0" w:rsidP="00720441">
      <w:pPr>
        <w:pStyle w:val="Level1"/>
        <w:jc w:val="both"/>
      </w:pPr>
      <w:r>
        <w:t>Finally, the proportion of vacant retail units in the town centre</w:t>
      </w:r>
      <w:r w:rsidR="002B486F">
        <w:t>, as surveyed by Experian GOAD,</w:t>
      </w:r>
      <w:r>
        <w:t xml:space="preserve"> stands at circa 21%, which is a similar proportion to </w:t>
      </w:r>
      <w:r w:rsidR="00955903">
        <w:t xml:space="preserve">that identified as part of the TC Retail Monitor data.  The proportion </w:t>
      </w:r>
      <w:r w:rsidR="003C3E03">
        <w:t xml:space="preserve">of vacancies is well above the national average for vacancies in town centres of circa 15.2%, although the increase in vacancies </w:t>
      </w:r>
      <w:r w:rsidR="002B486F">
        <w:t xml:space="preserve">in Torquay </w:t>
      </w:r>
      <w:r w:rsidR="00D53A03">
        <w:t>mirrors the national trend.</w:t>
      </w:r>
    </w:p>
    <w:p w14:paraId="2FEA355F" w14:textId="20768CFD" w:rsidR="00D53A03" w:rsidRPr="00B44051" w:rsidRDefault="00D53A03" w:rsidP="00720441">
      <w:pPr>
        <w:pStyle w:val="Level1"/>
        <w:jc w:val="both"/>
      </w:pPr>
      <w:r>
        <w:t xml:space="preserve">Table 4.3 below </w:t>
      </w:r>
      <w:r w:rsidRPr="007910D0">
        <w:t xml:space="preserve">outlines the amount of ground floor floorspace </w:t>
      </w:r>
      <w:r w:rsidR="00DF6EA7" w:rsidRPr="007910D0">
        <w:t xml:space="preserve">within each of the main land use </w:t>
      </w:r>
      <w:r w:rsidR="00DF6EA7" w:rsidRPr="00B44051">
        <w:t>categories, using the results of the 2021 Experian GOAD survey.</w:t>
      </w:r>
    </w:p>
    <w:p w14:paraId="458EEFC0" w14:textId="4A90969F" w:rsidR="00DF6EA7" w:rsidRPr="00B44051" w:rsidRDefault="00DF6EA7" w:rsidP="00DF6EA7">
      <w:pPr>
        <w:pStyle w:val="Level1"/>
        <w:numPr>
          <w:ilvl w:val="0"/>
          <w:numId w:val="0"/>
        </w:numPr>
        <w:spacing w:after="120" w:line="240" w:lineRule="auto"/>
        <w:ind w:left="720"/>
        <w:jc w:val="both"/>
        <w:rPr>
          <w:rStyle w:val="Emphasis"/>
          <w:sz w:val="18"/>
          <w:szCs w:val="18"/>
        </w:rPr>
      </w:pPr>
      <w:r w:rsidRPr="00B44051">
        <w:rPr>
          <w:rStyle w:val="Emphasis"/>
          <w:sz w:val="18"/>
          <w:szCs w:val="18"/>
        </w:rPr>
        <w:t>Table 4.3: Torquay town centre floorspace profile</w:t>
      </w:r>
    </w:p>
    <w:tbl>
      <w:tblPr>
        <w:tblStyle w:val="CustomTable2"/>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350"/>
        <w:gridCol w:w="2141"/>
        <w:gridCol w:w="2036"/>
      </w:tblGrid>
      <w:tr w:rsidR="003E7679" w:rsidRPr="003E7679" w14:paraId="3A6C212D" w14:textId="19BDFAF1" w:rsidTr="00E061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E8E9E7" w:themeFill="background2" w:themeFillTint="66"/>
          </w:tcPr>
          <w:p w14:paraId="179078BC" w14:textId="77777777" w:rsidR="00E06178" w:rsidRPr="003E7679" w:rsidRDefault="00E06178" w:rsidP="002B1054">
            <w:pPr>
              <w:pStyle w:val="Level1"/>
              <w:numPr>
                <w:ilvl w:val="0"/>
                <w:numId w:val="0"/>
              </w:numPr>
              <w:spacing w:before="0" w:after="0" w:line="240" w:lineRule="auto"/>
              <w:jc w:val="both"/>
              <w:rPr>
                <w:color w:val="auto"/>
                <w:sz w:val="18"/>
                <w:szCs w:val="18"/>
              </w:rPr>
            </w:pPr>
            <w:r w:rsidRPr="003E7679">
              <w:rPr>
                <w:color w:val="auto"/>
                <w:sz w:val="18"/>
                <w:szCs w:val="18"/>
              </w:rPr>
              <w:t>Sector</w:t>
            </w:r>
          </w:p>
        </w:tc>
        <w:tc>
          <w:tcPr>
            <w:tcW w:w="2350" w:type="dxa"/>
            <w:shd w:val="clear" w:color="auto" w:fill="E8E9E7" w:themeFill="background2" w:themeFillTint="66"/>
          </w:tcPr>
          <w:p w14:paraId="3F217089" w14:textId="77777777" w:rsidR="00E06178" w:rsidRPr="003E7679" w:rsidRDefault="00E06178" w:rsidP="002B1054">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3E7679">
              <w:rPr>
                <w:color w:val="auto"/>
                <w:sz w:val="18"/>
                <w:szCs w:val="18"/>
              </w:rPr>
              <w:t>Floorspace</w:t>
            </w:r>
          </w:p>
          <w:p w14:paraId="1C7491ED" w14:textId="56CCC9AD" w:rsidR="00E06178" w:rsidRPr="003E7679" w:rsidRDefault="00E06178" w:rsidP="002B1054">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3E7679">
              <w:rPr>
                <w:color w:val="auto"/>
                <w:sz w:val="18"/>
                <w:szCs w:val="18"/>
              </w:rPr>
              <w:t>(</w:t>
            </w:r>
            <w:proofErr w:type="spellStart"/>
            <w:proofErr w:type="gramStart"/>
            <w:r w:rsidRPr="003E7679">
              <w:rPr>
                <w:color w:val="auto"/>
                <w:sz w:val="18"/>
                <w:szCs w:val="18"/>
              </w:rPr>
              <w:t>sq</w:t>
            </w:r>
            <w:proofErr w:type="spellEnd"/>
            <w:proofErr w:type="gramEnd"/>
            <w:r w:rsidRPr="003E7679">
              <w:rPr>
                <w:color w:val="auto"/>
                <w:sz w:val="18"/>
                <w:szCs w:val="18"/>
              </w:rPr>
              <w:t xml:space="preserve"> m gross ground floor)</w:t>
            </w:r>
          </w:p>
        </w:tc>
        <w:tc>
          <w:tcPr>
            <w:tcW w:w="2141" w:type="dxa"/>
            <w:shd w:val="clear" w:color="auto" w:fill="E8E9E7" w:themeFill="background2" w:themeFillTint="66"/>
          </w:tcPr>
          <w:p w14:paraId="3F0EEB78" w14:textId="3BB06B1D" w:rsidR="00E06178" w:rsidRPr="003E7679" w:rsidRDefault="00E06178" w:rsidP="002B1054">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3E7679">
              <w:rPr>
                <w:color w:val="auto"/>
                <w:sz w:val="18"/>
                <w:szCs w:val="18"/>
              </w:rPr>
              <w:t xml:space="preserve">% </w:t>
            </w:r>
            <w:proofErr w:type="gramStart"/>
            <w:r w:rsidRPr="003E7679">
              <w:rPr>
                <w:color w:val="auto"/>
                <w:sz w:val="18"/>
                <w:szCs w:val="18"/>
              </w:rPr>
              <w:t>of</w:t>
            </w:r>
            <w:proofErr w:type="gramEnd"/>
            <w:r w:rsidRPr="003E7679">
              <w:rPr>
                <w:color w:val="auto"/>
                <w:sz w:val="18"/>
                <w:szCs w:val="18"/>
              </w:rPr>
              <w:t xml:space="preserve"> Total Surveyed Floorspace</w:t>
            </w:r>
          </w:p>
        </w:tc>
        <w:tc>
          <w:tcPr>
            <w:tcW w:w="2036" w:type="dxa"/>
            <w:shd w:val="clear" w:color="auto" w:fill="E8E9E7" w:themeFill="background2" w:themeFillTint="66"/>
          </w:tcPr>
          <w:p w14:paraId="2850A0A1" w14:textId="10256633" w:rsidR="00E06178" w:rsidRPr="003E7679" w:rsidRDefault="00E06178" w:rsidP="002B1054">
            <w:pPr>
              <w:pStyle w:val="Level1"/>
              <w:numPr>
                <w:ilvl w:val="0"/>
                <w:numId w:val="0"/>
              </w:numPr>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3E7679">
              <w:rPr>
                <w:color w:val="auto"/>
                <w:sz w:val="18"/>
                <w:szCs w:val="18"/>
              </w:rPr>
              <w:t>National Average (%)</w:t>
            </w:r>
          </w:p>
        </w:tc>
      </w:tr>
      <w:tr w:rsidR="00E06178" w:rsidRPr="007910D0" w14:paraId="61AB907C" w14:textId="382F195B" w:rsidTr="00E06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6141993B" w14:textId="77777777" w:rsidR="00E06178" w:rsidRPr="00B44051" w:rsidRDefault="00E06178" w:rsidP="002B1054">
            <w:pPr>
              <w:pStyle w:val="Level1"/>
              <w:numPr>
                <w:ilvl w:val="0"/>
                <w:numId w:val="0"/>
              </w:numPr>
              <w:spacing w:before="0" w:after="0" w:line="240" w:lineRule="auto"/>
              <w:jc w:val="both"/>
              <w:rPr>
                <w:bCs/>
                <w:color w:val="auto"/>
                <w:sz w:val="18"/>
                <w:szCs w:val="18"/>
              </w:rPr>
            </w:pPr>
            <w:r w:rsidRPr="00B44051">
              <w:rPr>
                <w:bCs/>
                <w:sz w:val="18"/>
                <w:szCs w:val="18"/>
              </w:rPr>
              <w:t>Convenience</w:t>
            </w:r>
          </w:p>
        </w:tc>
        <w:tc>
          <w:tcPr>
            <w:tcW w:w="2350" w:type="dxa"/>
            <w:shd w:val="clear" w:color="auto" w:fill="auto"/>
          </w:tcPr>
          <w:p w14:paraId="2CA05D21" w14:textId="2622F97F" w:rsidR="00E06178" w:rsidRPr="00B44051" w:rsidRDefault="00E06178" w:rsidP="002B1054">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B44051">
              <w:rPr>
                <w:bCs/>
                <w:sz w:val="18"/>
                <w:szCs w:val="18"/>
              </w:rPr>
              <w:t>6,698</w:t>
            </w:r>
          </w:p>
        </w:tc>
        <w:tc>
          <w:tcPr>
            <w:tcW w:w="2141" w:type="dxa"/>
            <w:shd w:val="clear" w:color="auto" w:fill="auto"/>
          </w:tcPr>
          <w:p w14:paraId="1F2175A9" w14:textId="37F6B7E8" w:rsidR="00E06178" w:rsidRPr="00B44051" w:rsidRDefault="00E06178" w:rsidP="002B1054">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B44051">
              <w:rPr>
                <w:bCs/>
                <w:sz w:val="18"/>
                <w:szCs w:val="18"/>
              </w:rPr>
              <w:t>9.6%</w:t>
            </w:r>
          </w:p>
        </w:tc>
        <w:tc>
          <w:tcPr>
            <w:tcW w:w="2036" w:type="dxa"/>
            <w:shd w:val="clear" w:color="auto" w:fill="auto"/>
          </w:tcPr>
          <w:p w14:paraId="01EC7BDF" w14:textId="6CDCF807" w:rsidR="00E06178" w:rsidRPr="00B44051" w:rsidRDefault="00EC3870" w:rsidP="002B1054">
            <w:pPr>
              <w:pStyle w:val="Level1"/>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Cs/>
                <w:sz w:val="18"/>
                <w:szCs w:val="18"/>
              </w:rPr>
            </w:pPr>
            <w:r w:rsidRPr="00B44051">
              <w:rPr>
                <w:bCs/>
                <w:sz w:val="18"/>
                <w:szCs w:val="18"/>
              </w:rPr>
              <w:t>18.8%</w:t>
            </w:r>
          </w:p>
        </w:tc>
      </w:tr>
      <w:tr w:rsidR="00E06178" w:rsidRPr="007910D0" w14:paraId="2EA9B444" w14:textId="6858DC3F" w:rsidTr="00E061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0DD2D8D1" w14:textId="77777777" w:rsidR="00E06178" w:rsidRPr="00B44051" w:rsidRDefault="00E06178" w:rsidP="002B1054">
            <w:pPr>
              <w:pStyle w:val="Level1"/>
              <w:numPr>
                <w:ilvl w:val="0"/>
                <w:numId w:val="0"/>
              </w:numPr>
              <w:spacing w:before="0" w:after="0" w:line="240" w:lineRule="auto"/>
              <w:jc w:val="both"/>
              <w:rPr>
                <w:bCs/>
                <w:color w:val="auto"/>
                <w:sz w:val="18"/>
                <w:szCs w:val="18"/>
              </w:rPr>
            </w:pPr>
            <w:r w:rsidRPr="00B44051">
              <w:rPr>
                <w:bCs/>
                <w:sz w:val="18"/>
                <w:szCs w:val="18"/>
              </w:rPr>
              <w:t>Comparison</w:t>
            </w:r>
          </w:p>
        </w:tc>
        <w:tc>
          <w:tcPr>
            <w:tcW w:w="2350" w:type="dxa"/>
            <w:shd w:val="clear" w:color="auto" w:fill="auto"/>
          </w:tcPr>
          <w:p w14:paraId="6CD46F63" w14:textId="4124F6AB" w:rsidR="00E06178" w:rsidRPr="00B44051" w:rsidRDefault="00E06178" w:rsidP="002B1054">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B44051">
              <w:rPr>
                <w:bCs/>
                <w:sz w:val="18"/>
                <w:szCs w:val="18"/>
              </w:rPr>
              <w:t>26,598</w:t>
            </w:r>
          </w:p>
        </w:tc>
        <w:tc>
          <w:tcPr>
            <w:tcW w:w="2141" w:type="dxa"/>
            <w:shd w:val="clear" w:color="auto" w:fill="auto"/>
          </w:tcPr>
          <w:p w14:paraId="2CC22246" w14:textId="438296C9" w:rsidR="00E06178" w:rsidRPr="00B44051" w:rsidRDefault="00E06178" w:rsidP="002B1054">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B44051">
              <w:rPr>
                <w:bCs/>
                <w:sz w:val="18"/>
                <w:szCs w:val="18"/>
              </w:rPr>
              <w:t>38.0%</w:t>
            </w:r>
          </w:p>
        </w:tc>
        <w:tc>
          <w:tcPr>
            <w:tcW w:w="2036" w:type="dxa"/>
            <w:shd w:val="clear" w:color="auto" w:fill="auto"/>
          </w:tcPr>
          <w:p w14:paraId="34064C9C" w14:textId="10E4C395" w:rsidR="00E06178" w:rsidRPr="00B44051" w:rsidRDefault="00EC3870" w:rsidP="002B1054">
            <w:pPr>
              <w:pStyle w:val="Level1"/>
              <w:numPr>
                <w:ilvl w:val="0"/>
                <w:numId w:val="0"/>
              </w:numPr>
              <w:spacing w:after="0" w:line="240" w:lineRule="auto"/>
              <w:jc w:val="center"/>
              <w:cnfStyle w:val="000000010000" w:firstRow="0" w:lastRow="0" w:firstColumn="0" w:lastColumn="0" w:oddVBand="0" w:evenVBand="0" w:oddHBand="0" w:evenHBand="1" w:firstRowFirstColumn="0" w:firstRowLastColumn="0" w:lastRowFirstColumn="0" w:lastRowLastColumn="0"/>
              <w:rPr>
                <w:bCs/>
                <w:sz w:val="18"/>
                <w:szCs w:val="18"/>
              </w:rPr>
            </w:pPr>
            <w:r w:rsidRPr="00B44051">
              <w:rPr>
                <w:bCs/>
                <w:sz w:val="18"/>
                <w:szCs w:val="18"/>
              </w:rPr>
              <w:t>38.7%</w:t>
            </w:r>
          </w:p>
        </w:tc>
      </w:tr>
      <w:tr w:rsidR="00E06178" w:rsidRPr="007910D0" w14:paraId="4B7271CA" w14:textId="70B5C07B" w:rsidTr="00E06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3F757091" w14:textId="77777777" w:rsidR="00E06178" w:rsidRPr="00B44051" w:rsidRDefault="00E06178" w:rsidP="002B1054">
            <w:pPr>
              <w:pStyle w:val="Level1"/>
              <w:numPr>
                <w:ilvl w:val="0"/>
                <w:numId w:val="0"/>
              </w:numPr>
              <w:spacing w:before="0" w:after="0" w:line="240" w:lineRule="auto"/>
              <w:jc w:val="both"/>
              <w:rPr>
                <w:bCs/>
                <w:color w:val="auto"/>
                <w:sz w:val="18"/>
                <w:szCs w:val="18"/>
              </w:rPr>
            </w:pPr>
            <w:r w:rsidRPr="00B44051">
              <w:rPr>
                <w:bCs/>
                <w:sz w:val="18"/>
                <w:szCs w:val="18"/>
              </w:rPr>
              <w:t>Service</w:t>
            </w:r>
          </w:p>
        </w:tc>
        <w:tc>
          <w:tcPr>
            <w:tcW w:w="2350" w:type="dxa"/>
            <w:shd w:val="clear" w:color="auto" w:fill="auto"/>
          </w:tcPr>
          <w:p w14:paraId="176C38AE" w14:textId="5C03E8C0" w:rsidR="00E06178" w:rsidRPr="00B44051" w:rsidRDefault="00E06178" w:rsidP="002B1054">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B44051">
              <w:rPr>
                <w:bCs/>
                <w:sz w:val="18"/>
                <w:szCs w:val="18"/>
              </w:rPr>
              <w:t>17,243</w:t>
            </w:r>
          </w:p>
        </w:tc>
        <w:tc>
          <w:tcPr>
            <w:tcW w:w="2141" w:type="dxa"/>
            <w:shd w:val="clear" w:color="auto" w:fill="auto"/>
          </w:tcPr>
          <w:p w14:paraId="2DC7220F" w14:textId="0B25F0FF" w:rsidR="00E06178" w:rsidRPr="00B44051" w:rsidRDefault="00E06178" w:rsidP="002B1054">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B44051">
              <w:rPr>
                <w:bCs/>
                <w:sz w:val="18"/>
                <w:szCs w:val="18"/>
              </w:rPr>
              <w:t>24.6%</w:t>
            </w:r>
          </w:p>
        </w:tc>
        <w:tc>
          <w:tcPr>
            <w:tcW w:w="2036" w:type="dxa"/>
            <w:shd w:val="clear" w:color="auto" w:fill="auto"/>
          </w:tcPr>
          <w:p w14:paraId="07A6174A" w14:textId="237771B4" w:rsidR="00E06178" w:rsidRPr="00B44051" w:rsidRDefault="00EC3870" w:rsidP="002B1054">
            <w:pPr>
              <w:pStyle w:val="Level1"/>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Cs/>
                <w:sz w:val="18"/>
                <w:szCs w:val="18"/>
              </w:rPr>
            </w:pPr>
            <w:r w:rsidRPr="00B44051">
              <w:rPr>
                <w:bCs/>
                <w:sz w:val="18"/>
                <w:szCs w:val="18"/>
              </w:rPr>
              <w:t>25.7%</w:t>
            </w:r>
          </w:p>
        </w:tc>
      </w:tr>
      <w:tr w:rsidR="00E06178" w:rsidRPr="007910D0" w14:paraId="3ED66C32" w14:textId="09D814E1" w:rsidTr="00E061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00843225" w14:textId="77777777" w:rsidR="00E06178" w:rsidRPr="00B44051" w:rsidRDefault="00E06178" w:rsidP="002B1054">
            <w:pPr>
              <w:pStyle w:val="Level1"/>
              <w:numPr>
                <w:ilvl w:val="0"/>
                <w:numId w:val="0"/>
              </w:numPr>
              <w:spacing w:before="0" w:after="0" w:line="240" w:lineRule="auto"/>
              <w:jc w:val="both"/>
              <w:rPr>
                <w:bCs/>
                <w:color w:val="auto"/>
                <w:sz w:val="18"/>
                <w:szCs w:val="18"/>
              </w:rPr>
            </w:pPr>
            <w:r w:rsidRPr="00B44051">
              <w:rPr>
                <w:bCs/>
                <w:sz w:val="18"/>
                <w:szCs w:val="18"/>
              </w:rPr>
              <w:t>Other</w:t>
            </w:r>
          </w:p>
        </w:tc>
        <w:tc>
          <w:tcPr>
            <w:tcW w:w="2350" w:type="dxa"/>
            <w:shd w:val="clear" w:color="auto" w:fill="auto"/>
          </w:tcPr>
          <w:p w14:paraId="6A846E29" w14:textId="78A5B928" w:rsidR="00E06178" w:rsidRPr="00B44051" w:rsidRDefault="00E06178" w:rsidP="002B1054">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B44051">
              <w:rPr>
                <w:bCs/>
                <w:sz w:val="18"/>
                <w:szCs w:val="18"/>
              </w:rPr>
              <w:t>725</w:t>
            </w:r>
          </w:p>
        </w:tc>
        <w:tc>
          <w:tcPr>
            <w:tcW w:w="2141" w:type="dxa"/>
            <w:shd w:val="clear" w:color="auto" w:fill="auto"/>
          </w:tcPr>
          <w:p w14:paraId="758307FD" w14:textId="4F54189E" w:rsidR="00E06178" w:rsidRPr="00B44051" w:rsidRDefault="00E06178" w:rsidP="002B1054">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B44051">
              <w:rPr>
                <w:bCs/>
                <w:sz w:val="18"/>
                <w:szCs w:val="18"/>
              </w:rPr>
              <w:t>1.0%</w:t>
            </w:r>
          </w:p>
        </w:tc>
        <w:tc>
          <w:tcPr>
            <w:tcW w:w="2036" w:type="dxa"/>
            <w:shd w:val="clear" w:color="auto" w:fill="auto"/>
          </w:tcPr>
          <w:p w14:paraId="41A5A88C" w14:textId="4CBE0ED0" w:rsidR="00E06178" w:rsidRPr="00B44051" w:rsidRDefault="00E06178" w:rsidP="002B1054">
            <w:pPr>
              <w:pStyle w:val="Level1"/>
              <w:numPr>
                <w:ilvl w:val="0"/>
                <w:numId w:val="0"/>
              </w:numPr>
              <w:spacing w:after="0" w:line="240" w:lineRule="auto"/>
              <w:jc w:val="center"/>
              <w:cnfStyle w:val="000000010000" w:firstRow="0" w:lastRow="0" w:firstColumn="0" w:lastColumn="0" w:oddVBand="0" w:evenVBand="0" w:oddHBand="0" w:evenHBand="1" w:firstRowFirstColumn="0" w:firstRowLastColumn="0" w:lastRowFirstColumn="0" w:lastRowLastColumn="0"/>
              <w:rPr>
                <w:bCs/>
                <w:sz w:val="18"/>
                <w:szCs w:val="18"/>
              </w:rPr>
            </w:pPr>
            <w:r w:rsidRPr="00B44051">
              <w:rPr>
                <w:bCs/>
                <w:sz w:val="18"/>
                <w:szCs w:val="18"/>
              </w:rPr>
              <w:t>0.7%</w:t>
            </w:r>
          </w:p>
        </w:tc>
      </w:tr>
      <w:tr w:rsidR="00E06178" w:rsidRPr="007910D0" w14:paraId="0BE47977" w14:textId="0B3FCE2A" w:rsidTr="00E06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43019A99" w14:textId="77777777" w:rsidR="00E06178" w:rsidRPr="00B44051" w:rsidRDefault="00E06178" w:rsidP="002B1054">
            <w:pPr>
              <w:pStyle w:val="Level1"/>
              <w:numPr>
                <w:ilvl w:val="0"/>
                <w:numId w:val="0"/>
              </w:numPr>
              <w:spacing w:before="0" w:after="0" w:line="240" w:lineRule="auto"/>
              <w:jc w:val="both"/>
              <w:rPr>
                <w:bCs/>
                <w:color w:val="auto"/>
                <w:sz w:val="18"/>
                <w:szCs w:val="18"/>
              </w:rPr>
            </w:pPr>
            <w:r w:rsidRPr="00B44051">
              <w:rPr>
                <w:bCs/>
                <w:sz w:val="18"/>
                <w:szCs w:val="18"/>
              </w:rPr>
              <w:t>Vacant</w:t>
            </w:r>
          </w:p>
        </w:tc>
        <w:tc>
          <w:tcPr>
            <w:tcW w:w="2350" w:type="dxa"/>
            <w:shd w:val="clear" w:color="auto" w:fill="auto"/>
          </w:tcPr>
          <w:p w14:paraId="2F94B0A8" w14:textId="1D33160F" w:rsidR="00E06178" w:rsidRPr="00B44051" w:rsidRDefault="00E06178" w:rsidP="002B1054">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B44051">
              <w:rPr>
                <w:bCs/>
                <w:sz w:val="18"/>
                <w:szCs w:val="18"/>
              </w:rPr>
              <w:t>18,757</w:t>
            </w:r>
          </w:p>
        </w:tc>
        <w:tc>
          <w:tcPr>
            <w:tcW w:w="2141" w:type="dxa"/>
            <w:shd w:val="clear" w:color="auto" w:fill="auto"/>
          </w:tcPr>
          <w:p w14:paraId="7649E509" w14:textId="78453193" w:rsidR="00E06178" w:rsidRPr="00B44051" w:rsidRDefault="00E06178" w:rsidP="002B1054">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B44051">
              <w:rPr>
                <w:bCs/>
                <w:sz w:val="18"/>
                <w:szCs w:val="18"/>
              </w:rPr>
              <w:t>26.8%</w:t>
            </w:r>
          </w:p>
        </w:tc>
        <w:tc>
          <w:tcPr>
            <w:tcW w:w="2036" w:type="dxa"/>
            <w:shd w:val="clear" w:color="auto" w:fill="auto"/>
          </w:tcPr>
          <w:p w14:paraId="29D4E9CA" w14:textId="407EA000" w:rsidR="00E06178" w:rsidRPr="00B44051" w:rsidRDefault="00EC3870" w:rsidP="002B1054">
            <w:pPr>
              <w:pStyle w:val="Level1"/>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Cs/>
                <w:sz w:val="18"/>
                <w:szCs w:val="18"/>
              </w:rPr>
            </w:pPr>
            <w:r w:rsidRPr="00B44051">
              <w:rPr>
                <w:bCs/>
                <w:sz w:val="18"/>
                <w:szCs w:val="18"/>
              </w:rPr>
              <w:t>16.1%</w:t>
            </w:r>
          </w:p>
        </w:tc>
      </w:tr>
      <w:tr w:rsidR="00E06178" w:rsidRPr="007910D0" w14:paraId="4CA111B8" w14:textId="6819BDA0" w:rsidTr="00E061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571492FC" w14:textId="77777777" w:rsidR="00E06178" w:rsidRPr="00B44051" w:rsidRDefault="00E06178" w:rsidP="002B1054">
            <w:pPr>
              <w:pStyle w:val="Level1"/>
              <w:numPr>
                <w:ilvl w:val="0"/>
                <w:numId w:val="0"/>
              </w:numPr>
              <w:spacing w:before="0" w:after="0" w:line="240" w:lineRule="auto"/>
              <w:jc w:val="both"/>
              <w:rPr>
                <w:bCs/>
                <w:color w:val="auto"/>
                <w:sz w:val="18"/>
                <w:szCs w:val="18"/>
              </w:rPr>
            </w:pPr>
            <w:r w:rsidRPr="00B44051">
              <w:rPr>
                <w:bCs/>
                <w:sz w:val="18"/>
                <w:szCs w:val="18"/>
              </w:rPr>
              <w:t>Total</w:t>
            </w:r>
          </w:p>
        </w:tc>
        <w:tc>
          <w:tcPr>
            <w:tcW w:w="2350" w:type="dxa"/>
            <w:shd w:val="clear" w:color="auto" w:fill="auto"/>
          </w:tcPr>
          <w:p w14:paraId="4B57B5B2" w14:textId="14096393" w:rsidR="00E06178" w:rsidRPr="00B44051" w:rsidRDefault="00E06178" w:rsidP="002B1054">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B44051">
              <w:rPr>
                <w:bCs/>
                <w:sz w:val="18"/>
                <w:szCs w:val="18"/>
              </w:rPr>
              <w:t>70,021</w:t>
            </w:r>
          </w:p>
        </w:tc>
        <w:tc>
          <w:tcPr>
            <w:tcW w:w="2141" w:type="dxa"/>
            <w:shd w:val="clear" w:color="auto" w:fill="auto"/>
          </w:tcPr>
          <w:p w14:paraId="7EE259EF" w14:textId="128365B0" w:rsidR="00E06178" w:rsidRPr="00B44051" w:rsidRDefault="00E06178" w:rsidP="002B1054">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B44051">
              <w:rPr>
                <w:bCs/>
                <w:sz w:val="18"/>
                <w:szCs w:val="18"/>
              </w:rPr>
              <w:t>100%</w:t>
            </w:r>
          </w:p>
        </w:tc>
        <w:tc>
          <w:tcPr>
            <w:tcW w:w="2036" w:type="dxa"/>
            <w:shd w:val="clear" w:color="auto" w:fill="auto"/>
          </w:tcPr>
          <w:p w14:paraId="3E8C9BC3" w14:textId="49AC89A5" w:rsidR="00E06178" w:rsidRPr="007910D0" w:rsidRDefault="00E06178" w:rsidP="002B1054">
            <w:pPr>
              <w:pStyle w:val="Level1"/>
              <w:numPr>
                <w:ilvl w:val="0"/>
                <w:numId w:val="0"/>
              </w:numPr>
              <w:spacing w:after="0" w:line="240" w:lineRule="auto"/>
              <w:jc w:val="center"/>
              <w:cnfStyle w:val="000000010000" w:firstRow="0" w:lastRow="0" w:firstColumn="0" w:lastColumn="0" w:oddVBand="0" w:evenVBand="0" w:oddHBand="0" w:evenHBand="1" w:firstRowFirstColumn="0" w:firstRowLastColumn="0" w:lastRowFirstColumn="0" w:lastRowLastColumn="0"/>
              <w:rPr>
                <w:bCs/>
                <w:sz w:val="18"/>
                <w:szCs w:val="18"/>
              </w:rPr>
            </w:pPr>
            <w:r w:rsidRPr="00B44051">
              <w:rPr>
                <w:bCs/>
                <w:sz w:val="18"/>
                <w:szCs w:val="18"/>
              </w:rPr>
              <w:t>100%</w:t>
            </w:r>
          </w:p>
        </w:tc>
      </w:tr>
    </w:tbl>
    <w:p w14:paraId="5A31AF43" w14:textId="6A8D205F" w:rsidR="00DF6EA7" w:rsidRPr="007910D0" w:rsidRDefault="00DF6EA7" w:rsidP="00DF6EA7">
      <w:pPr>
        <w:pStyle w:val="Level1"/>
        <w:numPr>
          <w:ilvl w:val="0"/>
          <w:numId w:val="0"/>
        </w:numPr>
        <w:ind w:left="720"/>
        <w:jc w:val="both"/>
        <w:rPr>
          <w:sz w:val="16"/>
          <w:szCs w:val="16"/>
        </w:rPr>
      </w:pPr>
      <w:r w:rsidRPr="007910D0">
        <w:rPr>
          <w:sz w:val="16"/>
          <w:szCs w:val="16"/>
        </w:rPr>
        <w:t>Source: Experian GOAD</w:t>
      </w:r>
    </w:p>
    <w:p w14:paraId="1702A9DE" w14:textId="40980A0E" w:rsidR="00DF6EA7" w:rsidRDefault="00EC3870" w:rsidP="00720441">
      <w:pPr>
        <w:pStyle w:val="Level1"/>
        <w:jc w:val="both"/>
      </w:pPr>
      <w:r w:rsidRPr="007910D0">
        <w:t>Table 4.3</w:t>
      </w:r>
      <w:r w:rsidR="00F40E74" w:rsidRPr="007910D0">
        <w:t xml:space="preserve"> indicates that </w:t>
      </w:r>
      <w:r w:rsidR="00E867C8" w:rsidRPr="007910D0">
        <w:t>around 10% of surveyed floorspace is occupied by convenience goods retailers, which is broadly half of the national</w:t>
      </w:r>
      <w:r w:rsidR="00E867C8">
        <w:t xml:space="preserve"> average rate and indicates that convenience goods retailers in Torquay town centre are </w:t>
      </w:r>
      <w:r w:rsidR="007A71D1">
        <w:t xml:space="preserve">comparatively small in scale.  Around two-thirds of space is occupied by comparison goods retailers or retail service </w:t>
      </w:r>
      <w:r w:rsidR="003A475C">
        <w:t xml:space="preserve">uses, which is commensurate with the national average.  </w:t>
      </w:r>
      <w:r w:rsidR="002E4B60">
        <w:t>Just over one quarter (26.8%) of surveyed floorspace was found to be vacant, which is well above the national average for vacant town centre floorspace of 16.1%.</w:t>
      </w:r>
    </w:p>
    <w:p w14:paraId="2F135BF1" w14:textId="681EF897" w:rsidR="00DF6EA7" w:rsidRDefault="002E4B60" w:rsidP="00720441">
      <w:pPr>
        <w:pStyle w:val="Level1"/>
        <w:jc w:val="both"/>
      </w:pPr>
      <w:r>
        <w:t xml:space="preserve">With regards to shopping patterns, Table 4.4 below </w:t>
      </w:r>
      <w:r w:rsidR="00BE6EFA">
        <w:t xml:space="preserve">outlines the market share of convenience goods stores in Torquay for first and second choice main food shopping trips across each of the study area zones from the 2013 and 2022 retail studies. </w:t>
      </w:r>
    </w:p>
    <w:p w14:paraId="07339D57" w14:textId="59D4A5DE" w:rsidR="006A1972" w:rsidRDefault="006A1972" w:rsidP="006A1972">
      <w:pPr>
        <w:pStyle w:val="Level1"/>
        <w:numPr>
          <w:ilvl w:val="0"/>
          <w:numId w:val="0"/>
        </w:numPr>
        <w:ind w:left="720"/>
        <w:jc w:val="both"/>
      </w:pPr>
    </w:p>
    <w:p w14:paraId="4DEC266A" w14:textId="59220F29" w:rsidR="006A1972" w:rsidRDefault="006A1972" w:rsidP="006A1972">
      <w:pPr>
        <w:pStyle w:val="Level1"/>
        <w:numPr>
          <w:ilvl w:val="0"/>
          <w:numId w:val="0"/>
        </w:numPr>
        <w:ind w:left="720"/>
        <w:jc w:val="both"/>
      </w:pPr>
    </w:p>
    <w:p w14:paraId="0AAC8D89" w14:textId="19F28F80" w:rsidR="006A1972" w:rsidRDefault="006A1972" w:rsidP="006A1972">
      <w:pPr>
        <w:pStyle w:val="Level1"/>
        <w:numPr>
          <w:ilvl w:val="0"/>
          <w:numId w:val="0"/>
        </w:numPr>
        <w:ind w:left="720"/>
        <w:jc w:val="both"/>
      </w:pPr>
    </w:p>
    <w:p w14:paraId="0977EB15" w14:textId="32E6204D" w:rsidR="006A1972" w:rsidRDefault="006A1972" w:rsidP="006A1972">
      <w:pPr>
        <w:pStyle w:val="Level1"/>
        <w:numPr>
          <w:ilvl w:val="0"/>
          <w:numId w:val="0"/>
        </w:numPr>
        <w:ind w:left="720"/>
        <w:jc w:val="both"/>
      </w:pPr>
    </w:p>
    <w:p w14:paraId="4171F2A7" w14:textId="218E103B" w:rsidR="006A1972" w:rsidRDefault="006A1972" w:rsidP="006A1972">
      <w:pPr>
        <w:pStyle w:val="Level1"/>
        <w:numPr>
          <w:ilvl w:val="0"/>
          <w:numId w:val="0"/>
        </w:numPr>
        <w:ind w:left="720"/>
        <w:jc w:val="both"/>
      </w:pPr>
    </w:p>
    <w:p w14:paraId="62117402" w14:textId="7A71FE13" w:rsidR="006A1972" w:rsidRDefault="006A1972" w:rsidP="006A1972">
      <w:pPr>
        <w:pStyle w:val="Level1"/>
        <w:numPr>
          <w:ilvl w:val="0"/>
          <w:numId w:val="0"/>
        </w:numPr>
        <w:ind w:left="720"/>
        <w:jc w:val="both"/>
      </w:pPr>
    </w:p>
    <w:p w14:paraId="022D1A8A" w14:textId="1BFABD8C" w:rsidR="006A1972" w:rsidRDefault="006A1972" w:rsidP="006A1972">
      <w:pPr>
        <w:pStyle w:val="Level1"/>
        <w:numPr>
          <w:ilvl w:val="0"/>
          <w:numId w:val="0"/>
        </w:numPr>
        <w:ind w:left="720"/>
        <w:jc w:val="both"/>
      </w:pPr>
    </w:p>
    <w:p w14:paraId="7D4657EE" w14:textId="5B1261A4" w:rsidR="006A1972" w:rsidRDefault="006A1972" w:rsidP="006A1972">
      <w:pPr>
        <w:pStyle w:val="Level1"/>
        <w:numPr>
          <w:ilvl w:val="0"/>
          <w:numId w:val="0"/>
        </w:numPr>
        <w:ind w:left="720"/>
        <w:jc w:val="both"/>
      </w:pPr>
    </w:p>
    <w:p w14:paraId="6B38C4A4" w14:textId="77777777" w:rsidR="006A1972" w:rsidRDefault="006A1972" w:rsidP="006A1972">
      <w:pPr>
        <w:pStyle w:val="Level1"/>
        <w:numPr>
          <w:ilvl w:val="0"/>
          <w:numId w:val="0"/>
        </w:numPr>
        <w:ind w:left="720"/>
        <w:jc w:val="both"/>
      </w:pPr>
    </w:p>
    <w:p w14:paraId="4EB0C1C6" w14:textId="34677194" w:rsidR="00EA138F" w:rsidRPr="00EA138F" w:rsidRDefault="00EA138F" w:rsidP="00EA138F">
      <w:pPr>
        <w:pStyle w:val="Level1"/>
        <w:numPr>
          <w:ilvl w:val="0"/>
          <w:numId w:val="0"/>
        </w:numPr>
        <w:ind w:left="720"/>
        <w:jc w:val="both"/>
        <w:rPr>
          <w:rStyle w:val="Emphasis"/>
        </w:rPr>
      </w:pPr>
      <w:bookmarkStart w:id="8" w:name="_Hlk111645898"/>
      <w:r>
        <w:rPr>
          <w:rStyle w:val="Emphasis"/>
        </w:rPr>
        <w:lastRenderedPageBreak/>
        <w:t xml:space="preserve">Table 4.4: </w:t>
      </w:r>
      <w:r w:rsidR="00E53F5D">
        <w:rPr>
          <w:rStyle w:val="Emphasis"/>
        </w:rPr>
        <w:t xml:space="preserve">first and second choice </w:t>
      </w:r>
      <w:r>
        <w:rPr>
          <w:rStyle w:val="Emphasis"/>
        </w:rPr>
        <w:t>main food</w:t>
      </w:r>
      <w:r w:rsidR="00E53F5D">
        <w:rPr>
          <w:rStyle w:val="Emphasis"/>
        </w:rPr>
        <w:t xml:space="preserve"> shopping market shares associated with town and district centres in Torquay (2013 and 2022 retail studies)</w:t>
      </w:r>
    </w:p>
    <w:tbl>
      <w:tblPr>
        <w:tblStyle w:val="CustomTable2"/>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2"/>
        <w:gridCol w:w="632"/>
        <w:gridCol w:w="632"/>
        <w:gridCol w:w="632"/>
        <w:gridCol w:w="631"/>
        <w:gridCol w:w="631"/>
        <w:gridCol w:w="631"/>
        <w:gridCol w:w="631"/>
        <w:gridCol w:w="631"/>
        <w:gridCol w:w="631"/>
        <w:gridCol w:w="632"/>
        <w:gridCol w:w="632"/>
        <w:gridCol w:w="632"/>
        <w:gridCol w:w="632"/>
      </w:tblGrid>
      <w:tr w:rsidR="003B4688" w:rsidRPr="00730B85" w14:paraId="4CA26E7E" w14:textId="77777777" w:rsidTr="003B4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D9D9D9" w:themeFill="background1" w:themeFillShade="D9"/>
          </w:tcPr>
          <w:p w14:paraId="39007773" w14:textId="5C571D06" w:rsidR="003B4688" w:rsidRPr="00730B85" w:rsidRDefault="003B4688" w:rsidP="00EA138F">
            <w:pPr>
              <w:pStyle w:val="Level1"/>
              <w:numPr>
                <w:ilvl w:val="0"/>
                <w:numId w:val="0"/>
              </w:numPr>
              <w:spacing w:before="0" w:after="0" w:line="240" w:lineRule="auto"/>
              <w:jc w:val="both"/>
              <w:rPr>
                <w:rFonts w:cs="Open Sans"/>
                <w:color w:val="auto"/>
                <w:sz w:val="18"/>
                <w:szCs w:val="18"/>
              </w:rPr>
            </w:pPr>
            <w:r w:rsidRPr="00730B85">
              <w:rPr>
                <w:rFonts w:cs="Open Sans"/>
                <w:color w:val="auto"/>
                <w:sz w:val="18"/>
                <w:szCs w:val="18"/>
              </w:rPr>
              <w:t>CENTRE</w:t>
            </w:r>
          </w:p>
        </w:tc>
        <w:tc>
          <w:tcPr>
            <w:tcW w:w="4421" w:type="dxa"/>
            <w:gridSpan w:val="7"/>
            <w:shd w:val="clear" w:color="auto" w:fill="D9D9D9" w:themeFill="background1" w:themeFillShade="D9"/>
          </w:tcPr>
          <w:p w14:paraId="3273A290" w14:textId="0DC354CB" w:rsidR="003B4688" w:rsidRPr="00730B85" w:rsidRDefault="003B4688" w:rsidP="003B4688">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Open Sans"/>
                <w:color w:val="auto"/>
                <w:sz w:val="18"/>
                <w:szCs w:val="18"/>
              </w:rPr>
            </w:pPr>
            <w:r w:rsidRPr="00730B85">
              <w:rPr>
                <w:rFonts w:cs="Open Sans"/>
                <w:color w:val="auto"/>
                <w:sz w:val="18"/>
                <w:szCs w:val="18"/>
              </w:rPr>
              <w:t>First Choice Main Food</w:t>
            </w:r>
          </w:p>
        </w:tc>
        <w:tc>
          <w:tcPr>
            <w:tcW w:w="4421" w:type="dxa"/>
            <w:gridSpan w:val="7"/>
            <w:shd w:val="clear" w:color="auto" w:fill="D9D9D9" w:themeFill="background1" w:themeFillShade="D9"/>
          </w:tcPr>
          <w:p w14:paraId="3C601214" w14:textId="51F7F7C5" w:rsidR="003B4688" w:rsidRPr="00730B85" w:rsidRDefault="003B4688" w:rsidP="003B4688">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Open Sans"/>
                <w:color w:val="auto"/>
                <w:sz w:val="18"/>
                <w:szCs w:val="18"/>
              </w:rPr>
            </w:pPr>
            <w:r w:rsidRPr="00730B85">
              <w:rPr>
                <w:rFonts w:cs="Open Sans"/>
                <w:color w:val="auto"/>
                <w:sz w:val="18"/>
                <w:szCs w:val="18"/>
              </w:rPr>
              <w:t>Second Choice Main Food</w:t>
            </w:r>
          </w:p>
        </w:tc>
      </w:tr>
      <w:tr w:rsidR="003B4688" w:rsidRPr="00730B85" w14:paraId="0199719C" w14:textId="77777777" w:rsidTr="003B46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D9D9D9" w:themeFill="background1" w:themeFillShade="D9"/>
          </w:tcPr>
          <w:p w14:paraId="0E75C0D4" w14:textId="77777777" w:rsidR="003B4688" w:rsidRPr="00730B85" w:rsidRDefault="003B4688" w:rsidP="003B4688">
            <w:pPr>
              <w:pStyle w:val="Level1"/>
              <w:numPr>
                <w:ilvl w:val="0"/>
                <w:numId w:val="0"/>
              </w:numPr>
              <w:spacing w:before="0" w:after="0" w:line="240" w:lineRule="auto"/>
              <w:jc w:val="both"/>
              <w:rPr>
                <w:rFonts w:cs="Open Sans"/>
                <w:b/>
                <w:color w:val="auto"/>
                <w:sz w:val="18"/>
                <w:szCs w:val="18"/>
              </w:rPr>
            </w:pPr>
          </w:p>
        </w:tc>
        <w:tc>
          <w:tcPr>
            <w:tcW w:w="632" w:type="dxa"/>
            <w:shd w:val="clear" w:color="auto" w:fill="D9D9D9" w:themeFill="background1" w:themeFillShade="D9"/>
          </w:tcPr>
          <w:p w14:paraId="56732B74" w14:textId="10B89BCD"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2</w:t>
            </w:r>
          </w:p>
        </w:tc>
        <w:tc>
          <w:tcPr>
            <w:tcW w:w="632" w:type="dxa"/>
            <w:shd w:val="clear" w:color="auto" w:fill="D9D9D9" w:themeFill="background1" w:themeFillShade="D9"/>
          </w:tcPr>
          <w:p w14:paraId="1B56E1F3" w14:textId="153DD03B"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3</w:t>
            </w:r>
          </w:p>
        </w:tc>
        <w:tc>
          <w:tcPr>
            <w:tcW w:w="632" w:type="dxa"/>
            <w:shd w:val="clear" w:color="auto" w:fill="D9D9D9" w:themeFill="background1" w:themeFillShade="D9"/>
          </w:tcPr>
          <w:p w14:paraId="6F26F4D3" w14:textId="7F6A2938"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4</w:t>
            </w:r>
          </w:p>
        </w:tc>
        <w:tc>
          <w:tcPr>
            <w:tcW w:w="632" w:type="dxa"/>
            <w:shd w:val="clear" w:color="auto" w:fill="D9D9D9" w:themeFill="background1" w:themeFillShade="D9"/>
          </w:tcPr>
          <w:p w14:paraId="448B42C8" w14:textId="26BC359E"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5</w:t>
            </w:r>
          </w:p>
        </w:tc>
        <w:tc>
          <w:tcPr>
            <w:tcW w:w="631" w:type="dxa"/>
            <w:shd w:val="clear" w:color="auto" w:fill="D9D9D9" w:themeFill="background1" w:themeFillShade="D9"/>
          </w:tcPr>
          <w:p w14:paraId="2D8DBD83" w14:textId="1D61B402"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6</w:t>
            </w:r>
          </w:p>
        </w:tc>
        <w:tc>
          <w:tcPr>
            <w:tcW w:w="631" w:type="dxa"/>
            <w:shd w:val="clear" w:color="auto" w:fill="D9D9D9" w:themeFill="background1" w:themeFillShade="D9"/>
          </w:tcPr>
          <w:p w14:paraId="31AC0FAD" w14:textId="484380C0"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7</w:t>
            </w:r>
          </w:p>
        </w:tc>
        <w:tc>
          <w:tcPr>
            <w:tcW w:w="631" w:type="dxa"/>
            <w:shd w:val="clear" w:color="auto" w:fill="D9D9D9" w:themeFill="background1" w:themeFillShade="D9"/>
          </w:tcPr>
          <w:p w14:paraId="30E22575" w14:textId="60AF1F4A"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8</w:t>
            </w:r>
          </w:p>
        </w:tc>
        <w:tc>
          <w:tcPr>
            <w:tcW w:w="631" w:type="dxa"/>
            <w:shd w:val="clear" w:color="auto" w:fill="D9D9D9" w:themeFill="background1" w:themeFillShade="D9"/>
          </w:tcPr>
          <w:p w14:paraId="6EC3C986" w14:textId="1AC72B8B"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2</w:t>
            </w:r>
          </w:p>
        </w:tc>
        <w:tc>
          <w:tcPr>
            <w:tcW w:w="631" w:type="dxa"/>
            <w:shd w:val="clear" w:color="auto" w:fill="D9D9D9" w:themeFill="background1" w:themeFillShade="D9"/>
          </w:tcPr>
          <w:p w14:paraId="68171995" w14:textId="65DE2938"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3</w:t>
            </w:r>
          </w:p>
        </w:tc>
        <w:tc>
          <w:tcPr>
            <w:tcW w:w="631" w:type="dxa"/>
            <w:shd w:val="clear" w:color="auto" w:fill="D9D9D9" w:themeFill="background1" w:themeFillShade="D9"/>
          </w:tcPr>
          <w:p w14:paraId="593D455D" w14:textId="16E02C40"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4</w:t>
            </w:r>
          </w:p>
        </w:tc>
        <w:tc>
          <w:tcPr>
            <w:tcW w:w="632" w:type="dxa"/>
            <w:shd w:val="clear" w:color="auto" w:fill="D9D9D9" w:themeFill="background1" w:themeFillShade="D9"/>
          </w:tcPr>
          <w:p w14:paraId="1E9AF1A1" w14:textId="310E6419"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5</w:t>
            </w:r>
          </w:p>
        </w:tc>
        <w:tc>
          <w:tcPr>
            <w:tcW w:w="632" w:type="dxa"/>
            <w:shd w:val="clear" w:color="auto" w:fill="D9D9D9" w:themeFill="background1" w:themeFillShade="D9"/>
          </w:tcPr>
          <w:p w14:paraId="39347618" w14:textId="1022EC8D"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6</w:t>
            </w:r>
          </w:p>
        </w:tc>
        <w:tc>
          <w:tcPr>
            <w:tcW w:w="632" w:type="dxa"/>
            <w:shd w:val="clear" w:color="auto" w:fill="D9D9D9" w:themeFill="background1" w:themeFillShade="D9"/>
          </w:tcPr>
          <w:p w14:paraId="2CA350EF" w14:textId="26D98C0E"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7</w:t>
            </w:r>
          </w:p>
        </w:tc>
        <w:tc>
          <w:tcPr>
            <w:tcW w:w="632" w:type="dxa"/>
            <w:shd w:val="clear" w:color="auto" w:fill="D9D9D9" w:themeFill="background1" w:themeFillShade="D9"/>
          </w:tcPr>
          <w:p w14:paraId="1064AEFA" w14:textId="02DEBCB9" w:rsidR="003B4688" w:rsidRPr="00730B85" w:rsidRDefault="003B4688" w:rsidP="003B4688">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730B85">
              <w:rPr>
                <w:rFonts w:cs="Open Sans"/>
                <w:b/>
                <w:color w:val="auto"/>
                <w:sz w:val="18"/>
                <w:szCs w:val="18"/>
              </w:rPr>
              <w:t>8</w:t>
            </w:r>
          </w:p>
        </w:tc>
      </w:tr>
      <w:tr w:rsidR="003B4688" w:rsidRPr="00730B85" w14:paraId="4367E9F2" w14:textId="77777777" w:rsidTr="00AC07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3F733FEB" w14:textId="36442A85" w:rsidR="003B4688" w:rsidRPr="00730B85" w:rsidRDefault="003B4688" w:rsidP="003B4688">
            <w:pPr>
              <w:pStyle w:val="Level1"/>
              <w:numPr>
                <w:ilvl w:val="0"/>
                <w:numId w:val="0"/>
              </w:numPr>
              <w:spacing w:before="0" w:after="0" w:line="240" w:lineRule="auto"/>
              <w:jc w:val="center"/>
              <w:rPr>
                <w:rFonts w:cs="Open Sans"/>
                <w:b/>
                <w:color w:val="auto"/>
                <w:sz w:val="18"/>
                <w:szCs w:val="18"/>
              </w:rPr>
            </w:pPr>
            <w:r w:rsidRPr="003E7679">
              <w:rPr>
                <w:rFonts w:cs="Open Sans"/>
                <w:b/>
                <w:color w:val="C00000"/>
                <w:sz w:val="18"/>
                <w:szCs w:val="18"/>
              </w:rPr>
              <w:t>2013 Retail Study</w:t>
            </w:r>
          </w:p>
        </w:tc>
      </w:tr>
      <w:tr w:rsidR="00F43A2D" w:rsidRPr="00730B85" w14:paraId="6F6CF1CA" w14:textId="77777777" w:rsidTr="00730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486BF03" w14:textId="2A707BF1" w:rsidR="00F43A2D" w:rsidRPr="00730B85" w:rsidRDefault="00F43A2D" w:rsidP="00F43A2D">
            <w:pPr>
              <w:pStyle w:val="Level1"/>
              <w:numPr>
                <w:ilvl w:val="0"/>
                <w:numId w:val="0"/>
              </w:numPr>
              <w:spacing w:before="0" w:after="0" w:line="240" w:lineRule="auto"/>
              <w:jc w:val="both"/>
              <w:rPr>
                <w:rFonts w:cs="Open Sans"/>
                <w:bCs/>
                <w:color w:val="auto"/>
                <w:sz w:val="18"/>
                <w:szCs w:val="18"/>
              </w:rPr>
            </w:pPr>
            <w:r w:rsidRPr="00730B85">
              <w:rPr>
                <w:rFonts w:cs="Open Sans"/>
                <w:bCs/>
                <w:color w:val="auto"/>
                <w:sz w:val="18"/>
                <w:szCs w:val="18"/>
              </w:rPr>
              <w:t>Torquay town centre</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05A7E40" w14:textId="394CCEB4"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AA44E0" w14:textId="52A2A2DC"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21273C" w14:textId="444EB919"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FEAE4D1" w14:textId="1B1FD27F"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9%</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4158EC5C" w14:textId="2EDB0085"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0B705560" w14:textId="22AFB281"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6F87F015" w14:textId="495FBD94"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4D1235E9" w14:textId="78F8B1E0"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4EAB1538" w14:textId="77CCD9C7"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1%</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1459DC90" w14:textId="08CBADCB"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66F4445" w14:textId="08D6FA06"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8%</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59B019B" w14:textId="3A427147"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699586C" w14:textId="22007401"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3E1FB27" w14:textId="066F2195" w:rsidR="00F43A2D" w:rsidRPr="00730B85" w:rsidRDefault="00F43A2D" w:rsidP="00F43A2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r>
      <w:tr w:rsidR="00730B85" w:rsidRPr="00730B85" w14:paraId="2937AE0F" w14:textId="77777777" w:rsidTr="00730B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4184BE6E" w14:textId="4FFB641C" w:rsidR="00730B85" w:rsidRPr="00730B85" w:rsidRDefault="00730B85" w:rsidP="00730B85">
            <w:pPr>
              <w:pStyle w:val="Level1"/>
              <w:numPr>
                <w:ilvl w:val="0"/>
                <w:numId w:val="0"/>
              </w:numPr>
              <w:spacing w:before="0" w:after="0" w:line="240" w:lineRule="auto"/>
              <w:jc w:val="both"/>
              <w:rPr>
                <w:rFonts w:cs="Open Sans"/>
                <w:bCs/>
                <w:color w:val="auto"/>
                <w:sz w:val="18"/>
                <w:szCs w:val="18"/>
              </w:rPr>
            </w:pPr>
            <w:r w:rsidRPr="00730B85">
              <w:rPr>
                <w:rFonts w:cs="Open Sans"/>
                <w:bCs/>
                <w:color w:val="auto"/>
                <w:sz w:val="18"/>
                <w:szCs w:val="18"/>
              </w:rPr>
              <w:t>The Willows district centre</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C8A591B" w14:textId="42878E84"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2891DCE" w14:textId="65734581"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14915C4" w14:textId="123E40C1"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9%</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BD4E74E" w14:textId="7946EC40"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53%</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41BA89C8" w14:textId="30E23FAC"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5%</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2C448D75" w14:textId="72B17D07"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3%</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5CF38623" w14:textId="1E1663B1"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8%</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056DD53E" w14:textId="5BFB3160"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3%</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619A6DE8" w14:textId="4EA212EE"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11%</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7C775AEF" w14:textId="3ABD133F"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10%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E8741F" w14:textId="0298291D"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36%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5BB6EF4" w14:textId="226DED1E"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15%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9C4820" w14:textId="6E2E587D"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4%</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87EA62" w14:textId="030593EC"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sz w:val="18"/>
                <w:szCs w:val="18"/>
              </w:rPr>
              <w:t>13%</w:t>
            </w:r>
          </w:p>
        </w:tc>
      </w:tr>
      <w:tr w:rsidR="00730B85" w:rsidRPr="00730B85" w14:paraId="5D8F0996" w14:textId="77777777" w:rsidTr="00730B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581D440C" w14:textId="16619EF2" w:rsidR="00730B85" w:rsidRPr="00730B85" w:rsidRDefault="00730B85" w:rsidP="00730B85">
            <w:pPr>
              <w:pStyle w:val="Level1"/>
              <w:numPr>
                <w:ilvl w:val="0"/>
                <w:numId w:val="0"/>
              </w:numPr>
              <w:spacing w:before="0" w:after="0" w:line="240" w:lineRule="auto"/>
              <w:jc w:val="both"/>
              <w:rPr>
                <w:rFonts w:cs="Open Sans"/>
                <w:bCs/>
                <w:color w:val="auto"/>
                <w:sz w:val="18"/>
                <w:szCs w:val="18"/>
              </w:rPr>
            </w:pPr>
            <w:r w:rsidRPr="00730B85">
              <w:rPr>
                <w:rFonts w:cs="Open Sans"/>
                <w:bCs/>
                <w:color w:val="auto"/>
                <w:sz w:val="18"/>
                <w:szCs w:val="18"/>
              </w:rPr>
              <w:t>St Marychurch district centre</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5C86EF3" w14:textId="7E360DBA"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556461" w14:textId="7AB9830A"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7F899B4" w14:textId="39E51B2F"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72D7EA1" w14:textId="255099FD"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3%</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275FEA70" w14:textId="2030566E"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25B19F95" w14:textId="7970736E"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2A43E941" w14:textId="6A092903"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0A581917" w14:textId="7C774136"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70C73CDA" w14:textId="060DAEC1"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26766B90" w14:textId="55F5D896"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8092A3D" w14:textId="5382CE5A"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2A61F1C" w14:textId="5C33470F"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042A72" w14:textId="3639E7A9"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CDD36E0" w14:textId="667916BC"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sz w:val="18"/>
                <w:szCs w:val="18"/>
              </w:rPr>
              <w:t>0%</w:t>
            </w:r>
          </w:p>
        </w:tc>
      </w:tr>
      <w:tr w:rsidR="00730B85" w:rsidRPr="00730B85" w14:paraId="178CB99F" w14:textId="77777777" w:rsidTr="001D1B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3071C484" w14:textId="184EE1A1" w:rsidR="00730B85" w:rsidRPr="00730B85" w:rsidRDefault="00730B85" w:rsidP="00730B85">
            <w:pPr>
              <w:pStyle w:val="Level1"/>
              <w:numPr>
                <w:ilvl w:val="0"/>
                <w:numId w:val="0"/>
              </w:numPr>
              <w:spacing w:before="0" w:after="0" w:line="240" w:lineRule="auto"/>
              <w:jc w:val="center"/>
              <w:rPr>
                <w:rFonts w:cs="Open Sans"/>
                <w:b/>
                <w:color w:val="auto"/>
                <w:sz w:val="18"/>
                <w:szCs w:val="18"/>
              </w:rPr>
            </w:pPr>
            <w:r w:rsidRPr="003E7679">
              <w:rPr>
                <w:rFonts w:cs="Open Sans"/>
                <w:b/>
                <w:color w:val="C00000"/>
                <w:sz w:val="18"/>
                <w:szCs w:val="18"/>
              </w:rPr>
              <w:t>2022 Retail Study</w:t>
            </w:r>
          </w:p>
        </w:tc>
      </w:tr>
      <w:tr w:rsidR="00730B85" w:rsidRPr="00730B85" w14:paraId="35D4BF48" w14:textId="77777777" w:rsidTr="003B0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0CB9CF0C" w14:textId="37DF4E10" w:rsidR="00730B85" w:rsidRPr="00730B85" w:rsidRDefault="00730B85" w:rsidP="00730B85">
            <w:pPr>
              <w:pStyle w:val="Level1"/>
              <w:numPr>
                <w:ilvl w:val="0"/>
                <w:numId w:val="0"/>
              </w:numPr>
              <w:spacing w:before="0" w:after="0" w:line="240" w:lineRule="auto"/>
              <w:jc w:val="both"/>
              <w:rPr>
                <w:rFonts w:cs="Open Sans"/>
                <w:bCs/>
                <w:color w:val="auto"/>
                <w:sz w:val="18"/>
                <w:szCs w:val="18"/>
              </w:rPr>
            </w:pPr>
            <w:r w:rsidRPr="00730B85">
              <w:rPr>
                <w:rFonts w:cs="Open Sans"/>
                <w:bCs/>
                <w:color w:val="auto"/>
                <w:sz w:val="18"/>
                <w:szCs w:val="18"/>
              </w:rPr>
              <w:t>Torquay town centre</w:t>
            </w:r>
          </w:p>
        </w:tc>
        <w:tc>
          <w:tcPr>
            <w:tcW w:w="632" w:type="dxa"/>
            <w:shd w:val="clear" w:color="auto" w:fill="auto"/>
          </w:tcPr>
          <w:p w14:paraId="4F48C15F" w14:textId="45203C75"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bCs/>
                <w:color w:val="auto"/>
                <w:sz w:val="18"/>
                <w:szCs w:val="18"/>
              </w:rPr>
              <w:t>1%</w:t>
            </w:r>
          </w:p>
        </w:tc>
        <w:tc>
          <w:tcPr>
            <w:tcW w:w="632" w:type="dxa"/>
            <w:shd w:val="clear" w:color="auto" w:fill="auto"/>
          </w:tcPr>
          <w:p w14:paraId="352F3453" w14:textId="65462CD1"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Pr>
                <w:rFonts w:cs="Open Sans"/>
                <w:bCs/>
                <w:color w:val="auto"/>
                <w:sz w:val="18"/>
                <w:szCs w:val="18"/>
              </w:rPr>
              <w:t>%</w:t>
            </w:r>
          </w:p>
        </w:tc>
        <w:tc>
          <w:tcPr>
            <w:tcW w:w="632" w:type="dxa"/>
            <w:shd w:val="clear" w:color="auto" w:fill="auto"/>
          </w:tcPr>
          <w:p w14:paraId="6EF733AF" w14:textId="1DD63833"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Pr>
                <w:rFonts w:cs="Open Sans"/>
                <w:bCs/>
                <w:color w:val="auto"/>
                <w:sz w:val="18"/>
                <w:szCs w:val="18"/>
              </w:rPr>
              <w:t>%</w:t>
            </w:r>
          </w:p>
        </w:tc>
        <w:tc>
          <w:tcPr>
            <w:tcW w:w="632" w:type="dxa"/>
            <w:shd w:val="clear" w:color="auto" w:fill="auto"/>
          </w:tcPr>
          <w:p w14:paraId="1C86B11E" w14:textId="0AFEF3FB"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bCs/>
                <w:color w:val="auto"/>
                <w:sz w:val="18"/>
                <w:szCs w:val="18"/>
              </w:rPr>
              <w:t>4%</w:t>
            </w:r>
          </w:p>
        </w:tc>
        <w:tc>
          <w:tcPr>
            <w:tcW w:w="631" w:type="dxa"/>
            <w:shd w:val="clear" w:color="auto" w:fill="auto"/>
          </w:tcPr>
          <w:p w14:paraId="76459F24" w14:textId="30F0622F"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Pr>
                <w:rFonts w:cs="Open Sans"/>
                <w:bCs/>
                <w:color w:val="auto"/>
                <w:sz w:val="18"/>
                <w:szCs w:val="18"/>
              </w:rPr>
              <w:t>%</w:t>
            </w:r>
          </w:p>
        </w:tc>
        <w:tc>
          <w:tcPr>
            <w:tcW w:w="631" w:type="dxa"/>
            <w:shd w:val="clear" w:color="auto" w:fill="auto"/>
          </w:tcPr>
          <w:p w14:paraId="67F720B6" w14:textId="4C6DCD1E"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Pr>
                <w:rFonts w:cs="Open Sans"/>
                <w:bCs/>
                <w:color w:val="auto"/>
                <w:sz w:val="18"/>
                <w:szCs w:val="18"/>
              </w:rPr>
              <w:t>%</w:t>
            </w:r>
          </w:p>
        </w:tc>
        <w:tc>
          <w:tcPr>
            <w:tcW w:w="631" w:type="dxa"/>
            <w:shd w:val="clear" w:color="auto" w:fill="auto"/>
          </w:tcPr>
          <w:p w14:paraId="0EAED10B" w14:textId="179D00E4"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Pr>
                <w:rFonts w:cs="Open Sans"/>
                <w:bCs/>
                <w:color w:val="auto"/>
                <w:sz w:val="18"/>
                <w:szCs w:val="18"/>
              </w:rPr>
              <w:t>%</w:t>
            </w:r>
          </w:p>
        </w:tc>
        <w:tc>
          <w:tcPr>
            <w:tcW w:w="631" w:type="dxa"/>
            <w:shd w:val="clear" w:color="auto" w:fill="auto"/>
          </w:tcPr>
          <w:p w14:paraId="63964E30" w14:textId="4A792A8B"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Pr>
                <w:rFonts w:cs="Open Sans"/>
                <w:bCs/>
                <w:color w:val="auto"/>
                <w:sz w:val="18"/>
                <w:szCs w:val="18"/>
              </w:rPr>
              <w:t>%</w:t>
            </w:r>
          </w:p>
        </w:tc>
        <w:tc>
          <w:tcPr>
            <w:tcW w:w="631" w:type="dxa"/>
            <w:shd w:val="clear" w:color="auto" w:fill="auto"/>
          </w:tcPr>
          <w:p w14:paraId="18427450" w14:textId="3D47306E"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Pr>
                <w:rFonts w:cs="Open Sans"/>
                <w:bCs/>
                <w:color w:val="auto"/>
                <w:sz w:val="18"/>
                <w:szCs w:val="18"/>
              </w:rPr>
              <w:t>%</w:t>
            </w:r>
          </w:p>
        </w:tc>
        <w:tc>
          <w:tcPr>
            <w:tcW w:w="631" w:type="dxa"/>
            <w:shd w:val="clear" w:color="auto" w:fill="auto"/>
          </w:tcPr>
          <w:p w14:paraId="4874D19E" w14:textId="2D2B5104"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Pr>
                <w:rFonts w:cs="Open Sans"/>
                <w:bCs/>
                <w:color w:val="auto"/>
                <w:sz w:val="18"/>
                <w:szCs w:val="18"/>
              </w:rPr>
              <w:t>%</w:t>
            </w:r>
          </w:p>
        </w:tc>
        <w:tc>
          <w:tcPr>
            <w:tcW w:w="632" w:type="dxa"/>
            <w:shd w:val="clear" w:color="auto" w:fill="auto"/>
          </w:tcPr>
          <w:p w14:paraId="449A68D9" w14:textId="4E496F04"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bCs/>
                <w:color w:val="auto"/>
                <w:sz w:val="18"/>
                <w:szCs w:val="18"/>
              </w:rPr>
              <w:t>3%</w:t>
            </w:r>
          </w:p>
        </w:tc>
        <w:tc>
          <w:tcPr>
            <w:tcW w:w="632" w:type="dxa"/>
            <w:shd w:val="clear" w:color="auto" w:fill="auto"/>
          </w:tcPr>
          <w:p w14:paraId="72B52D7D" w14:textId="4E68924C"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Pr>
                <w:rFonts w:cs="Open Sans"/>
                <w:bCs/>
                <w:color w:val="auto"/>
                <w:sz w:val="18"/>
                <w:szCs w:val="18"/>
              </w:rPr>
              <w:t>%</w:t>
            </w:r>
          </w:p>
        </w:tc>
        <w:tc>
          <w:tcPr>
            <w:tcW w:w="632" w:type="dxa"/>
            <w:shd w:val="clear" w:color="auto" w:fill="auto"/>
          </w:tcPr>
          <w:p w14:paraId="2B9EFA64" w14:textId="6DA58D1C"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Pr>
                <w:rFonts w:cs="Open Sans"/>
                <w:bCs/>
                <w:color w:val="auto"/>
                <w:sz w:val="18"/>
                <w:szCs w:val="18"/>
              </w:rPr>
              <w:t>%</w:t>
            </w:r>
          </w:p>
        </w:tc>
        <w:tc>
          <w:tcPr>
            <w:tcW w:w="632" w:type="dxa"/>
            <w:shd w:val="clear" w:color="auto" w:fill="auto"/>
          </w:tcPr>
          <w:p w14:paraId="77D5519A" w14:textId="67CF0DE3"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Pr>
                <w:rFonts w:cs="Open Sans"/>
                <w:bCs/>
                <w:color w:val="auto"/>
                <w:sz w:val="18"/>
                <w:szCs w:val="18"/>
              </w:rPr>
              <w:t>%</w:t>
            </w:r>
          </w:p>
          <w:p w14:paraId="0CF88A0D" w14:textId="2C23E357"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p>
        </w:tc>
      </w:tr>
      <w:tr w:rsidR="00730B85" w:rsidRPr="00730B85" w14:paraId="7B3E95ED" w14:textId="77777777" w:rsidTr="003B0C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3DBB0D97" w14:textId="0CC29342" w:rsidR="00730B85" w:rsidRPr="00730B85" w:rsidRDefault="00730B85" w:rsidP="00730B85">
            <w:pPr>
              <w:pStyle w:val="Level1"/>
              <w:numPr>
                <w:ilvl w:val="0"/>
                <w:numId w:val="0"/>
              </w:numPr>
              <w:spacing w:before="0" w:after="0" w:line="240" w:lineRule="auto"/>
              <w:jc w:val="both"/>
              <w:rPr>
                <w:rFonts w:cs="Open Sans"/>
                <w:bCs/>
                <w:color w:val="auto"/>
                <w:sz w:val="18"/>
                <w:szCs w:val="18"/>
              </w:rPr>
            </w:pPr>
            <w:r w:rsidRPr="00730B85">
              <w:rPr>
                <w:rFonts w:cs="Open Sans"/>
                <w:bCs/>
                <w:color w:val="auto"/>
                <w:sz w:val="18"/>
                <w:szCs w:val="18"/>
              </w:rPr>
              <w:t>The Willows district centre</w:t>
            </w:r>
          </w:p>
        </w:tc>
        <w:tc>
          <w:tcPr>
            <w:tcW w:w="632" w:type="dxa"/>
            <w:shd w:val="clear" w:color="auto" w:fill="auto"/>
          </w:tcPr>
          <w:p w14:paraId="4C052AED" w14:textId="78699D98"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bCs/>
                <w:color w:val="auto"/>
                <w:sz w:val="18"/>
                <w:szCs w:val="18"/>
              </w:rPr>
              <w:t>0</w:t>
            </w:r>
            <w:r>
              <w:rPr>
                <w:rFonts w:cs="Open Sans"/>
                <w:bCs/>
                <w:color w:val="auto"/>
                <w:sz w:val="18"/>
                <w:szCs w:val="18"/>
              </w:rPr>
              <w:t>%</w:t>
            </w:r>
          </w:p>
        </w:tc>
        <w:tc>
          <w:tcPr>
            <w:tcW w:w="632" w:type="dxa"/>
            <w:shd w:val="clear" w:color="auto" w:fill="auto"/>
          </w:tcPr>
          <w:p w14:paraId="7D4CB477" w14:textId="62B2AA72"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Pr>
                <w:rFonts w:cs="Open Sans"/>
                <w:bCs/>
                <w:color w:val="auto"/>
                <w:sz w:val="18"/>
                <w:szCs w:val="18"/>
              </w:rPr>
              <w:t>2%</w:t>
            </w:r>
          </w:p>
        </w:tc>
        <w:tc>
          <w:tcPr>
            <w:tcW w:w="632" w:type="dxa"/>
            <w:shd w:val="clear" w:color="auto" w:fill="auto"/>
          </w:tcPr>
          <w:p w14:paraId="02B4286E" w14:textId="0695C3F3"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bCs/>
                <w:color w:val="auto"/>
                <w:sz w:val="18"/>
                <w:szCs w:val="18"/>
              </w:rPr>
              <w:t>7</w:t>
            </w:r>
            <w:r>
              <w:rPr>
                <w:rFonts w:cs="Open Sans"/>
                <w:bCs/>
                <w:color w:val="auto"/>
                <w:sz w:val="18"/>
                <w:szCs w:val="18"/>
              </w:rPr>
              <w:t>%</w:t>
            </w:r>
          </w:p>
        </w:tc>
        <w:tc>
          <w:tcPr>
            <w:tcW w:w="632" w:type="dxa"/>
            <w:shd w:val="clear" w:color="auto" w:fill="auto"/>
          </w:tcPr>
          <w:p w14:paraId="547FA65A" w14:textId="75C0F564"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bCs/>
                <w:color w:val="auto"/>
                <w:sz w:val="18"/>
                <w:szCs w:val="18"/>
              </w:rPr>
              <w:t>27</w:t>
            </w:r>
            <w:r>
              <w:rPr>
                <w:rFonts w:cs="Open Sans"/>
                <w:bCs/>
                <w:color w:val="auto"/>
                <w:sz w:val="18"/>
                <w:szCs w:val="18"/>
              </w:rPr>
              <w:t>%</w:t>
            </w:r>
          </w:p>
        </w:tc>
        <w:tc>
          <w:tcPr>
            <w:tcW w:w="631" w:type="dxa"/>
            <w:shd w:val="clear" w:color="auto" w:fill="auto"/>
          </w:tcPr>
          <w:p w14:paraId="401DB2D9" w14:textId="07A2337E"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bCs/>
                <w:color w:val="auto"/>
                <w:sz w:val="18"/>
                <w:szCs w:val="18"/>
              </w:rPr>
              <w:t>4</w:t>
            </w:r>
            <w:r>
              <w:rPr>
                <w:rFonts w:cs="Open Sans"/>
                <w:bCs/>
                <w:color w:val="auto"/>
                <w:sz w:val="18"/>
                <w:szCs w:val="18"/>
              </w:rPr>
              <w:t>%</w:t>
            </w:r>
          </w:p>
        </w:tc>
        <w:tc>
          <w:tcPr>
            <w:tcW w:w="631" w:type="dxa"/>
            <w:shd w:val="clear" w:color="auto" w:fill="auto"/>
          </w:tcPr>
          <w:p w14:paraId="4E630BBE" w14:textId="5DB50BED"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Pr>
                <w:rFonts w:cs="Open Sans"/>
                <w:bCs/>
                <w:color w:val="auto"/>
                <w:sz w:val="18"/>
                <w:szCs w:val="18"/>
              </w:rPr>
              <w:t>1%</w:t>
            </w:r>
          </w:p>
        </w:tc>
        <w:tc>
          <w:tcPr>
            <w:tcW w:w="631" w:type="dxa"/>
            <w:shd w:val="clear" w:color="auto" w:fill="auto"/>
          </w:tcPr>
          <w:p w14:paraId="48C65ADB" w14:textId="6835AF2C"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Pr>
                <w:rFonts w:cs="Open Sans"/>
                <w:bCs/>
                <w:color w:val="auto"/>
                <w:sz w:val="18"/>
                <w:szCs w:val="18"/>
              </w:rPr>
              <w:t>3%</w:t>
            </w:r>
          </w:p>
        </w:tc>
        <w:tc>
          <w:tcPr>
            <w:tcW w:w="631" w:type="dxa"/>
            <w:shd w:val="clear" w:color="auto" w:fill="auto"/>
          </w:tcPr>
          <w:p w14:paraId="7C984D6F" w14:textId="3D08B792" w:rsidR="00730B85" w:rsidRPr="00730B85" w:rsidRDefault="00E53F5D"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Pr>
                <w:rFonts w:cs="Open Sans"/>
                <w:bCs/>
                <w:color w:val="auto"/>
                <w:sz w:val="18"/>
                <w:szCs w:val="18"/>
              </w:rPr>
              <w:t>5%</w:t>
            </w:r>
          </w:p>
        </w:tc>
        <w:tc>
          <w:tcPr>
            <w:tcW w:w="631" w:type="dxa"/>
            <w:shd w:val="clear" w:color="auto" w:fill="auto"/>
          </w:tcPr>
          <w:p w14:paraId="79DF9F45" w14:textId="7BBB8A21"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bCs/>
                <w:color w:val="auto"/>
                <w:sz w:val="18"/>
                <w:szCs w:val="18"/>
              </w:rPr>
              <w:t>2</w:t>
            </w:r>
            <w:r w:rsidR="00E53F5D">
              <w:rPr>
                <w:rFonts w:cs="Open Sans"/>
                <w:bCs/>
                <w:color w:val="auto"/>
                <w:sz w:val="18"/>
                <w:szCs w:val="18"/>
              </w:rPr>
              <w:t>%</w:t>
            </w:r>
          </w:p>
        </w:tc>
        <w:tc>
          <w:tcPr>
            <w:tcW w:w="631" w:type="dxa"/>
            <w:shd w:val="clear" w:color="auto" w:fill="auto"/>
          </w:tcPr>
          <w:p w14:paraId="12EE1554" w14:textId="436ACF31" w:rsidR="00730B85" w:rsidRPr="00730B85" w:rsidRDefault="00E53F5D"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Pr>
                <w:rFonts w:cs="Open Sans"/>
                <w:bCs/>
                <w:color w:val="auto"/>
                <w:sz w:val="18"/>
                <w:szCs w:val="18"/>
              </w:rPr>
              <w:t>10%</w:t>
            </w:r>
          </w:p>
        </w:tc>
        <w:tc>
          <w:tcPr>
            <w:tcW w:w="632" w:type="dxa"/>
            <w:shd w:val="clear" w:color="auto" w:fill="auto"/>
          </w:tcPr>
          <w:p w14:paraId="52B4E359" w14:textId="24E41BCC"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bCs/>
                <w:color w:val="auto"/>
                <w:sz w:val="18"/>
                <w:szCs w:val="18"/>
              </w:rPr>
              <w:t>3</w:t>
            </w:r>
            <w:r w:rsidR="00E53F5D">
              <w:rPr>
                <w:rFonts w:cs="Open Sans"/>
                <w:bCs/>
                <w:color w:val="auto"/>
                <w:sz w:val="18"/>
                <w:szCs w:val="18"/>
              </w:rPr>
              <w:t>4%</w:t>
            </w:r>
          </w:p>
        </w:tc>
        <w:tc>
          <w:tcPr>
            <w:tcW w:w="632" w:type="dxa"/>
            <w:shd w:val="clear" w:color="auto" w:fill="auto"/>
          </w:tcPr>
          <w:p w14:paraId="0082B124" w14:textId="08BA8DB6" w:rsidR="00730B85" w:rsidRPr="00730B85" w:rsidRDefault="00E53F5D"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Pr>
                <w:rFonts w:cs="Open Sans"/>
                <w:bCs/>
                <w:color w:val="auto"/>
                <w:sz w:val="18"/>
                <w:szCs w:val="18"/>
              </w:rPr>
              <w:t>7%</w:t>
            </w:r>
          </w:p>
        </w:tc>
        <w:tc>
          <w:tcPr>
            <w:tcW w:w="632" w:type="dxa"/>
            <w:shd w:val="clear" w:color="auto" w:fill="auto"/>
          </w:tcPr>
          <w:p w14:paraId="30D26375" w14:textId="78E3B63D"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bCs/>
                <w:color w:val="auto"/>
                <w:sz w:val="18"/>
                <w:szCs w:val="18"/>
              </w:rPr>
              <w:t>4</w:t>
            </w:r>
            <w:r w:rsidR="00E53F5D">
              <w:rPr>
                <w:rFonts w:cs="Open Sans"/>
                <w:bCs/>
                <w:color w:val="auto"/>
                <w:sz w:val="18"/>
                <w:szCs w:val="18"/>
              </w:rPr>
              <w:t>%</w:t>
            </w:r>
          </w:p>
        </w:tc>
        <w:tc>
          <w:tcPr>
            <w:tcW w:w="632" w:type="dxa"/>
            <w:shd w:val="clear" w:color="auto" w:fill="auto"/>
          </w:tcPr>
          <w:p w14:paraId="123E4DE2" w14:textId="7284BFB4" w:rsidR="00730B85" w:rsidRPr="00730B85" w:rsidRDefault="00730B85" w:rsidP="00730B85">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730B85">
              <w:rPr>
                <w:rFonts w:cs="Open Sans"/>
                <w:bCs/>
                <w:color w:val="auto"/>
                <w:sz w:val="18"/>
                <w:szCs w:val="18"/>
              </w:rPr>
              <w:t>1</w:t>
            </w:r>
            <w:r w:rsidR="00E53F5D">
              <w:rPr>
                <w:rFonts w:cs="Open Sans"/>
                <w:bCs/>
                <w:color w:val="auto"/>
                <w:sz w:val="18"/>
                <w:szCs w:val="18"/>
              </w:rPr>
              <w:t>2%</w:t>
            </w:r>
          </w:p>
        </w:tc>
      </w:tr>
      <w:tr w:rsidR="00730B85" w:rsidRPr="00730B85" w14:paraId="1CBB24CE" w14:textId="77777777" w:rsidTr="003B0C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14:paraId="2B0A9DD9" w14:textId="1F97FD7B" w:rsidR="00730B85" w:rsidRPr="00730B85" w:rsidRDefault="00730B85" w:rsidP="00730B85">
            <w:pPr>
              <w:pStyle w:val="Level1"/>
              <w:numPr>
                <w:ilvl w:val="0"/>
                <w:numId w:val="0"/>
              </w:numPr>
              <w:spacing w:before="0" w:after="0" w:line="240" w:lineRule="auto"/>
              <w:jc w:val="both"/>
              <w:rPr>
                <w:rFonts w:cs="Open Sans"/>
                <w:bCs/>
                <w:color w:val="auto"/>
                <w:sz w:val="18"/>
                <w:szCs w:val="18"/>
              </w:rPr>
            </w:pPr>
            <w:r w:rsidRPr="00730B85">
              <w:rPr>
                <w:rFonts w:cs="Open Sans"/>
                <w:bCs/>
                <w:color w:val="auto"/>
                <w:sz w:val="18"/>
                <w:szCs w:val="18"/>
              </w:rPr>
              <w:t>St Marychurch district centre</w:t>
            </w:r>
          </w:p>
        </w:tc>
        <w:tc>
          <w:tcPr>
            <w:tcW w:w="632" w:type="dxa"/>
            <w:shd w:val="clear" w:color="auto" w:fill="auto"/>
          </w:tcPr>
          <w:p w14:paraId="5156498D" w14:textId="583EFAC3"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sidR="005F1FB5">
              <w:rPr>
                <w:rFonts w:cs="Open Sans"/>
                <w:bCs/>
                <w:color w:val="auto"/>
                <w:sz w:val="18"/>
                <w:szCs w:val="18"/>
              </w:rPr>
              <w:t>%</w:t>
            </w:r>
          </w:p>
        </w:tc>
        <w:tc>
          <w:tcPr>
            <w:tcW w:w="632" w:type="dxa"/>
            <w:shd w:val="clear" w:color="auto" w:fill="auto"/>
          </w:tcPr>
          <w:p w14:paraId="76507724" w14:textId="6C07D540"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sidR="005F1FB5">
              <w:rPr>
                <w:rFonts w:cs="Open Sans"/>
                <w:bCs/>
                <w:color w:val="auto"/>
                <w:sz w:val="18"/>
                <w:szCs w:val="18"/>
              </w:rPr>
              <w:t>%</w:t>
            </w:r>
          </w:p>
        </w:tc>
        <w:tc>
          <w:tcPr>
            <w:tcW w:w="632" w:type="dxa"/>
            <w:shd w:val="clear" w:color="auto" w:fill="auto"/>
          </w:tcPr>
          <w:p w14:paraId="07F7A6E1" w14:textId="54829CB6" w:rsidR="00730B85" w:rsidRPr="00730B85" w:rsidRDefault="005F1FB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bCs/>
                <w:color w:val="auto"/>
                <w:sz w:val="18"/>
                <w:szCs w:val="18"/>
              </w:rPr>
              <w:t>1%</w:t>
            </w:r>
          </w:p>
        </w:tc>
        <w:tc>
          <w:tcPr>
            <w:tcW w:w="632" w:type="dxa"/>
            <w:shd w:val="clear" w:color="auto" w:fill="auto"/>
          </w:tcPr>
          <w:p w14:paraId="42C9B086" w14:textId="6A3823E7" w:rsidR="00730B85" w:rsidRPr="00730B85" w:rsidRDefault="005F1FB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bCs/>
                <w:color w:val="auto"/>
                <w:sz w:val="18"/>
                <w:szCs w:val="18"/>
              </w:rPr>
              <w:t>1%</w:t>
            </w:r>
          </w:p>
        </w:tc>
        <w:tc>
          <w:tcPr>
            <w:tcW w:w="631" w:type="dxa"/>
            <w:shd w:val="clear" w:color="auto" w:fill="auto"/>
          </w:tcPr>
          <w:p w14:paraId="4E85D3A7" w14:textId="028AA382"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sidR="005F1FB5">
              <w:rPr>
                <w:rFonts w:cs="Open Sans"/>
                <w:bCs/>
                <w:color w:val="auto"/>
                <w:sz w:val="18"/>
                <w:szCs w:val="18"/>
              </w:rPr>
              <w:t>%</w:t>
            </w:r>
          </w:p>
        </w:tc>
        <w:tc>
          <w:tcPr>
            <w:tcW w:w="631" w:type="dxa"/>
            <w:shd w:val="clear" w:color="auto" w:fill="auto"/>
          </w:tcPr>
          <w:p w14:paraId="7F1598BD" w14:textId="6214760E"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sidR="005F1FB5">
              <w:rPr>
                <w:rFonts w:cs="Open Sans"/>
                <w:bCs/>
                <w:color w:val="auto"/>
                <w:sz w:val="18"/>
                <w:szCs w:val="18"/>
              </w:rPr>
              <w:t>%</w:t>
            </w:r>
          </w:p>
        </w:tc>
        <w:tc>
          <w:tcPr>
            <w:tcW w:w="631" w:type="dxa"/>
            <w:shd w:val="clear" w:color="auto" w:fill="auto"/>
          </w:tcPr>
          <w:p w14:paraId="7A917A26" w14:textId="0A7BF3FF"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sidR="005F1FB5">
              <w:rPr>
                <w:rFonts w:cs="Open Sans"/>
                <w:bCs/>
                <w:color w:val="auto"/>
                <w:sz w:val="18"/>
                <w:szCs w:val="18"/>
              </w:rPr>
              <w:t>%</w:t>
            </w:r>
          </w:p>
        </w:tc>
        <w:tc>
          <w:tcPr>
            <w:tcW w:w="631" w:type="dxa"/>
            <w:shd w:val="clear" w:color="auto" w:fill="auto"/>
          </w:tcPr>
          <w:p w14:paraId="3A080ECC" w14:textId="7AE094C0"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sidR="005F1FB5">
              <w:rPr>
                <w:rFonts w:cs="Open Sans"/>
                <w:bCs/>
                <w:color w:val="auto"/>
                <w:sz w:val="18"/>
                <w:szCs w:val="18"/>
              </w:rPr>
              <w:t>%</w:t>
            </w:r>
          </w:p>
        </w:tc>
        <w:tc>
          <w:tcPr>
            <w:tcW w:w="631" w:type="dxa"/>
            <w:shd w:val="clear" w:color="auto" w:fill="auto"/>
          </w:tcPr>
          <w:p w14:paraId="622C7FD9" w14:textId="37DA0FD4"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sidR="005F1FB5">
              <w:rPr>
                <w:rFonts w:cs="Open Sans"/>
                <w:bCs/>
                <w:color w:val="auto"/>
                <w:sz w:val="18"/>
                <w:szCs w:val="18"/>
              </w:rPr>
              <w:t>%</w:t>
            </w:r>
          </w:p>
        </w:tc>
        <w:tc>
          <w:tcPr>
            <w:tcW w:w="631" w:type="dxa"/>
            <w:shd w:val="clear" w:color="auto" w:fill="auto"/>
          </w:tcPr>
          <w:p w14:paraId="60319C92" w14:textId="52F8844B"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1</w:t>
            </w:r>
            <w:r w:rsidR="005F1FB5">
              <w:rPr>
                <w:rFonts w:cs="Open Sans"/>
                <w:bCs/>
                <w:color w:val="auto"/>
                <w:sz w:val="18"/>
                <w:szCs w:val="18"/>
              </w:rPr>
              <w:t>%</w:t>
            </w:r>
          </w:p>
        </w:tc>
        <w:tc>
          <w:tcPr>
            <w:tcW w:w="632" w:type="dxa"/>
            <w:shd w:val="clear" w:color="auto" w:fill="auto"/>
          </w:tcPr>
          <w:p w14:paraId="6A5066BA" w14:textId="58D1B374"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2</w:t>
            </w:r>
            <w:r w:rsidR="005F1FB5">
              <w:rPr>
                <w:rFonts w:cs="Open Sans"/>
                <w:bCs/>
                <w:color w:val="auto"/>
                <w:sz w:val="18"/>
                <w:szCs w:val="18"/>
              </w:rPr>
              <w:t>%</w:t>
            </w:r>
          </w:p>
        </w:tc>
        <w:tc>
          <w:tcPr>
            <w:tcW w:w="632" w:type="dxa"/>
            <w:shd w:val="clear" w:color="auto" w:fill="auto"/>
          </w:tcPr>
          <w:p w14:paraId="2981D7AC" w14:textId="79F5CB88"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sidR="005F1FB5">
              <w:rPr>
                <w:rFonts w:cs="Open Sans"/>
                <w:bCs/>
                <w:color w:val="auto"/>
                <w:sz w:val="18"/>
                <w:szCs w:val="18"/>
              </w:rPr>
              <w:t>%</w:t>
            </w:r>
          </w:p>
        </w:tc>
        <w:tc>
          <w:tcPr>
            <w:tcW w:w="632" w:type="dxa"/>
            <w:shd w:val="clear" w:color="auto" w:fill="auto"/>
          </w:tcPr>
          <w:p w14:paraId="753B9CC0" w14:textId="1DEF9FE6"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sidR="005F1FB5">
              <w:rPr>
                <w:rFonts w:cs="Open Sans"/>
                <w:bCs/>
                <w:color w:val="auto"/>
                <w:sz w:val="18"/>
                <w:szCs w:val="18"/>
              </w:rPr>
              <w:t>%</w:t>
            </w:r>
          </w:p>
        </w:tc>
        <w:tc>
          <w:tcPr>
            <w:tcW w:w="632" w:type="dxa"/>
            <w:shd w:val="clear" w:color="auto" w:fill="auto"/>
          </w:tcPr>
          <w:p w14:paraId="0AF96598" w14:textId="31914423" w:rsidR="00730B85" w:rsidRPr="00730B85" w:rsidRDefault="00730B85" w:rsidP="00730B85">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730B85">
              <w:rPr>
                <w:rFonts w:cs="Open Sans"/>
                <w:bCs/>
                <w:color w:val="auto"/>
                <w:sz w:val="18"/>
                <w:szCs w:val="18"/>
              </w:rPr>
              <w:t>0</w:t>
            </w:r>
            <w:r w:rsidR="005F1FB5">
              <w:rPr>
                <w:rFonts w:cs="Open Sans"/>
                <w:bCs/>
                <w:color w:val="auto"/>
                <w:sz w:val="18"/>
                <w:szCs w:val="18"/>
              </w:rPr>
              <w:t>%</w:t>
            </w:r>
          </w:p>
        </w:tc>
      </w:tr>
      <w:bookmarkEnd w:id="8"/>
    </w:tbl>
    <w:p w14:paraId="07B40CB2" w14:textId="77777777" w:rsidR="0028084E" w:rsidRDefault="0028084E" w:rsidP="0028084E">
      <w:pPr>
        <w:pStyle w:val="Level1"/>
        <w:numPr>
          <w:ilvl w:val="0"/>
          <w:numId w:val="0"/>
        </w:numPr>
        <w:ind w:left="720"/>
        <w:jc w:val="both"/>
      </w:pPr>
    </w:p>
    <w:p w14:paraId="428F9528" w14:textId="77777777" w:rsidR="005F1FB5" w:rsidRDefault="00BE6EFA" w:rsidP="00720441">
      <w:pPr>
        <w:pStyle w:val="Level1"/>
        <w:jc w:val="both"/>
      </w:pPr>
      <w:r>
        <w:t>The above data shows that</w:t>
      </w:r>
      <w:r w:rsidR="00C76D0D">
        <w:t xml:space="preserve">, in relation to Torquay town centre, </w:t>
      </w:r>
      <w:r w:rsidR="00601379">
        <w:t xml:space="preserve">there was a low level of market penetration for main food shopping trips several years, with the primary catchment restricted to Zone 5 of the study area.  The town centre achieved a 9% share of first choice main food trips and 8% of second choice main food trips in this zone.  The results of the 2022 household survey indicate that </w:t>
      </w:r>
      <w:r w:rsidR="00DD00CB">
        <w:t xml:space="preserve">these (already low) market shares have fallen (broadly halved) over the past decade to 4% for first choice main food trips and </w:t>
      </w:r>
      <w:r w:rsidR="005F1FB5">
        <w:t>3% for second choice trips from Zone 5 residents.</w:t>
      </w:r>
    </w:p>
    <w:p w14:paraId="123D3094" w14:textId="77777777" w:rsidR="005F1FB5" w:rsidRDefault="005F1FB5" w:rsidP="00720441">
      <w:pPr>
        <w:pStyle w:val="Level1"/>
        <w:jc w:val="both"/>
      </w:pPr>
      <w:r>
        <w:t>Table 4.5 below performs the same exercise, but for top-up food shopping trips from the various parts of the study area.</w:t>
      </w:r>
    </w:p>
    <w:p w14:paraId="4C7E14E0" w14:textId="65636944" w:rsidR="00905932" w:rsidRPr="00905932" w:rsidRDefault="00C76D0D" w:rsidP="00905932">
      <w:pPr>
        <w:pStyle w:val="Level1"/>
        <w:numPr>
          <w:ilvl w:val="0"/>
          <w:numId w:val="0"/>
        </w:numPr>
        <w:ind w:left="720"/>
        <w:jc w:val="both"/>
        <w:rPr>
          <w:i/>
          <w:iCs/>
        </w:rPr>
      </w:pPr>
      <w:bookmarkStart w:id="9" w:name="_Hlk111710404"/>
      <w:r>
        <w:t xml:space="preserve"> </w:t>
      </w:r>
      <w:r w:rsidR="00905932" w:rsidRPr="00905932">
        <w:rPr>
          <w:i/>
          <w:iCs/>
        </w:rPr>
        <w:t>Table 4.</w:t>
      </w:r>
      <w:r w:rsidR="00905932">
        <w:rPr>
          <w:i/>
          <w:iCs/>
        </w:rPr>
        <w:t>5</w:t>
      </w:r>
      <w:r w:rsidR="00905932" w:rsidRPr="00905932">
        <w:rPr>
          <w:i/>
          <w:iCs/>
        </w:rPr>
        <w:t>: first and second choice main food shopping market shares associated with town and district centres in Torquay (2013 and 2022 retail studies)</w:t>
      </w:r>
    </w:p>
    <w:tbl>
      <w:tblPr>
        <w:tblStyle w:val="CustomTable2"/>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629"/>
        <w:gridCol w:w="629"/>
        <w:gridCol w:w="630"/>
        <w:gridCol w:w="630"/>
        <w:gridCol w:w="629"/>
        <w:gridCol w:w="629"/>
        <w:gridCol w:w="629"/>
        <w:gridCol w:w="629"/>
        <w:gridCol w:w="629"/>
        <w:gridCol w:w="629"/>
        <w:gridCol w:w="686"/>
        <w:gridCol w:w="630"/>
        <w:gridCol w:w="630"/>
        <w:gridCol w:w="630"/>
      </w:tblGrid>
      <w:tr w:rsidR="00905932" w:rsidRPr="00905932" w14:paraId="6684490E" w14:textId="77777777" w:rsidTr="008A48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shd w:val="clear" w:color="auto" w:fill="D9D9D9" w:themeFill="background1" w:themeFillShade="D9"/>
          </w:tcPr>
          <w:p w14:paraId="1BF3C46C" w14:textId="77777777" w:rsidR="00905932" w:rsidRPr="00905932" w:rsidRDefault="00905932" w:rsidP="00905932">
            <w:pPr>
              <w:spacing w:before="0"/>
              <w:ind w:left="0" w:right="0"/>
              <w:jc w:val="both"/>
              <w:rPr>
                <w:rFonts w:cs="Open Sans"/>
                <w:b w:val="0"/>
                <w:color w:val="auto"/>
                <w:sz w:val="18"/>
                <w:szCs w:val="18"/>
              </w:rPr>
            </w:pPr>
            <w:r w:rsidRPr="00905932">
              <w:rPr>
                <w:rFonts w:cs="Open Sans"/>
                <w:b w:val="0"/>
                <w:color w:val="auto"/>
                <w:sz w:val="18"/>
                <w:szCs w:val="18"/>
              </w:rPr>
              <w:t>CENTRE</w:t>
            </w:r>
          </w:p>
        </w:tc>
        <w:tc>
          <w:tcPr>
            <w:tcW w:w="4405" w:type="dxa"/>
            <w:gridSpan w:val="7"/>
            <w:shd w:val="clear" w:color="auto" w:fill="D9D9D9" w:themeFill="background1" w:themeFillShade="D9"/>
          </w:tcPr>
          <w:p w14:paraId="71C31E0D" w14:textId="2920EAA9" w:rsidR="00905932" w:rsidRPr="00905932" w:rsidRDefault="00905932" w:rsidP="00905932">
            <w:pPr>
              <w:spacing w:before="0"/>
              <w:ind w:left="0" w:right="0"/>
              <w:jc w:val="center"/>
              <w:cnfStyle w:val="100000000000" w:firstRow="1" w:lastRow="0" w:firstColumn="0" w:lastColumn="0" w:oddVBand="0" w:evenVBand="0" w:oddHBand="0" w:evenHBand="0" w:firstRowFirstColumn="0" w:firstRowLastColumn="0" w:lastRowFirstColumn="0" w:lastRowLastColumn="0"/>
              <w:rPr>
                <w:rFonts w:cs="Open Sans"/>
                <w:b w:val="0"/>
                <w:color w:val="auto"/>
                <w:sz w:val="18"/>
                <w:szCs w:val="18"/>
              </w:rPr>
            </w:pPr>
            <w:r w:rsidRPr="00905932">
              <w:rPr>
                <w:rFonts w:cs="Open Sans"/>
                <w:b w:val="0"/>
                <w:color w:val="auto"/>
                <w:sz w:val="18"/>
                <w:szCs w:val="18"/>
              </w:rPr>
              <w:t xml:space="preserve">First Choice </w:t>
            </w:r>
            <w:r w:rsidR="008A4895">
              <w:rPr>
                <w:rFonts w:cs="Open Sans"/>
                <w:b w:val="0"/>
                <w:color w:val="auto"/>
                <w:sz w:val="18"/>
                <w:szCs w:val="18"/>
              </w:rPr>
              <w:t>Top-Up</w:t>
            </w:r>
            <w:r w:rsidRPr="00905932">
              <w:rPr>
                <w:rFonts w:cs="Open Sans"/>
                <w:b w:val="0"/>
                <w:color w:val="auto"/>
                <w:sz w:val="18"/>
                <w:szCs w:val="18"/>
              </w:rPr>
              <w:t xml:space="preserve"> Food</w:t>
            </w:r>
          </w:p>
        </w:tc>
        <w:tc>
          <w:tcPr>
            <w:tcW w:w="4463" w:type="dxa"/>
            <w:gridSpan w:val="7"/>
            <w:shd w:val="clear" w:color="auto" w:fill="D9D9D9" w:themeFill="background1" w:themeFillShade="D9"/>
          </w:tcPr>
          <w:p w14:paraId="6564C91D" w14:textId="28019233" w:rsidR="00905932" w:rsidRPr="00905932" w:rsidRDefault="00905932" w:rsidP="00905932">
            <w:pPr>
              <w:spacing w:before="0"/>
              <w:ind w:left="0" w:right="0"/>
              <w:jc w:val="center"/>
              <w:cnfStyle w:val="100000000000" w:firstRow="1" w:lastRow="0" w:firstColumn="0" w:lastColumn="0" w:oddVBand="0" w:evenVBand="0" w:oddHBand="0" w:evenHBand="0" w:firstRowFirstColumn="0" w:firstRowLastColumn="0" w:lastRowFirstColumn="0" w:lastRowLastColumn="0"/>
              <w:rPr>
                <w:rFonts w:cs="Open Sans"/>
                <w:b w:val="0"/>
                <w:color w:val="auto"/>
                <w:sz w:val="18"/>
                <w:szCs w:val="18"/>
              </w:rPr>
            </w:pPr>
            <w:r w:rsidRPr="00905932">
              <w:rPr>
                <w:rFonts w:cs="Open Sans"/>
                <w:b w:val="0"/>
                <w:color w:val="auto"/>
                <w:sz w:val="18"/>
                <w:szCs w:val="18"/>
              </w:rPr>
              <w:t xml:space="preserve">Second Choice </w:t>
            </w:r>
            <w:r w:rsidR="008A4895">
              <w:rPr>
                <w:rFonts w:cs="Open Sans"/>
                <w:b w:val="0"/>
                <w:color w:val="auto"/>
                <w:sz w:val="18"/>
                <w:szCs w:val="18"/>
              </w:rPr>
              <w:t>Top-Up</w:t>
            </w:r>
            <w:r w:rsidRPr="00905932">
              <w:rPr>
                <w:rFonts w:cs="Open Sans"/>
                <w:b w:val="0"/>
                <w:color w:val="auto"/>
                <w:sz w:val="18"/>
                <w:szCs w:val="18"/>
              </w:rPr>
              <w:t xml:space="preserve"> Food</w:t>
            </w:r>
          </w:p>
        </w:tc>
      </w:tr>
      <w:tr w:rsidR="008A4895" w:rsidRPr="00905932" w14:paraId="59218BC9" w14:textId="77777777" w:rsidTr="008A4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shd w:val="clear" w:color="auto" w:fill="D9D9D9" w:themeFill="background1" w:themeFillShade="D9"/>
          </w:tcPr>
          <w:p w14:paraId="7BF39106" w14:textId="77777777" w:rsidR="00905932" w:rsidRPr="00905932" w:rsidRDefault="00905932" w:rsidP="00905932">
            <w:pPr>
              <w:spacing w:before="0"/>
              <w:ind w:left="0" w:right="0"/>
              <w:jc w:val="both"/>
              <w:rPr>
                <w:rFonts w:cs="Open Sans"/>
                <w:b/>
                <w:color w:val="auto"/>
                <w:sz w:val="18"/>
                <w:szCs w:val="18"/>
              </w:rPr>
            </w:pPr>
          </w:p>
        </w:tc>
        <w:tc>
          <w:tcPr>
            <w:tcW w:w="629" w:type="dxa"/>
            <w:shd w:val="clear" w:color="auto" w:fill="D9D9D9" w:themeFill="background1" w:themeFillShade="D9"/>
          </w:tcPr>
          <w:p w14:paraId="4A0F8572"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2</w:t>
            </w:r>
          </w:p>
        </w:tc>
        <w:tc>
          <w:tcPr>
            <w:tcW w:w="629" w:type="dxa"/>
            <w:shd w:val="clear" w:color="auto" w:fill="D9D9D9" w:themeFill="background1" w:themeFillShade="D9"/>
          </w:tcPr>
          <w:p w14:paraId="507F4067"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3</w:t>
            </w:r>
          </w:p>
        </w:tc>
        <w:tc>
          <w:tcPr>
            <w:tcW w:w="630" w:type="dxa"/>
            <w:shd w:val="clear" w:color="auto" w:fill="D9D9D9" w:themeFill="background1" w:themeFillShade="D9"/>
          </w:tcPr>
          <w:p w14:paraId="3CD68F07"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4</w:t>
            </w:r>
          </w:p>
        </w:tc>
        <w:tc>
          <w:tcPr>
            <w:tcW w:w="630" w:type="dxa"/>
            <w:shd w:val="clear" w:color="auto" w:fill="D9D9D9" w:themeFill="background1" w:themeFillShade="D9"/>
          </w:tcPr>
          <w:p w14:paraId="0E39D0B2"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5</w:t>
            </w:r>
          </w:p>
        </w:tc>
        <w:tc>
          <w:tcPr>
            <w:tcW w:w="629" w:type="dxa"/>
            <w:shd w:val="clear" w:color="auto" w:fill="D9D9D9" w:themeFill="background1" w:themeFillShade="D9"/>
          </w:tcPr>
          <w:p w14:paraId="5B07E546"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6</w:t>
            </w:r>
          </w:p>
        </w:tc>
        <w:tc>
          <w:tcPr>
            <w:tcW w:w="629" w:type="dxa"/>
            <w:shd w:val="clear" w:color="auto" w:fill="D9D9D9" w:themeFill="background1" w:themeFillShade="D9"/>
          </w:tcPr>
          <w:p w14:paraId="58F39980"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7</w:t>
            </w:r>
          </w:p>
        </w:tc>
        <w:tc>
          <w:tcPr>
            <w:tcW w:w="629" w:type="dxa"/>
            <w:shd w:val="clear" w:color="auto" w:fill="D9D9D9" w:themeFill="background1" w:themeFillShade="D9"/>
          </w:tcPr>
          <w:p w14:paraId="1454B2FF"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8</w:t>
            </w:r>
          </w:p>
        </w:tc>
        <w:tc>
          <w:tcPr>
            <w:tcW w:w="629" w:type="dxa"/>
            <w:shd w:val="clear" w:color="auto" w:fill="D9D9D9" w:themeFill="background1" w:themeFillShade="D9"/>
          </w:tcPr>
          <w:p w14:paraId="10639EE8"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2</w:t>
            </w:r>
          </w:p>
        </w:tc>
        <w:tc>
          <w:tcPr>
            <w:tcW w:w="629" w:type="dxa"/>
            <w:shd w:val="clear" w:color="auto" w:fill="D9D9D9" w:themeFill="background1" w:themeFillShade="D9"/>
          </w:tcPr>
          <w:p w14:paraId="58D3DB95"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3</w:t>
            </w:r>
          </w:p>
        </w:tc>
        <w:tc>
          <w:tcPr>
            <w:tcW w:w="629" w:type="dxa"/>
            <w:shd w:val="clear" w:color="auto" w:fill="D9D9D9" w:themeFill="background1" w:themeFillShade="D9"/>
          </w:tcPr>
          <w:p w14:paraId="529BD0E6"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4</w:t>
            </w:r>
          </w:p>
        </w:tc>
        <w:tc>
          <w:tcPr>
            <w:tcW w:w="686" w:type="dxa"/>
            <w:shd w:val="clear" w:color="auto" w:fill="D9D9D9" w:themeFill="background1" w:themeFillShade="D9"/>
          </w:tcPr>
          <w:p w14:paraId="3EA9E55E"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5</w:t>
            </w:r>
          </w:p>
        </w:tc>
        <w:tc>
          <w:tcPr>
            <w:tcW w:w="630" w:type="dxa"/>
            <w:shd w:val="clear" w:color="auto" w:fill="D9D9D9" w:themeFill="background1" w:themeFillShade="D9"/>
          </w:tcPr>
          <w:p w14:paraId="16D10A83"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6</w:t>
            </w:r>
          </w:p>
        </w:tc>
        <w:tc>
          <w:tcPr>
            <w:tcW w:w="630" w:type="dxa"/>
            <w:shd w:val="clear" w:color="auto" w:fill="D9D9D9" w:themeFill="background1" w:themeFillShade="D9"/>
          </w:tcPr>
          <w:p w14:paraId="6C8D0261"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7</w:t>
            </w:r>
          </w:p>
        </w:tc>
        <w:tc>
          <w:tcPr>
            <w:tcW w:w="630" w:type="dxa"/>
            <w:shd w:val="clear" w:color="auto" w:fill="D9D9D9" w:themeFill="background1" w:themeFillShade="D9"/>
          </w:tcPr>
          <w:p w14:paraId="78A12551" w14:textId="77777777" w:rsidR="00905932" w:rsidRPr="00905932" w:rsidRDefault="00905932" w:rsidP="00905932">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905932">
              <w:rPr>
                <w:rFonts w:cs="Open Sans"/>
                <w:b/>
                <w:color w:val="auto"/>
                <w:sz w:val="18"/>
                <w:szCs w:val="18"/>
              </w:rPr>
              <w:t>8</w:t>
            </w:r>
          </w:p>
        </w:tc>
      </w:tr>
      <w:tr w:rsidR="00905932" w:rsidRPr="00905932" w14:paraId="509A2D0E" w14:textId="77777777" w:rsidTr="002B10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76FC857E" w14:textId="77777777" w:rsidR="00905932" w:rsidRPr="00905932" w:rsidRDefault="00905932" w:rsidP="00905932">
            <w:pPr>
              <w:spacing w:before="0"/>
              <w:ind w:left="0" w:right="0"/>
              <w:jc w:val="center"/>
              <w:rPr>
                <w:rFonts w:cs="Open Sans"/>
                <w:b/>
                <w:color w:val="auto"/>
                <w:sz w:val="18"/>
                <w:szCs w:val="18"/>
              </w:rPr>
            </w:pPr>
            <w:r w:rsidRPr="003E7679">
              <w:rPr>
                <w:rFonts w:cs="Open Sans"/>
                <w:b/>
                <w:color w:val="C00000"/>
                <w:sz w:val="18"/>
                <w:szCs w:val="18"/>
              </w:rPr>
              <w:t>2013 Retail Study</w:t>
            </w:r>
          </w:p>
        </w:tc>
      </w:tr>
      <w:tr w:rsidR="008A4895" w:rsidRPr="00905932" w14:paraId="3C37CF44" w14:textId="77777777" w:rsidTr="008A4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shd w:val="clear" w:color="auto" w:fill="auto"/>
          </w:tcPr>
          <w:p w14:paraId="45BF5CB5" w14:textId="77777777" w:rsidR="008A4895" w:rsidRPr="00905932" w:rsidRDefault="008A4895" w:rsidP="00EF2374">
            <w:pPr>
              <w:spacing w:before="0"/>
              <w:ind w:left="0" w:right="0"/>
              <w:rPr>
                <w:rFonts w:cs="Open Sans"/>
                <w:bCs/>
                <w:color w:val="auto"/>
                <w:sz w:val="18"/>
                <w:szCs w:val="18"/>
              </w:rPr>
            </w:pPr>
            <w:r w:rsidRPr="00905932">
              <w:rPr>
                <w:rFonts w:cs="Open Sans"/>
                <w:bCs/>
                <w:color w:val="auto"/>
                <w:sz w:val="18"/>
                <w:szCs w:val="18"/>
              </w:rPr>
              <w:t>Torquay town centre</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595477CD" w14:textId="4B94DBE7"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1884CA78" w14:textId="28C514B2"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39580CA6" w14:textId="2BB7BA18"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01EA18D8" w14:textId="426B04DC"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21%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0CC7D676" w14:textId="1EA6331B"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697B24FD" w14:textId="69035BB6"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3446F09E" w14:textId="40E24B34"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2089AB7A" w14:textId="446BEDEC"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5C842522" w14:textId="7B933D04"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549183EF" w14:textId="5A98AAD4"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14:paraId="6D7F47F4" w14:textId="2DDE61E8"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11%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46F85D91" w14:textId="475EC16B"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412A5C51" w14:textId="192F124C"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112464B3" w14:textId="3DDD9AB7"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r>
      <w:tr w:rsidR="008A4895" w:rsidRPr="00905932" w14:paraId="59C1EB19" w14:textId="77777777" w:rsidTr="008A48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shd w:val="clear" w:color="auto" w:fill="auto"/>
          </w:tcPr>
          <w:p w14:paraId="44172BEF" w14:textId="77777777" w:rsidR="008A4895" w:rsidRPr="00905932" w:rsidRDefault="008A4895" w:rsidP="00EF2374">
            <w:pPr>
              <w:spacing w:before="0"/>
              <w:ind w:left="0" w:right="0"/>
              <w:rPr>
                <w:rFonts w:cs="Open Sans"/>
                <w:bCs/>
                <w:color w:val="auto"/>
                <w:sz w:val="18"/>
                <w:szCs w:val="18"/>
              </w:rPr>
            </w:pPr>
            <w:r w:rsidRPr="00905932">
              <w:rPr>
                <w:rFonts w:cs="Open Sans"/>
                <w:bCs/>
                <w:color w:val="auto"/>
                <w:sz w:val="18"/>
                <w:szCs w:val="18"/>
              </w:rPr>
              <w:t>The Willows district centre</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47FD4D8F" w14:textId="2F68ADA6"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5B9549B4" w14:textId="5DDA98D6"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093967AB" w14:textId="26263A49"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A4AC676" w14:textId="2396D59E"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17%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21AC97AD" w14:textId="6C8DD2BB"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75439698" w14:textId="17DA42F4"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3CF541C0" w14:textId="2B473739"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27E83865" w14:textId="661E6277"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12C845C6" w14:textId="36B46A7D"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7%</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2829708F" w14:textId="42660F88"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14:paraId="58CFD731" w14:textId="606EB13E"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12%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387F6A50" w14:textId="11927364"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0B1E4E0A" w14:textId="3A616AF7"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24A49A58" w14:textId="465162F1"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4%</w:t>
            </w:r>
          </w:p>
        </w:tc>
      </w:tr>
      <w:tr w:rsidR="008A4895" w:rsidRPr="00905932" w14:paraId="73B20D31" w14:textId="77777777" w:rsidTr="008A4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shd w:val="clear" w:color="auto" w:fill="auto"/>
          </w:tcPr>
          <w:p w14:paraId="7F6502B5" w14:textId="77777777" w:rsidR="008A4895" w:rsidRPr="00905932" w:rsidRDefault="008A4895" w:rsidP="00EF2374">
            <w:pPr>
              <w:spacing w:before="0"/>
              <w:ind w:left="0" w:right="0"/>
              <w:rPr>
                <w:rFonts w:cs="Open Sans"/>
                <w:bCs/>
                <w:color w:val="auto"/>
                <w:sz w:val="18"/>
                <w:szCs w:val="18"/>
              </w:rPr>
            </w:pPr>
            <w:r w:rsidRPr="00905932">
              <w:rPr>
                <w:rFonts w:cs="Open Sans"/>
                <w:bCs/>
                <w:color w:val="auto"/>
                <w:sz w:val="18"/>
                <w:szCs w:val="18"/>
              </w:rPr>
              <w:t>St Marychurch district centre</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6125D7C8" w14:textId="3BE111E6"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03D40194" w14:textId="4478770D"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774D5025" w14:textId="5C7C0709"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C08A349" w14:textId="1D26D1E4"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226D0D80" w14:textId="754EE7B3"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4CABA338" w14:textId="6F1BAFFE"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6FA16C44" w14:textId="143B87C1"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1EC34D23" w14:textId="4AD3C0EB"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457308DD" w14:textId="389CCDFD"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14:paraId="6927D542" w14:textId="72973BD9"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14:paraId="382D300D" w14:textId="2EDFE4FA"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38992BDA" w14:textId="5E600916"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7342ED2" w14:textId="254968A9"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57F52C51" w14:textId="0C40E2CE"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sz w:val="18"/>
                <w:szCs w:val="18"/>
              </w:rPr>
              <w:t>0%</w:t>
            </w:r>
          </w:p>
        </w:tc>
      </w:tr>
      <w:tr w:rsidR="008A4895" w:rsidRPr="00905932" w14:paraId="747E7E2E" w14:textId="77777777" w:rsidTr="002B10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10B114FA" w14:textId="77777777" w:rsidR="008A4895" w:rsidRPr="00905932" w:rsidRDefault="008A4895" w:rsidP="00540517">
            <w:pPr>
              <w:spacing w:before="0"/>
              <w:ind w:left="0" w:right="0"/>
              <w:jc w:val="center"/>
              <w:rPr>
                <w:rFonts w:cs="Open Sans"/>
                <w:b/>
                <w:color w:val="auto"/>
                <w:sz w:val="18"/>
                <w:szCs w:val="18"/>
              </w:rPr>
            </w:pPr>
            <w:r w:rsidRPr="003E7679">
              <w:rPr>
                <w:rFonts w:cs="Open Sans"/>
                <w:b/>
                <w:color w:val="C00000"/>
                <w:sz w:val="18"/>
                <w:szCs w:val="18"/>
              </w:rPr>
              <w:t>2022 Retail Study</w:t>
            </w:r>
          </w:p>
        </w:tc>
      </w:tr>
      <w:tr w:rsidR="008A4895" w:rsidRPr="00905932" w14:paraId="4DE7F902" w14:textId="77777777" w:rsidTr="008A4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shd w:val="clear" w:color="auto" w:fill="auto"/>
          </w:tcPr>
          <w:p w14:paraId="33BB8FDD" w14:textId="77777777" w:rsidR="008A4895" w:rsidRPr="00905932" w:rsidRDefault="008A4895" w:rsidP="00EF2374">
            <w:pPr>
              <w:spacing w:before="0"/>
              <w:ind w:left="0" w:right="0"/>
              <w:rPr>
                <w:rFonts w:cs="Open Sans"/>
                <w:bCs/>
                <w:color w:val="auto"/>
                <w:sz w:val="18"/>
                <w:szCs w:val="18"/>
              </w:rPr>
            </w:pPr>
            <w:r w:rsidRPr="00905932">
              <w:rPr>
                <w:rFonts w:cs="Open Sans"/>
                <w:bCs/>
                <w:color w:val="auto"/>
                <w:sz w:val="18"/>
                <w:szCs w:val="18"/>
              </w:rPr>
              <w:t>Torquay town centre</w:t>
            </w:r>
          </w:p>
        </w:tc>
        <w:tc>
          <w:tcPr>
            <w:tcW w:w="629" w:type="dxa"/>
            <w:tcBorders>
              <w:top w:val="single" w:sz="4" w:space="0" w:color="auto"/>
              <w:left w:val="single" w:sz="4" w:space="0" w:color="auto"/>
              <w:bottom w:val="single" w:sz="4" w:space="0" w:color="auto"/>
              <w:right w:val="nil"/>
            </w:tcBorders>
            <w:shd w:val="clear" w:color="auto" w:fill="auto"/>
            <w:vAlign w:val="bottom"/>
          </w:tcPr>
          <w:p w14:paraId="3D8AF384" w14:textId="55EA3211"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16ACEDD1" w14:textId="5EF7F5B5"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30" w:type="dxa"/>
            <w:tcBorders>
              <w:top w:val="single" w:sz="4" w:space="0" w:color="auto"/>
              <w:left w:val="single" w:sz="4" w:space="0" w:color="auto"/>
              <w:bottom w:val="single" w:sz="4" w:space="0" w:color="auto"/>
              <w:right w:val="nil"/>
            </w:tcBorders>
            <w:shd w:val="clear" w:color="auto" w:fill="auto"/>
            <w:vAlign w:val="bottom"/>
          </w:tcPr>
          <w:p w14:paraId="032C1CC2" w14:textId="1D511783"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1</w:t>
            </w:r>
            <w:r w:rsidRPr="008A4895">
              <w:rPr>
                <w:rFonts w:asciiTheme="minorHAnsi" w:hAnsiTheme="minorHAnsi" w:cstheme="minorHAnsi"/>
                <w:color w:val="000000"/>
                <w:sz w:val="18"/>
                <w:szCs w:val="18"/>
              </w:rPr>
              <w:t>%</w:t>
            </w:r>
          </w:p>
        </w:tc>
        <w:tc>
          <w:tcPr>
            <w:tcW w:w="630" w:type="dxa"/>
            <w:tcBorders>
              <w:top w:val="single" w:sz="4" w:space="0" w:color="auto"/>
              <w:left w:val="single" w:sz="4" w:space="0" w:color="auto"/>
              <w:bottom w:val="single" w:sz="4" w:space="0" w:color="auto"/>
              <w:right w:val="nil"/>
            </w:tcBorders>
            <w:shd w:val="clear" w:color="auto" w:fill="auto"/>
            <w:vAlign w:val="bottom"/>
          </w:tcPr>
          <w:p w14:paraId="4E57E9EF" w14:textId="6538F282"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7%</w:t>
            </w:r>
          </w:p>
        </w:tc>
        <w:tc>
          <w:tcPr>
            <w:tcW w:w="629" w:type="dxa"/>
            <w:tcBorders>
              <w:top w:val="single" w:sz="4" w:space="0" w:color="auto"/>
              <w:left w:val="single" w:sz="4" w:space="0" w:color="auto"/>
              <w:bottom w:val="single" w:sz="4" w:space="0" w:color="auto"/>
              <w:right w:val="nil"/>
            </w:tcBorders>
            <w:shd w:val="clear" w:color="auto" w:fill="auto"/>
            <w:vAlign w:val="bottom"/>
          </w:tcPr>
          <w:p w14:paraId="1DB65D28" w14:textId="5D298E62"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78207E27" w14:textId="177DC783"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119487F8" w14:textId="1E481D58"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0A30FADB" w14:textId="4F9A8758"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14145B29" w14:textId="4D19CB77"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6BF9DED3" w14:textId="764714A8"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86" w:type="dxa"/>
            <w:tcBorders>
              <w:top w:val="single" w:sz="4" w:space="0" w:color="auto"/>
              <w:left w:val="single" w:sz="4" w:space="0" w:color="auto"/>
              <w:bottom w:val="single" w:sz="4" w:space="0" w:color="auto"/>
              <w:right w:val="nil"/>
            </w:tcBorders>
            <w:shd w:val="clear" w:color="auto" w:fill="auto"/>
            <w:vAlign w:val="bottom"/>
          </w:tcPr>
          <w:p w14:paraId="6BE647ED" w14:textId="55B971D1"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9%</w:t>
            </w:r>
          </w:p>
        </w:tc>
        <w:tc>
          <w:tcPr>
            <w:tcW w:w="630" w:type="dxa"/>
            <w:tcBorders>
              <w:top w:val="single" w:sz="4" w:space="0" w:color="auto"/>
              <w:left w:val="single" w:sz="4" w:space="0" w:color="auto"/>
              <w:bottom w:val="single" w:sz="4" w:space="0" w:color="auto"/>
              <w:right w:val="nil"/>
            </w:tcBorders>
            <w:shd w:val="clear" w:color="auto" w:fill="auto"/>
            <w:vAlign w:val="bottom"/>
          </w:tcPr>
          <w:p w14:paraId="7C6231ED" w14:textId="784D27A2"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30" w:type="dxa"/>
            <w:tcBorders>
              <w:top w:val="single" w:sz="4" w:space="0" w:color="auto"/>
              <w:left w:val="single" w:sz="4" w:space="0" w:color="auto"/>
              <w:bottom w:val="single" w:sz="4" w:space="0" w:color="auto"/>
              <w:right w:val="nil"/>
            </w:tcBorders>
            <w:shd w:val="clear" w:color="auto" w:fill="auto"/>
            <w:vAlign w:val="bottom"/>
          </w:tcPr>
          <w:p w14:paraId="5E22416A" w14:textId="699482FA"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BF26A61" w14:textId="2CD47804"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r>
      <w:tr w:rsidR="008A4895" w:rsidRPr="00905932" w14:paraId="2349EDCE" w14:textId="77777777" w:rsidTr="008A48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shd w:val="clear" w:color="auto" w:fill="auto"/>
          </w:tcPr>
          <w:p w14:paraId="57489F9C" w14:textId="77777777" w:rsidR="008A4895" w:rsidRPr="00905932" w:rsidRDefault="008A4895" w:rsidP="00EF2374">
            <w:pPr>
              <w:spacing w:before="0"/>
              <w:ind w:left="0" w:right="0"/>
              <w:rPr>
                <w:rFonts w:cs="Open Sans"/>
                <w:bCs/>
                <w:color w:val="auto"/>
                <w:sz w:val="18"/>
                <w:szCs w:val="18"/>
              </w:rPr>
            </w:pPr>
            <w:r w:rsidRPr="00905932">
              <w:rPr>
                <w:rFonts w:cs="Open Sans"/>
                <w:bCs/>
                <w:color w:val="auto"/>
                <w:sz w:val="18"/>
                <w:szCs w:val="18"/>
              </w:rPr>
              <w:t>The Willows district centre</w:t>
            </w:r>
          </w:p>
        </w:tc>
        <w:tc>
          <w:tcPr>
            <w:tcW w:w="629" w:type="dxa"/>
            <w:tcBorders>
              <w:top w:val="single" w:sz="4" w:space="0" w:color="auto"/>
              <w:left w:val="single" w:sz="4" w:space="0" w:color="auto"/>
              <w:bottom w:val="single" w:sz="4" w:space="0" w:color="auto"/>
              <w:right w:val="nil"/>
            </w:tcBorders>
            <w:shd w:val="clear" w:color="auto" w:fill="auto"/>
            <w:vAlign w:val="bottom"/>
          </w:tcPr>
          <w:p w14:paraId="1820145E" w14:textId="7545B591"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21BA14D2" w14:textId="6C3C899F"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2%</w:t>
            </w:r>
          </w:p>
        </w:tc>
        <w:tc>
          <w:tcPr>
            <w:tcW w:w="630" w:type="dxa"/>
            <w:tcBorders>
              <w:top w:val="single" w:sz="4" w:space="0" w:color="auto"/>
              <w:left w:val="single" w:sz="4" w:space="0" w:color="auto"/>
              <w:bottom w:val="single" w:sz="4" w:space="0" w:color="auto"/>
              <w:right w:val="nil"/>
            </w:tcBorders>
            <w:shd w:val="clear" w:color="auto" w:fill="auto"/>
            <w:vAlign w:val="bottom"/>
          </w:tcPr>
          <w:p w14:paraId="7ABD7861" w14:textId="506C29EF"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2</w:t>
            </w:r>
            <w:r w:rsidRPr="008A4895">
              <w:rPr>
                <w:rFonts w:asciiTheme="minorHAnsi" w:hAnsiTheme="minorHAnsi" w:cstheme="minorHAnsi"/>
                <w:color w:val="000000"/>
                <w:sz w:val="18"/>
                <w:szCs w:val="18"/>
              </w:rPr>
              <w:t>%</w:t>
            </w:r>
          </w:p>
        </w:tc>
        <w:tc>
          <w:tcPr>
            <w:tcW w:w="630" w:type="dxa"/>
            <w:tcBorders>
              <w:top w:val="single" w:sz="4" w:space="0" w:color="auto"/>
              <w:left w:val="single" w:sz="4" w:space="0" w:color="auto"/>
              <w:bottom w:val="single" w:sz="4" w:space="0" w:color="auto"/>
              <w:right w:val="nil"/>
            </w:tcBorders>
            <w:shd w:val="clear" w:color="auto" w:fill="auto"/>
            <w:vAlign w:val="bottom"/>
          </w:tcPr>
          <w:p w14:paraId="51C01500" w14:textId="1109E1E1" w:rsidR="008A4895" w:rsidRPr="00905932" w:rsidRDefault="002364FB"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7</w:t>
            </w:r>
            <w:r w:rsidR="008A4895" w:rsidRPr="008A4895">
              <w:rPr>
                <w:rFonts w:asciiTheme="minorHAnsi" w:hAnsiTheme="minorHAnsi" w:cstheme="minorHAnsi"/>
                <w:color w:val="000000"/>
                <w:sz w:val="18"/>
                <w:szCs w:val="18"/>
              </w:rPr>
              <w:t>%</w:t>
            </w:r>
          </w:p>
        </w:tc>
        <w:tc>
          <w:tcPr>
            <w:tcW w:w="629" w:type="dxa"/>
            <w:tcBorders>
              <w:top w:val="single" w:sz="4" w:space="0" w:color="auto"/>
              <w:left w:val="single" w:sz="4" w:space="0" w:color="auto"/>
              <w:bottom w:val="single" w:sz="4" w:space="0" w:color="auto"/>
              <w:right w:val="nil"/>
            </w:tcBorders>
            <w:shd w:val="clear" w:color="auto" w:fill="auto"/>
            <w:vAlign w:val="bottom"/>
          </w:tcPr>
          <w:p w14:paraId="50F29344" w14:textId="4DD3A639"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0508719F" w14:textId="4F5EB255"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2FFB930A" w14:textId="12A942A3"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6144BBE6" w14:textId="409D4E8C"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2%</w:t>
            </w:r>
          </w:p>
        </w:tc>
        <w:tc>
          <w:tcPr>
            <w:tcW w:w="629" w:type="dxa"/>
            <w:tcBorders>
              <w:top w:val="single" w:sz="4" w:space="0" w:color="auto"/>
              <w:left w:val="single" w:sz="4" w:space="0" w:color="auto"/>
              <w:bottom w:val="single" w:sz="4" w:space="0" w:color="auto"/>
              <w:right w:val="nil"/>
            </w:tcBorders>
            <w:shd w:val="clear" w:color="auto" w:fill="auto"/>
            <w:vAlign w:val="bottom"/>
          </w:tcPr>
          <w:p w14:paraId="24E95B85" w14:textId="2962C916"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2%</w:t>
            </w:r>
          </w:p>
        </w:tc>
        <w:tc>
          <w:tcPr>
            <w:tcW w:w="629" w:type="dxa"/>
            <w:tcBorders>
              <w:top w:val="single" w:sz="4" w:space="0" w:color="auto"/>
              <w:left w:val="single" w:sz="4" w:space="0" w:color="auto"/>
              <w:bottom w:val="single" w:sz="4" w:space="0" w:color="auto"/>
              <w:right w:val="nil"/>
            </w:tcBorders>
            <w:shd w:val="clear" w:color="auto" w:fill="auto"/>
            <w:vAlign w:val="bottom"/>
          </w:tcPr>
          <w:p w14:paraId="2768C58D" w14:textId="2A7464A7" w:rsidR="008A4895" w:rsidRPr="00905932" w:rsidRDefault="002364FB"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1</w:t>
            </w:r>
            <w:r w:rsidR="008A4895" w:rsidRPr="008A4895">
              <w:rPr>
                <w:rFonts w:asciiTheme="minorHAnsi" w:hAnsiTheme="minorHAnsi" w:cstheme="minorHAnsi"/>
                <w:color w:val="000000"/>
                <w:sz w:val="18"/>
                <w:szCs w:val="18"/>
              </w:rPr>
              <w:t>%</w:t>
            </w:r>
          </w:p>
        </w:tc>
        <w:tc>
          <w:tcPr>
            <w:tcW w:w="686" w:type="dxa"/>
            <w:tcBorders>
              <w:top w:val="single" w:sz="4" w:space="0" w:color="auto"/>
              <w:left w:val="single" w:sz="4" w:space="0" w:color="auto"/>
              <w:bottom w:val="single" w:sz="4" w:space="0" w:color="auto"/>
              <w:right w:val="nil"/>
            </w:tcBorders>
            <w:shd w:val="clear" w:color="auto" w:fill="auto"/>
            <w:vAlign w:val="bottom"/>
          </w:tcPr>
          <w:p w14:paraId="796F6997" w14:textId="1F6B16DC"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1</w:t>
            </w:r>
            <w:r w:rsidR="002364FB">
              <w:rPr>
                <w:rFonts w:asciiTheme="minorHAnsi" w:hAnsiTheme="minorHAnsi" w:cstheme="minorHAnsi"/>
                <w:color w:val="000000"/>
                <w:sz w:val="18"/>
                <w:szCs w:val="18"/>
              </w:rPr>
              <w:t>5</w:t>
            </w:r>
            <w:r w:rsidRPr="008A4895">
              <w:rPr>
                <w:rFonts w:asciiTheme="minorHAnsi" w:hAnsiTheme="minorHAnsi" w:cstheme="minorHAnsi"/>
                <w:color w:val="000000"/>
                <w:sz w:val="18"/>
                <w:szCs w:val="18"/>
              </w:rPr>
              <w:t>%</w:t>
            </w:r>
          </w:p>
        </w:tc>
        <w:tc>
          <w:tcPr>
            <w:tcW w:w="630" w:type="dxa"/>
            <w:tcBorders>
              <w:top w:val="single" w:sz="4" w:space="0" w:color="auto"/>
              <w:left w:val="single" w:sz="4" w:space="0" w:color="auto"/>
              <w:bottom w:val="single" w:sz="4" w:space="0" w:color="auto"/>
              <w:right w:val="nil"/>
            </w:tcBorders>
            <w:shd w:val="clear" w:color="auto" w:fill="auto"/>
            <w:vAlign w:val="bottom"/>
          </w:tcPr>
          <w:p w14:paraId="4232CEF9" w14:textId="1173BC65" w:rsidR="008A4895" w:rsidRPr="00905932" w:rsidRDefault="002364FB"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10</w:t>
            </w:r>
            <w:r w:rsidR="008A4895" w:rsidRPr="008A4895">
              <w:rPr>
                <w:rFonts w:asciiTheme="minorHAnsi" w:hAnsiTheme="minorHAnsi" w:cstheme="minorHAnsi"/>
                <w:color w:val="000000"/>
                <w:sz w:val="18"/>
                <w:szCs w:val="18"/>
              </w:rPr>
              <w:t>%</w:t>
            </w:r>
          </w:p>
        </w:tc>
        <w:tc>
          <w:tcPr>
            <w:tcW w:w="630" w:type="dxa"/>
            <w:tcBorders>
              <w:top w:val="single" w:sz="4" w:space="0" w:color="auto"/>
              <w:left w:val="single" w:sz="4" w:space="0" w:color="auto"/>
              <w:bottom w:val="single" w:sz="4" w:space="0" w:color="auto"/>
              <w:right w:val="nil"/>
            </w:tcBorders>
            <w:shd w:val="clear" w:color="auto" w:fill="auto"/>
            <w:vAlign w:val="bottom"/>
          </w:tcPr>
          <w:p w14:paraId="323B0FE2" w14:textId="58CA9403"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1EDD1A62" w14:textId="713ABD38" w:rsidR="008A4895" w:rsidRPr="00905932" w:rsidRDefault="008A4895" w:rsidP="008A4895">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4%</w:t>
            </w:r>
          </w:p>
        </w:tc>
      </w:tr>
      <w:tr w:rsidR="008A4895" w:rsidRPr="00905932" w14:paraId="2B97521D" w14:textId="77777777" w:rsidTr="008A4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shd w:val="clear" w:color="auto" w:fill="auto"/>
          </w:tcPr>
          <w:p w14:paraId="6634C742" w14:textId="77777777" w:rsidR="008A4895" w:rsidRPr="00905932" w:rsidRDefault="008A4895" w:rsidP="00EF2374">
            <w:pPr>
              <w:spacing w:before="0"/>
              <w:ind w:left="0" w:right="0"/>
              <w:rPr>
                <w:rFonts w:cs="Open Sans"/>
                <w:bCs/>
                <w:color w:val="auto"/>
                <w:sz w:val="18"/>
                <w:szCs w:val="18"/>
              </w:rPr>
            </w:pPr>
            <w:r w:rsidRPr="00905932">
              <w:rPr>
                <w:rFonts w:cs="Open Sans"/>
                <w:bCs/>
                <w:color w:val="auto"/>
                <w:sz w:val="18"/>
                <w:szCs w:val="18"/>
              </w:rPr>
              <w:t>St Marychurch district centre</w:t>
            </w:r>
          </w:p>
        </w:tc>
        <w:tc>
          <w:tcPr>
            <w:tcW w:w="629" w:type="dxa"/>
            <w:tcBorders>
              <w:top w:val="single" w:sz="4" w:space="0" w:color="auto"/>
              <w:left w:val="single" w:sz="4" w:space="0" w:color="auto"/>
              <w:bottom w:val="single" w:sz="4" w:space="0" w:color="auto"/>
              <w:right w:val="nil"/>
            </w:tcBorders>
            <w:shd w:val="clear" w:color="auto" w:fill="auto"/>
            <w:vAlign w:val="bottom"/>
          </w:tcPr>
          <w:p w14:paraId="11CD1D80" w14:textId="68E633E4"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04F167E8" w14:textId="3D91B89C"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30" w:type="dxa"/>
            <w:tcBorders>
              <w:top w:val="single" w:sz="4" w:space="0" w:color="auto"/>
              <w:left w:val="single" w:sz="4" w:space="0" w:color="auto"/>
              <w:bottom w:val="single" w:sz="4" w:space="0" w:color="auto"/>
              <w:right w:val="nil"/>
            </w:tcBorders>
            <w:shd w:val="clear" w:color="auto" w:fill="auto"/>
            <w:vAlign w:val="bottom"/>
          </w:tcPr>
          <w:p w14:paraId="3C2BEFCC" w14:textId="1F1DF74A"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30" w:type="dxa"/>
            <w:tcBorders>
              <w:top w:val="single" w:sz="4" w:space="0" w:color="auto"/>
              <w:left w:val="single" w:sz="4" w:space="0" w:color="auto"/>
              <w:bottom w:val="single" w:sz="4" w:space="0" w:color="auto"/>
              <w:right w:val="nil"/>
            </w:tcBorders>
            <w:shd w:val="clear" w:color="auto" w:fill="auto"/>
            <w:vAlign w:val="bottom"/>
          </w:tcPr>
          <w:p w14:paraId="7C9B27A4" w14:textId="1D2338BF"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6%</w:t>
            </w:r>
          </w:p>
        </w:tc>
        <w:tc>
          <w:tcPr>
            <w:tcW w:w="629" w:type="dxa"/>
            <w:tcBorders>
              <w:top w:val="single" w:sz="4" w:space="0" w:color="auto"/>
              <w:left w:val="single" w:sz="4" w:space="0" w:color="auto"/>
              <w:bottom w:val="single" w:sz="4" w:space="0" w:color="auto"/>
              <w:right w:val="nil"/>
            </w:tcBorders>
            <w:shd w:val="clear" w:color="auto" w:fill="auto"/>
            <w:vAlign w:val="bottom"/>
          </w:tcPr>
          <w:p w14:paraId="674CCA2B" w14:textId="5C9DEC6C"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07F4BCC0" w14:textId="39CCBCDB" w:rsidR="008A4895" w:rsidRPr="00905932" w:rsidRDefault="00DF2FBB"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2</w:t>
            </w:r>
            <w:r w:rsidR="008A4895" w:rsidRPr="008A4895">
              <w:rPr>
                <w:rFonts w:asciiTheme="minorHAnsi" w:hAnsiTheme="minorHAnsi" w:cstheme="minorHAnsi"/>
                <w:color w:val="000000"/>
                <w:sz w:val="18"/>
                <w:szCs w:val="18"/>
              </w:rPr>
              <w:t>%</w:t>
            </w:r>
          </w:p>
        </w:tc>
        <w:tc>
          <w:tcPr>
            <w:tcW w:w="629" w:type="dxa"/>
            <w:tcBorders>
              <w:top w:val="single" w:sz="4" w:space="0" w:color="auto"/>
              <w:left w:val="single" w:sz="4" w:space="0" w:color="auto"/>
              <w:bottom w:val="single" w:sz="4" w:space="0" w:color="auto"/>
              <w:right w:val="nil"/>
            </w:tcBorders>
            <w:shd w:val="clear" w:color="auto" w:fill="auto"/>
            <w:vAlign w:val="bottom"/>
          </w:tcPr>
          <w:p w14:paraId="52F9BF28" w14:textId="1C387854"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52273E37" w14:textId="7F5C4593"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468AB845" w14:textId="28754BB9"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29" w:type="dxa"/>
            <w:tcBorders>
              <w:top w:val="single" w:sz="4" w:space="0" w:color="auto"/>
              <w:left w:val="single" w:sz="4" w:space="0" w:color="auto"/>
              <w:bottom w:val="single" w:sz="4" w:space="0" w:color="auto"/>
              <w:right w:val="nil"/>
            </w:tcBorders>
            <w:shd w:val="clear" w:color="auto" w:fill="auto"/>
            <w:vAlign w:val="bottom"/>
          </w:tcPr>
          <w:p w14:paraId="52CC054F" w14:textId="6EE0D6A9"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86" w:type="dxa"/>
            <w:tcBorders>
              <w:top w:val="single" w:sz="4" w:space="0" w:color="auto"/>
              <w:left w:val="single" w:sz="4" w:space="0" w:color="auto"/>
              <w:bottom w:val="single" w:sz="4" w:space="0" w:color="auto"/>
              <w:right w:val="nil"/>
            </w:tcBorders>
            <w:shd w:val="clear" w:color="auto" w:fill="auto"/>
            <w:vAlign w:val="bottom"/>
          </w:tcPr>
          <w:p w14:paraId="77F48428" w14:textId="4567A14F"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1</w:t>
            </w:r>
            <w:r w:rsidR="00DF2FBB">
              <w:rPr>
                <w:rFonts w:asciiTheme="minorHAnsi" w:hAnsiTheme="minorHAnsi" w:cstheme="minorHAnsi"/>
                <w:color w:val="000000"/>
                <w:sz w:val="18"/>
                <w:szCs w:val="18"/>
              </w:rPr>
              <w:t>2</w:t>
            </w:r>
            <w:r w:rsidRPr="008A4895">
              <w:rPr>
                <w:rFonts w:asciiTheme="minorHAnsi" w:hAnsiTheme="minorHAnsi" w:cstheme="minorHAnsi"/>
                <w:color w:val="000000"/>
                <w:sz w:val="18"/>
                <w:szCs w:val="18"/>
              </w:rPr>
              <w:t>%</w:t>
            </w:r>
          </w:p>
        </w:tc>
        <w:tc>
          <w:tcPr>
            <w:tcW w:w="630" w:type="dxa"/>
            <w:tcBorders>
              <w:top w:val="single" w:sz="4" w:space="0" w:color="auto"/>
              <w:left w:val="single" w:sz="4" w:space="0" w:color="auto"/>
              <w:bottom w:val="single" w:sz="4" w:space="0" w:color="auto"/>
              <w:right w:val="nil"/>
            </w:tcBorders>
            <w:shd w:val="clear" w:color="auto" w:fill="auto"/>
            <w:vAlign w:val="bottom"/>
          </w:tcPr>
          <w:p w14:paraId="7A7EF846" w14:textId="40EDD7BC"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30" w:type="dxa"/>
            <w:tcBorders>
              <w:top w:val="single" w:sz="4" w:space="0" w:color="auto"/>
              <w:left w:val="single" w:sz="4" w:space="0" w:color="auto"/>
              <w:bottom w:val="single" w:sz="4" w:space="0" w:color="auto"/>
              <w:right w:val="nil"/>
            </w:tcBorders>
            <w:shd w:val="clear" w:color="auto" w:fill="auto"/>
            <w:vAlign w:val="bottom"/>
          </w:tcPr>
          <w:p w14:paraId="74079E78" w14:textId="151200E2"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14:paraId="63576A56" w14:textId="4E473B34" w:rsidR="008A4895" w:rsidRPr="00905932" w:rsidRDefault="008A4895" w:rsidP="008A4895">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8A4895">
              <w:rPr>
                <w:rFonts w:asciiTheme="minorHAnsi" w:hAnsiTheme="minorHAnsi" w:cstheme="minorHAnsi"/>
                <w:color w:val="000000"/>
                <w:sz w:val="18"/>
                <w:szCs w:val="18"/>
              </w:rPr>
              <w:t>0%</w:t>
            </w:r>
          </w:p>
        </w:tc>
      </w:tr>
      <w:bookmarkEnd w:id="9"/>
    </w:tbl>
    <w:p w14:paraId="31CDA1E4" w14:textId="6735F973" w:rsidR="00DF6EA7" w:rsidRDefault="00DF6EA7" w:rsidP="005F1FB5">
      <w:pPr>
        <w:pStyle w:val="Level1"/>
        <w:numPr>
          <w:ilvl w:val="0"/>
          <w:numId w:val="0"/>
        </w:numPr>
        <w:ind w:left="720"/>
        <w:jc w:val="both"/>
      </w:pPr>
    </w:p>
    <w:p w14:paraId="2FF2AC97" w14:textId="5C098370" w:rsidR="00DF6EA7" w:rsidRDefault="00DF2FBB" w:rsidP="00720441">
      <w:pPr>
        <w:pStyle w:val="Level1"/>
        <w:jc w:val="both"/>
      </w:pPr>
      <w:r>
        <w:t xml:space="preserve">The data contained in Table 4.5 shows that the primary catchment area for Torquay town centre for top-up food shopping is also Zone 5, although small amounts of trade are also attracted from Zones 3, </w:t>
      </w:r>
      <w:r>
        <w:lastRenderedPageBreak/>
        <w:t xml:space="preserve">4, 6 and 8 (which may be a product of the wider attractiveness of the town centre </w:t>
      </w:r>
      <w:r w:rsidR="00EF2374">
        <w:t>for non-food shopping, leisure, and as an employment centre).</w:t>
      </w:r>
    </w:p>
    <w:p w14:paraId="740454DF" w14:textId="6359A1DD" w:rsidR="00EF2374" w:rsidRDefault="00EF2374" w:rsidP="00720441">
      <w:pPr>
        <w:pStyle w:val="Level1"/>
        <w:jc w:val="both"/>
      </w:pPr>
      <w:r>
        <w:t xml:space="preserve">The above data shows that </w:t>
      </w:r>
      <w:r w:rsidR="000224FB">
        <w:t xml:space="preserve">there has been a drop in the market share of the town centre for both first and second choice shopping trips.  Within Zone 5 and for the 2013 retail study, 21% of residents stated that they visited Torquay town centre as their </w:t>
      </w:r>
      <w:proofErr w:type="gramStart"/>
      <w:r w:rsidR="000224FB">
        <w:t>first choice</w:t>
      </w:r>
      <w:proofErr w:type="gramEnd"/>
      <w:r w:rsidR="000224FB">
        <w:t xml:space="preserve"> destination, which has dropped to 7% in 2022.  In relation to second choice trips, there has been a small decrease from 11% to 9% amongst Zone </w:t>
      </w:r>
      <w:r w:rsidR="00540517">
        <w:t>5</w:t>
      </w:r>
      <w:r w:rsidR="000224FB">
        <w:t xml:space="preserve"> residents between 2013 and 2022.</w:t>
      </w:r>
    </w:p>
    <w:p w14:paraId="32FEDC23" w14:textId="77777777" w:rsidR="00862EC4" w:rsidRDefault="00862EC4" w:rsidP="00720441">
      <w:pPr>
        <w:pStyle w:val="Level1"/>
        <w:jc w:val="both"/>
      </w:pPr>
      <w:r>
        <w:t>Table 4.6 provides a similar exercise for comparison goods shopping market shares associated with Torquay town centre</w:t>
      </w:r>
    </w:p>
    <w:p w14:paraId="407E6802" w14:textId="683C7A05" w:rsidR="00862EC4" w:rsidRPr="00862EC4" w:rsidRDefault="00862EC4" w:rsidP="00862EC4">
      <w:pPr>
        <w:pStyle w:val="Level1"/>
        <w:numPr>
          <w:ilvl w:val="0"/>
          <w:numId w:val="0"/>
        </w:numPr>
        <w:ind w:left="720"/>
        <w:jc w:val="both"/>
        <w:rPr>
          <w:i/>
          <w:iCs/>
        </w:rPr>
      </w:pPr>
      <w:bookmarkStart w:id="10" w:name="_Hlk112173359"/>
      <w:r w:rsidRPr="00862EC4">
        <w:rPr>
          <w:i/>
          <w:iCs/>
        </w:rPr>
        <w:t>Table 4.</w:t>
      </w:r>
      <w:r>
        <w:rPr>
          <w:i/>
          <w:iCs/>
        </w:rPr>
        <w:t>6</w:t>
      </w:r>
      <w:r w:rsidRPr="00862EC4">
        <w:rPr>
          <w:i/>
          <w:iCs/>
        </w:rPr>
        <w:t xml:space="preserve">: first and second choice </w:t>
      </w:r>
      <w:r w:rsidR="00A04B7B">
        <w:rPr>
          <w:i/>
          <w:iCs/>
        </w:rPr>
        <w:t xml:space="preserve">comparison goods </w:t>
      </w:r>
      <w:r w:rsidRPr="00862EC4">
        <w:rPr>
          <w:i/>
          <w:iCs/>
        </w:rPr>
        <w:t xml:space="preserve">market shares associated with </w:t>
      </w:r>
      <w:r w:rsidR="00A04B7B">
        <w:rPr>
          <w:i/>
          <w:iCs/>
        </w:rPr>
        <w:t xml:space="preserve">Torquay </w:t>
      </w:r>
      <w:r w:rsidRPr="00862EC4">
        <w:rPr>
          <w:i/>
          <w:iCs/>
        </w:rPr>
        <w:t xml:space="preserve">town </w:t>
      </w:r>
      <w:r w:rsidR="00A04B7B">
        <w:rPr>
          <w:i/>
          <w:iCs/>
        </w:rPr>
        <w:t xml:space="preserve">centre </w:t>
      </w:r>
      <w:r w:rsidRPr="00862EC4">
        <w:rPr>
          <w:i/>
          <w:iCs/>
        </w:rPr>
        <w:t>(2013 and 2022 retail studies)</w:t>
      </w:r>
    </w:p>
    <w:tbl>
      <w:tblPr>
        <w:tblStyle w:val="CustomTable2"/>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615"/>
        <w:gridCol w:w="675"/>
        <w:gridCol w:w="614"/>
        <w:gridCol w:w="675"/>
        <w:gridCol w:w="614"/>
        <w:gridCol w:w="614"/>
        <w:gridCol w:w="615"/>
        <w:gridCol w:w="680"/>
        <w:gridCol w:w="675"/>
        <w:gridCol w:w="675"/>
        <w:gridCol w:w="680"/>
        <w:gridCol w:w="614"/>
        <w:gridCol w:w="614"/>
        <w:gridCol w:w="615"/>
      </w:tblGrid>
      <w:tr w:rsidR="00862EC4" w:rsidRPr="00862EC4" w14:paraId="148A6A14" w14:textId="77777777" w:rsidTr="002939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D9D9D9" w:themeFill="background1" w:themeFillShade="D9"/>
          </w:tcPr>
          <w:p w14:paraId="4C68EDAA" w14:textId="77777777" w:rsidR="00862EC4" w:rsidRPr="00862EC4" w:rsidRDefault="00862EC4" w:rsidP="00862EC4">
            <w:pPr>
              <w:spacing w:before="0"/>
              <w:ind w:left="0" w:right="0"/>
              <w:jc w:val="both"/>
              <w:rPr>
                <w:rFonts w:cs="Open Sans"/>
                <w:color w:val="auto"/>
                <w:sz w:val="18"/>
                <w:szCs w:val="18"/>
              </w:rPr>
            </w:pPr>
            <w:r w:rsidRPr="00862EC4">
              <w:rPr>
                <w:rFonts w:cs="Open Sans"/>
                <w:b w:val="0"/>
                <w:color w:val="auto"/>
                <w:sz w:val="18"/>
                <w:szCs w:val="18"/>
              </w:rPr>
              <w:t>CENTRE</w:t>
            </w:r>
          </w:p>
        </w:tc>
        <w:tc>
          <w:tcPr>
            <w:tcW w:w="4422" w:type="dxa"/>
            <w:gridSpan w:val="7"/>
            <w:shd w:val="clear" w:color="auto" w:fill="D9D9D9" w:themeFill="background1" w:themeFillShade="D9"/>
          </w:tcPr>
          <w:p w14:paraId="707283E6" w14:textId="437CD4D7" w:rsidR="00862EC4" w:rsidRPr="00862EC4" w:rsidRDefault="00862EC4" w:rsidP="00862EC4">
            <w:pPr>
              <w:spacing w:before="0"/>
              <w:ind w:left="0" w:right="0"/>
              <w:jc w:val="center"/>
              <w:cnfStyle w:val="100000000000" w:firstRow="1" w:lastRow="0" w:firstColumn="0" w:lastColumn="0" w:oddVBand="0" w:evenVBand="0" w:oddHBand="0" w:evenHBand="0" w:firstRowFirstColumn="0" w:firstRowLastColumn="0" w:lastRowFirstColumn="0" w:lastRowLastColumn="0"/>
              <w:rPr>
                <w:rFonts w:cs="Open Sans"/>
                <w:color w:val="auto"/>
                <w:sz w:val="18"/>
                <w:szCs w:val="18"/>
              </w:rPr>
            </w:pPr>
            <w:r w:rsidRPr="00862EC4">
              <w:rPr>
                <w:rFonts w:cs="Open Sans"/>
                <w:b w:val="0"/>
                <w:color w:val="auto"/>
                <w:sz w:val="18"/>
                <w:szCs w:val="18"/>
              </w:rPr>
              <w:t xml:space="preserve">First Choice </w:t>
            </w:r>
            <w:r w:rsidR="00A04B7B" w:rsidRPr="0029391E">
              <w:rPr>
                <w:rFonts w:cs="Open Sans"/>
                <w:b w:val="0"/>
                <w:color w:val="auto"/>
                <w:sz w:val="18"/>
                <w:szCs w:val="18"/>
              </w:rPr>
              <w:t>Destination</w:t>
            </w:r>
          </w:p>
        </w:tc>
        <w:tc>
          <w:tcPr>
            <w:tcW w:w="4553" w:type="dxa"/>
            <w:gridSpan w:val="7"/>
            <w:shd w:val="clear" w:color="auto" w:fill="D9D9D9" w:themeFill="background1" w:themeFillShade="D9"/>
          </w:tcPr>
          <w:p w14:paraId="743AF308" w14:textId="5628E4C5" w:rsidR="00862EC4" w:rsidRPr="00862EC4" w:rsidRDefault="00862EC4" w:rsidP="00862EC4">
            <w:pPr>
              <w:spacing w:before="0"/>
              <w:ind w:left="0" w:right="0"/>
              <w:jc w:val="center"/>
              <w:cnfStyle w:val="100000000000" w:firstRow="1" w:lastRow="0" w:firstColumn="0" w:lastColumn="0" w:oddVBand="0" w:evenVBand="0" w:oddHBand="0" w:evenHBand="0" w:firstRowFirstColumn="0" w:firstRowLastColumn="0" w:lastRowFirstColumn="0" w:lastRowLastColumn="0"/>
              <w:rPr>
                <w:rFonts w:cs="Open Sans"/>
                <w:color w:val="auto"/>
                <w:sz w:val="18"/>
                <w:szCs w:val="18"/>
              </w:rPr>
            </w:pPr>
            <w:r w:rsidRPr="00862EC4">
              <w:rPr>
                <w:rFonts w:cs="Open Sans"/>
                <w:b w:val="0"/>
                <w:color w:val="auto"/>
                <w:sz w:val="18"/>
                <w:szCs w:val="18"/>
              </w:rPr>
              <w:t xml:space="preserve">Second Choice </w:t>
            </w:r>
            <w:r w:rsidR="00A04B7B" w:rsidRPr="0029391E">
              <w:rPr>
                <w:rFonts w:cs="Open Sans"/>
                <w:b w:val="0"/>
                <w:color w:val="auto"/>
                <w:sz w:val="18"/>
                <w:szCs w:val="18"/>
              </w:rPr>
              <w:t>Destination</w:t>
            </w:r>
          </w:p>
        </w:tc>
      </w:tr>
      <w:tr w:rsidR="00862EC4" w:rsidRPr="0029391E" w14:paraId="0BFBAFCD" w14:textId="77777777" w:rsidTr="00293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D9D9D9" w:themeFill="background1" w:themeFillShade="D9"/>
          </w:tcPr>
          <w:p w14:paraId="1D143199" w14:textId="77777777" w:rsidR="00862EC4" w:rsidRPr="00862EC4" w:rsidRDefault="00862EC4" w:rsidP="00862EC4">
            <w:pPr>
              <w:spacing w:before="0"/>
              <w:ind w:left="0" w:right="0"/>
              <w:jc w:val="both"/>
              <w:rPr>
                <w:rFonts w:cs="Open Sans"/>
                <w:b/>
                <w:color w:val="auto"/>
                <w:sz w:val="18"/>
                <w:szCs w:val="18"/>
              </w:rPr>
            </w:pPr>
          </w:p>
        </w:tc>
        <w:tc>
          <w:tcPr>
            <w:tcW w:w="615" w:type="dxa"/>
            <w:shd w:val="clear" w:color="auto" w:fill="D9D9D9" w:themeFill="background1" w:themeFillShade="D9"/>
          </w:tcPr>
          <w:p w14:paraId="2ABF7421"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2</w:t>
            </w:r>
          </w:p>
        </w:tc>
        <w:tc>
          <w:tcPr>
            <w:tcW w:w="675" w:type="dxa"/>
            <w:shd w:val="clear" w:color="auto" w:fill="D9D9D9" w:themeFill="background1" w:themeFillShade="D9"/>
          </w:tcPr>
          <w:p w14:paraId="0DD6DCA6"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3</w:t>
            </w:r>
          </w:p>
        </w:tc>
        <w:tc>
          <w:tcPr>
            <w:tcW w:w="614" w:type="dxa"/>
            <w:shd w:val="clear" w:color="auto" w:fill="D9D9D9" w:themeFill="background1" w:themeFillShade="D9"/>
          </w:tcPr>
          <w:p w14:paraId="06DB8ACC"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4</w:t>
            </w:r>
          </w:p>
        </w:tc>
        <w:tc>
          <w:tcPr>
            <w:tcW w:w="675" w:type="dxa"/>
            <w:shd w:val="clear" w:color="auto" w:fill="D9D9D9" w:themeFill="background1" w:themeFillShade="D9"/>
          </w:tcPr>
          <w:p w14:paraId="2F687A52"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5</w:t>
            </w:r>
          </w:p>
        </w:tc>
        <w:tc>
          <w:tcPr>
            <w:tcW w:w="614" w:type="dxa"/>
            <w:shd w:val="clear" w:color="auto" w:fill="D9D9D9" w:themeFill="background1" w:themeFillShade="D9"/>
          </w:tcPr>
          <w:p w14:paraId="562956D5"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6</w:t>
            </w:r>
          </w:p>
        </w:tc>
        <w:tc>
          <w:tcPr>
            <w:tcW w:w="614" w:type="dxa"/>
            <w:shd w:val="clear" w:color="auto" w:fill="D9D9D9" w:themeFill="background1" w:themeFillShade="D9"/>
          </w:tcPr>
          <w:p w14:paraId="0AF50851"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7</w:t>
            </w:r>
          </w:p>
        </w:tc>
        <w:tc>
          <w:tcPr>
            <w:tcW w:w="615" w:type="dxa"/>
            <w:shd w:val="clear" w:color="auto" w:fill="D9D9D9" w:themeFill="background1" w:themeFillShade="D9"/>
          </w:tcPr>
          <w:p w14:paraId="754CC438"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8</w:t>
            </w:r>
          </w:p>
        </w:tc>
        <w:tc>
          <w:tcPr>
            <w:tcW w:w="680" w:type="dxa"/>
            <w:shd w:val="clear" w:color="auto" w:fill="D9D9D9" w:themeFill="background1" w:themeFillShade="D9"/>
          </w:tcPr>
          <w:p w14:paraId="1D108C69"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2</w:t>
            </w:r>
          </w:p>
        </w:tc>
        <w:tc>
          <w:tcPr>
            <w:tcW w:w="675" w:type="dxa"/>
            <w:shd w:val="clear" w:color="auto" w:fill="D9D9D9" w:themeFill="background1" w:themeFillShade="D9"/>
          </w:tcPr>
          <w:p w14:paraId="1EE7598F"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3</w:t>
            </w:r>
          </w:p>
        </w:tc>
        <w:tc>
          <w:tcPr>
            <w:tcW w:w="675" w:type="dxa"/>
            <w:shd w:val="clear" w:color="auto" w:fill="D9D9D9" w:themeFill="background1" w:themeFillShade="D9"/>
          </w:tcPr>
          <w:p w14:paraId="2C638C61"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4</w:t>
            </w:r>
          </w:p>
        </w:tc>
        <w:tc>
          <w:tcPr>
            <w:tcW w:w="680" w:type="dxa"/>
            <w:shd w:val="clear" w:color="auto" w:fill="D9D9D9" w:themeFill="background1" w:themeFillShade="D9"/>
          </w:tcPr>
          <w:p w14:paraId="020D3F62"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5</w:t>
            </w:r>
          </w:p>
        </w:tc>
        <w:tc>
          <w:tcPr>
            <w:tcW w:w="614" w:type="dxa"/>
            <w:shd w:val="clear" w:color="auto" w:fill="D9D9D9" w:themeFill="background1" w:themeFillShade="D9"/>
          </w:tcPr>
          <w:p w14:paraId="5145336B"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6</w:t>
            </w:r>
          </w:p>
        </w:tc>
        <w:tc>
          <w:tcPr>
            <w:tcW w:w="614" w:type="dxa"/>
            <w:shd w:val="clear" w:color="auto" w:fill="D9D9D9" w:themeFill="background1" w:themeFillShade="D9"/>
          </w:tcPr>
          <w:p w14:paraId="66D27F24"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7</w:t>
            </w:r>
          </w:p>
        </w:tc>
        <w:tc>
          <w:tcPr>
            <w:tcW w:w="615" w:type="dxa"/>
            <w:shd w:val="clear" w:color="auto" w:fill="D9D9D9" w:themeFill="background1" w:themeFillShade="D9"/>
          </w:tcPr>
          <w:p w14:paraId="34646ECE" w14:textId="77777777" w:rsidR="00862EC4" w:rsidRPr="00862EC4" w:rsidRDefault="00862EC4" w:rsidP="00862EC4">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862EC4">
              <w:rPr>
                <w:rFonts w:cs="Open Sans"/>
                <w:b/>
                <w:color w:val="auto"/>
                <w:sz w:val="18"/>
                <w:szCs w:val="18"/>
              </w:rPr>
              <w:t>8</w:t>
            </w:r>
          </w:p>
        </w:tc>
      </w:tr>
      <w:tr w:rsidR="00862EC4" w:rsidRPr="00862EC4" w14:paraId="3899A011" w14:textId="77777777" w:rsidTr="004E72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51941294" w14:textId="77777777" w:rsidR="00862EC4" w:rsidRPr="00862EC4" w:rsidRDefault="00862EC4" w:rsidP="00862EC4">
            <w:pPr>
              <w:spacing w:before="0"/>
              <w:ind w:left="0" w:right="0"/>
              <w:jc w:val="center"/>
              <w:rPr>
                <w:rFonts w:cs="Open Sans"/>
                <w:b/>
                <w:color w:val="auto"/>
                <w:sz w:val="18"/>
                <w:szCs w:val="18"/>
              </w:rPr>
            </w:pPr>
            <w:r w:rsidRPr="003E7679">
              <w:rPr>
                <w:rFonts w:cs="Open Sans"/>
                <w:b/>
                <w:color w:val="C00000"/>
                <w:sz w:val="18"/>
                <w:szCs w:val="18"/>
              </w:rPr>
              <w:t>2013 Retail Study</w:t>
            </w:r>
          </w:p>
        </w:tc>
      </w:tr>
      <w:tr w:rsidR="00FE41B7" w:rsidRPr="0029391E" w14:paraId="185432A3" w14:textId="77777777" w:rsidTr="00293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right w:val="single" w:sz="4" w:space="0" w:color="auto"/>
            </w:tcBorders>
            <w:shd w:val="clear" w:color="auto" w:fill="auto"/>
          </w:tcPr>
          <w:p w14:paraId="789E8004" w14:textId="2580325C" w:rsidR="00FE41B7" w:rsidRPr="00862EC4" w:rsidRDefault="00FE41B7" w:rsidP="00FE41B7">
            <w:pPr>
              <w:spacing w:before="0"/>
              <w:ind w:left="0" w:right="0"/>
              <w:rPr>
                <w:rFonts w:cs="Open Sans"/>
                <w:bCs/>
                <w:color w:val="auto"/>
                <w:sz w:val="18"/>
                <w:szCs w:val="18"/>
              </w:rPr>
            </w:pPr>
            <w:r w:rsidRPr="0029391E">
              <w:rPr>
                <w:rFonts w:cs="Open Sans"/>
                <w:bCs/>
                <w:color w:val="auto"/>
                <w:sz w:val="18"/>
                <w:szCs w:val="18"/>
              </w:rPr>
              <w:t>Clothes / footwear</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3A22378" w14:textId="262D68FF"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18%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E37A2EA" w14:textId="3721BC87"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35%</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2771A946" w14:textId="244A623C"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38%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4E77BA18" w14:textId="54A74D72"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62%</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622B187D" w14:textId="3152EA5A"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13%</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2A575139" w14:textId="54F553AA"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3%</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2D3BB11" w14:textId="629779D9"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14%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3FBC6054" w14:textId="682A528C"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23%</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38C858BF" w14:textId="3AADA119"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27%</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901763E" w14:textId="320A0690"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48222714" w14:textId="45AA8AEB"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28%</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6141FC29" w14:textId="3AA03396"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16%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3B739F31" w14:textId="2EE7CFA5"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16%</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DAEDCA9" w14:textId="0E15B1BB"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14%</w:t>
            </w:r>
          </w:p>
        </w:tc>
      </w:tr>
      <w:tr w:rsidR="00FE41B7" w:rsidRPr="0029391E" w14:paraId="6DEAE7A1" w14:textId="77777777" w:rsidTr="002939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14:paraId="712758A0" w14:textId="694F4365" w:rsidR="00FE41B7" w:rsidRPr="00862EC4" w:rsidRDefault="00FE41B7" w:rsidP="00FE41B7">
            <w:pPr>
              <w:spacing w:before="0"/>
              <w:ind w:left="0" w:right="0"/>
              <w:rPr>
                <w:rFonts w:cs="Open Sans"/>
                <w:bCs/>
                <w:color w:val="auto"/>
                <w:sz w:val="18"/>
                <w:szCs w:val="18"/>
              </w:rPr>
            </w:pPr>
            <w:r w:rsidRPr="0029391E">
              <w:rPr>
                <w:rFonts w:cs="Open Sans"/>
                <w:bCs/>
                <w:color w:val="auto"/>
                <w:sz w:val="18"/>
                <w:szCs w:val="18"/>
              </w:rPr>
              <w:t>Furniture / floorcoverings / textiles</w:t>
            </w:r>
          </w:p>
        </w:tc>
        <w:tc>
          <w:tcPr>
            <w:tcW w:w="615" w:type="dxa"/>
            <w:tcBorders>
              <w:top w:val="single" w:sz="4" w:space="0" w:color="auto"/>
              <w:left w:val="nil"/>
              <w:bottom w:val="single" w:sz="4" w:space="0" w:color="auto"/>
              <w:right w:val="single" w:sz="4" w:space="0" w:color="auto"/>
            </w:tcBorders>
            <w:shd w:val="clear" w:color="auto" w:fill="auto"/>
            <w:vAlign w:val="bottom"/>
          </w:tcPr>
          <w:p w14:paraId="0D7FE1EC" w14:textId="2559ED50"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12%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E0ACE82" w14:textId="05F1E15F"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25%</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7FA13EC5" w14:textId="2B5F9BAE"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32%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67F1FAFC" w14:textId="0DE43576"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42%</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49367348" w14:textId="06E39BC7"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48F173E9" w14:textId="64DBE5B3"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2%</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1F89AEB" w14:textId="6307FE02"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695C0B13" w14:textId="44A887D7"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0B21D2B7" w14:textId="10701947"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18%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B9D5ECB" w14:textId="378667EC"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19%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4F4A60F2" w14:textId="3A4DAC3D"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33%</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7375FD87" w14:textId="50D58264"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12%</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108C072D" w14:textId="29F81530"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19%</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66FC08CF" w14:textId="2D51AAA1" w:rsidR="00FE41B7" w:rsidRPr="00862EC4" w:rsidRDefault="00FE41B7" w:rsidP="00FE41B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sz w:val="18"/>
                <w:szCs w:val="18"/>
              </w:rPr>
              <w:t>10%</w:t>
            </w:r>
          </w:p>
        </w:tc>
      </w:tr>
      <w:tr w:rsidR="00FE41B7" w:rsidRPr="0029391E" w14:paraId="7F906BCB" w14:textId="77777777" w:rsidTr="00293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right w:val="single" w:sz="4" w:space="0" w:color="auto"/>
            </w:tcBorders>
            <w:shd w:val="clear" w:color="auto" w:fill="auto"/>
          </w:tcPr>
          <w:p w14:paraId="67C5040C" w14:textId="7A20176C" w:rsidR="00FE41B7" w:rsidRPr="00862EC4" w:rsidRDefault="00FE41B7" w:rsidP="00FE41B7">
            <w:pPr>
              <w:spacing w:before="0"/>
              <w:ind w:left="0" w:right="0"/>
              <w:rPr>
                <w:rFonts w:cs="Open Sans"/>
                <w:bCs/>
                <w:color w:val="auto"/>
                <w:sz w:val="18"/>
                <w:szCs w:val="18"/>
              </w:rPr>
            </w:pPr>
            <w:r w:rsidRPr="0029391E">
              <w:rPr>
                <w:rFonts w:cs="Open Sans"/>
                <w:bCs/>
                <w:color w:val="auto"/>
                <w:sz w:val="18"/>
                <w:szCs w:val="18"/>
              </w:rPr>
              <w:t>DIY goods</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C39243E" w14:textId="6CFDC3B5"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073016E0" w14:textId="5E49E3A0"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3%</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5AEA3344" w14:textId="53AE481E"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14%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65BD91C4" w14:textId="60117C51"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14%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348DF2C8" w14:textId="19DB0BF7"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1%</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44A7AFAF" w14:textId="0366C2B9"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00B9BEC" w14:textId="1848EB55"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0869944A" w14:textId="4078D13A"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56A8F8E" w14:textId="75FF847F"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1%</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4122F06" w14:textId="668AE196"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78A2DD5B" w14:textId="78FD3598"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14%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1B12E6B8" w14:textId="24FDFCF6"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2%</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3F29E1A8" w14:textId="3EDE1CD8"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2%</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4C2C871" w14:textId="6A055C23"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sz w:val="18"/>
                <w:szCs w:val="18"/>
              </w:rPr>
              <w:t>2%</w:t>
            </w:r>
          </w:p>
        </w:tc>
      </w:tr>
      <w:tr w:rsidR="0029391E" w:rsidRPr="0029391E" w14:paraId="211F0123" w14:textId="77777777" w:rsidTr="002939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14:paraId="501B6320" w14:textId="7C9D8888" w:rsidR="00FE41B7" w:rsidRPr="0029391E" w:rsidRDefault="00FE41B7" w:rsidP="00FE41B7">
            <w:pPr>
              <w:ind w:left="0"/>
              <w:rPr>
                <w:rFonts w:cs="Open Sans"/>
                <w:bCs/>
                <w:sz w:val="18"/>
                <w:szCs w:val="18"/>
              </w:rPr>
            </w:pPr>
            <w:r w:rsidRPr="0029391E">
              <w:rPr>
                <w:rFonts w:cs="Open Sans"/>
                <w:bCs/>
                <w:sz w:val="18"/>
                <w:szCs w:val="18"/>
              </w:rPr>
              <w:t>Domestic appliances</w:t>
            </w:r>
          </w:p>
        </w:tc>
        <w:tc>
          <w:tcPr>
            <w:tcW w:w="615" w:type="dxa"/>
            <w:tcBorders>
              <w:top w:val="single" w:sz="4" w:space="0" w:color="auto"/>
              <w:left w:val="nil"/>
              <w:bottom w:val="single" w:sz="4" w:space="0" w:color="auto"/>
              <w:right w:val="single" w:sz="4" w:space="0" w:color="auto"/>
            </w:tcBorders>
            <w:shd w:val="clear" w:color="auto" w:fill="auto"/>
            <w:vAlign w:val="bottom"/>
          </w:tcPr>
          <w:p w14:paraId="45B6B471" w14:textId="55749D56"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7%</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0D352985" w14:textId="75C4CEEB"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4B869E52" w14:textId="1A43160B"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23%</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067482D0" w14:textId="1AB16377"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21%</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3ECB22EE" w14:textId="224179F0"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3%</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1207D53D" w14:textId="44EFBE62"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1%</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18C314B" w14:textId="3C679968"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0A4BE390" w14:textId="6D750285"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9%</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C65D292" w14:textId="3CEE9D0E"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094BFAEB" w14:textId="290BFBED"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42E5AE9C" w14:textId="4BCC84C5"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13%</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00687B14" w14:textId="000E52F6"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9%</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43467107" w14:textId="40914F3B"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5%</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06AED52" w14:textId="21995631"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7%</w:t>
            </w:r>
          </w:p>
        </w:tc>
      </w:tr>
      <w:tr w:rsidR="0029391E" w:rsidRPr="0029391E" w14:paraId="4143548D" w14:textId="77777777" w:rsidTr="00293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right w:val="single" w:sz="4" w:space="0" w:color="auto"/>
            </w:tcBorders>
            <w:shd w:val="clear" w:color="auto" w:fill="auto"/>
          </w:tcPr>
          <w:p w14:paraId="3D7B64D9" w14:textId="248CDA9D" w:rsidR="00FE41B7" w:rsidRPr="0029391E" w:rsidRDefault="00FE41B7" w:rsidP="00FE41B7">
            <w:pPr>
              <w:ind w:left="0"/>
              <w:rPr>
                <w:rFonts w:cs="Open Sans"/>
                <w:bCs/>
                <w:sz w:val="18"/>
                <w:szCs w:val="18"/>
              </w:rPr>
            </w:pPr>
            <w:r w:rsidRPr="0029391E">
              <w:rPr>
                <w:rFonts w:cs="Open Sans"/>
                <w:bCs/>
                <w:sz w:val="18"/>
                <w:szCs w:val="18"/>
              </w:rPr>
              <w:t>Small electrical goods</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1D8A299" w14:textId="6515A86B"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12%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EE2ADEF" w14:textId="0AEAFA73"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7%</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4937884F" w14:textId="7396BEA1"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19%</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2751A69" w14:textId="791C10CF"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22%</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11831493" w14:textId="44BDCBD0"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6CB90A91" w14:textId="4040B2B8"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3%</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11D73B3D" w14:textId="0D15139D"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09084FA2" w14:textId="7C9E2E8C"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11%</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EE39D5F" w14:textId="5B6C99C2"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8%</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D18FCBD" w14:textId="70538CB4"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19%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62A48D1D" w14:textId="5049BE70"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16%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5DC6830D" w14:textId="381BC201"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17%</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239E6AAF" w14:textId="1BEE68BF"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10%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F6F70B4" w14:textId="24352CB3"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3%</w:t>
            </w:r>
          </w:p>
        </w:tc>
      </w:tr>
      <w:tr w:rsidR="0029391E" w:rsidRPr="0029391E" w14:paraId="073DFF1E" w14:textId="77777777" w:rsidTr="002939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right w:val="single" w:sz="4" w:space="0" w:color="auto"/>
            </w:tcBorders>
            <w:shd w:val="clear" w:color="auto" w:fill="auto"/>
          </w:tcPr>
          <w:p w14:paraId="1D9651B2" w14:textId="4FFD660F" w:rsidR="00FE41B7" w:rsidRPr="0029391E" w:rsidRDefault="00FE41B7" w:rsidP="00FE41B7">
            <w:pPr>
              <w:ind w:left="0"/>
              <w:rPr>
                <w:rFonts w:cs="Open Sans"/>
                <w:bCs/>
                <w:sz w:val="18"/>
                <w:szCs w:val="18"/>
              </w:rPr>
            </w:pPr>
            <w:r w:rsidRPr="0029391E">
              <w:rPr>
                <w:rFonts w:cs="Open Sans"/>
                <w:bCs/>
                <w:sz w:val="18"/>
                <w:szCs w:val="18"/>
              </w:rPr>
              <w:t>Personal / luxury goods</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AC8DED4" w14:textId="7DF33762"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9%</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719283B" w14:textId="76A0B7B0"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21%</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1B2948A3" w14:textId="0EB3DC58"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27%</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D44998" w14:textId="2518C3C2"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72%</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0017FE6D" w14:textId="421AAE43"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3%</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33884389" w14:textId="149C1071"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1%</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D93B17F" w14:textId="422F7932"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760D0443" w14:textId="32494B35"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13%</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6C698835" w14:textId="40D6F424"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21%</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79B3B7D" w14:textId="1160D249"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25%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0945E2FC" w14:textId="4A6FFFC1"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39%</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59219657" w14:textId="45B362A9"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21%</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78917BAB" w14:textId="0DDCB52E"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8%</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04236D3" w14:textId="671F59A2" w:rsidR="00FE41B7" w:rsidRPr="0029391E" w:rsidRDefault="00FE41B7" w:rsidP="00FE41B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sz w:val="18"/>
                <w:szCs w:val="18"/>
              </w:rPr>
              <w:t>16%</w:t>
            </w:r>
          </w:p>
        </w:tc>
      </w:tr>
      <w:tr w:rsidR="0029391E" w:rsidRPr="0029391E" w14:paraId="50018365" w14:textId="77777777" w:rsidTr="00293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shd w:val="clear" w:color="auto" w:fill="auto"/>
          </w:tcPr>
          <w:p w14:paraId="4F0F70AD" w14:textId="021DF0F5" w:rsidR="00FE41B7" w:rsidRPr="0029391E" w:rsidRDefault="00FE41B7" w:rsidP="00FE41B7">
            <w:pPr>
              <w:ind w:left="0"/>
              <w:rPr>
                <w:rFonts w:cs="Open Sans"/>
                <w:bCs/>
                <w:sz w:val="18"/>
                <w:szCs w:val="18"/>
              </w:rPr>
            </w:pPr>
            <w:r w:rsidRPr="0029391E">
              <w:rPr>
                <w:rFonts w:cs="Open Sans"/>
                <w:bCs/>
                <w:sz w:val="18"/>
                <w:szCs w:val="18"/>
              </w:rPr>
              <w:t>Recreational goods</w:t>
            </w:r>
          </w:p>
        </w:tc>
        <w:tc>
          <w:tcPr>
            <w:tcW w:w="615" w:type="dxa"/>
            <w:tcBorders>
              <w:top w:val="single" w:sz="4" w:space="0" w:color="auto"/>
              <w:left w:val="nil"/>
              <w:bottom w:val="single" w:sz="4" w:space="0" w:color="auto"/>
              <w:right w:val="single" w:sz="4" w:space="0" w:color="auto"/>
            </w:tcBorders>
            <w:shd w:val="clear" w:color="auto" w:fill="auto"/>
            <w:vAlign w:val="bottom"/>
          </w:tcPr>
          <w:p w14:paraId="1E627351" w14:textId="53005F83"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25%</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41EEB56E" w14:textId="505CF909"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40%</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7DB30FFA" w14:textId="19CA9CF2"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41%</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978F3E9" w14:textId="0CF3BF1E"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52%</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103228DC" w14:textId="7DF79525"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2%</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6F563305" w14:textId="1E21B5F0"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8F0425F" w14:textId="0E4D77A8"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142F2496" w14:textId="4CF415BD"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13%</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6F9B3B72" w14:textId="4AF2C5DB"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15%</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31448405" w14:textId="5E9D465D"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26%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2C89742E" w14:textId="52A13586"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39%</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303AE3AD" w14:textId="0D8F4A6C"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5E3D2AF4" w14:textId="4D26C48F"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11%</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6BA5BAF0" w14:textId="634F8C0C" w:rsidR="00FE41B7" w:rsidRPr="0029391E" w:rsidRDefault="00FE41B7" w:rsidP="00FE41B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sz w:val="18"/>
                <w:szCs w:val="18"/>
              </w:rPr>
              <w:t>8%</w:t>
            </w:r>
          </w:p>
        </w:tc>
      </w:tr>
      <w:tr w:rsidR="00FE41B7" w:rsidRPr="00862EC4" w14:paraId="04FD637A" w14:textId="77777777" w:rsidTr="002939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tcBorders>
              <w:bottom w:val="single" w:sz="4" w:space="0" w:color="auto"/>
            </w:tcBorders>
            <w:shd w:val="clear" w:color="auto" w:fill="auto"/>
          </w:tcPr>
          <w:p w14:paraId="6284354B" w14:textId="77777777" w:rsidR="00FE41B7" w:rsidRPr="00862EC4" w:rsidRDefault="00FE41B7" w:rsidP="0029391E">
            <w:pPr>
              <w:spacing w:before="0"/>
              <w:ind w:left="0" w:right="0"/>
              <w:jc w:val="center"/>
              <w:rPr>
                <w:rFonts w:cs="Open Sans"/>
                <w:b/>
                <w:color w:val="auto"/>
                <w:sz w:val="18"/>
                <w:szCs w:val="18"/>
              </w:rPr>
            </w:pPr>
            <w:r w:rsidRPr="003E7679">
              <w:rPr>
                <w:rFonts w:cs="Open Sans"/>
                <w:b/>
                <w:color w:val="C00000"/>
                <w:sz w:val="18"/>
                <w:szCs w:val="18"/>
              </w:rPr>
              <w:t>2022 Retail Study</w:t>
            </w:r>
          </w:p>
        </w:tc>
      </w:tr>
      <w:tr w:rsidR="00FE41B7" w:rsidRPr="0029391E" w14:paraId="289A7600" w14:textId="77777777" w:rsidTr="00293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top w:val="single" w:sz="4" w:space="0" w:color="auto"/>
              <w:bottom w:val="single" w:sz="4" w:space="0" w:color="auto"/>
              <w:right w:val="single" w:sz="4" w:space="0" w:color="auto"/>
            </w:tcBorders>
            <w:shd w:val="clear" w:color="auto" w:fill="auto"/>
          </w:tcPr>
          <w:p w14:paraId="07DE0203" w14:textId="2EA04ADC" w:rsidR="00FE41B7" w:rsidRPr="00862EC4" w:rsidRDefault="00FE41B7" w:rsidP="00FE41B7">
            <w:pPr>
              <w:spacing w:before="0"/>
              <w:ind w:left="0" w:right="0"/>
              <w:rPr>
                <w:rFonts w:cs="Open Sans"/>
                <w:bCs/>
                <w:color w:val="auto"/>
                <w:sz w:val="18"/>
                <w:szCs w:val="18"/>
              </w:rPr>
            </w:pPr>
            <w:r w:rsidRPr="0029391E">
              <w:rPr>
                <w:rFonts w:cs="Open Sans"/>
                <w:bCs/>
                <w:color w:val="auto"/>
                <w:sz w:val="18"/>
                <w:szCs w:val="18"/>
              </w:rPr>
              <w:t>Clothes / footwear</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6AFFD387" w14:textId="79132356"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19%</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362C2D9" w14:textId="47D2FD95" w:rsidR="00FE41B7" w:rsidRPr="00862EC4" w:rsidRDefault="00802C98"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color w:val="000000"/>
                <w:sz w:val="18"/>
                <w:szCs w:val="18"/>
              </w:rPr>
              <w:t>10</w:t>
            </w:r>
            <w:r w:rsidR="00FE41B7"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2ED9F2BF" w14:textId="51814B96"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1</w:t>
            </w:r>
            <w:r w:rsidR="00802C98">
              <w:rPr>
                <w:rFonts w:cs="Open Sans"/>
                <w:color w:val="000000"/>
                <w:sz w:val="18"/>
                <w:szCs w:val="18"/>
              </w:rPr>
              <w:t>7</w:t>
            </w:r>
            <w:r w:rsidRPr="0029391E">
              <w:rPr>
                <w:rFonts w:cs="Open Sans"/>
                <w:color w:val="000000"/>
                <w:sz w:val="18"/>
                <w:szCs w:val="18"/>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A426339" w14:textId="07C6161C"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3</w:t>
            </w:r>
            <w:r w:rsidR="00802C98">
              <w:rPr>
                <w:rFonts w:cs="Open Sans"/>
                <w:color w:val="000000"/>
                <w:sz w:val="18"/>
                <w:szCs w:val="18"/>
              </w:rPr>
              <w:t>5</w:t>
            </w:r>
            <w:r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5FE579BE" w14:textId="327CC677"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15%</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017C4791" w14:textId="7C57EF9C"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3%</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17D23B7A" w14:textId="389F0717"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77407AD4" w14:textId="72A57B71"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FB5159A" w14:textId="5C5AC7B4"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17%</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610AC3D5" w14:textId="67240028"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17%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7507AB33" w14:textId="3D696089" w:rsidR="00FE41B7" w:rsidRPr="00862EC4" w:rsidRDefault="00802C98"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color w:val="000000"/>
                <w:sz w:val="18"/>
                <w:szCs w:val="18"/>
              </w:rPr>
              <w:t>30</w:t>
            </w:r>
            <w:r w:rsidR="00FE41B7"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423FC827" w14:textId="0DF652F8"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23EE4721" w14:textId="78B25BA6"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72B70FE" w14:textId="61F89DF8" w:rsidR="00FE41B7" w:rsidRPr="00862EC4" w:rsidRDefault="00FE41B7" w:rsidP="00FE41B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6%</w:t>
            </w:r>
          </w:p>
        </w:tc>
      </w:tr>
      <w:tr w:rsidR="0029391E" w:rsidRPr="0029391E" w14:paraId="3964A6F1" w14:textId="77777777" w:rsidTr="002939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top w:val="single" w:sz="4" w:space="0" w:color="auto"/>
              <w:bottom w:val="single" w:sz="4" w:space="0" w:color="auto"/>
              <w:right w:val="single" w:sz="4" w:space="0" w:color="auto"/>
            </w:tcBorders>
            <w:shd w:val="clear" w:color="auto" w:fill="auto"/>
          </w:tcPr>
          <w:p w14:paraId="48AD9A8B" w14:textId="56649E1B" w:rsidR="0029391E" w:rsidRPr="00862EC4" w:rsidRDefault="0029391E" w:rsidP="0029391E">
            <w:pPr>
              <w:spacing w:before="0"/>
              <w:ind w:left="0" w:right="0"/>
              <w:rPr>
                <w:rFonts w:cs="Open Sans"/>
                <w:bCs/>
                <w:color w:val="auto"/>
                <w:sz w:val="18"/>
                <w:szCs w:val="18"/>
              </w:rPr>
            </w:pPr>
            <w:r w:rsidRPr="0029391E">
              <w:rPr>
                <w:rFonts w:cs="Open Sans"/>
                <w:bCs/>
                <w:color w:val="auto"/>
                <w:sz w:val="18"/>
                <w:szCs w:val="18"/>
              </w:rPr>
              <w:t>Furniture / floorcoverings / textiles</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70E9758" w14:textId="7DA04E2A" w:rsidR="0029391E" w:rsidRPr="00862EC4" w:rsidRDefault="0029391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color w:val="000000"/>
                <w:sz w:val="18"/>
                <w:szCs w:val="18"/>
              </w:rPr>
              <w:t>1%</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5D0E470" w14:textId="34F2A22E" w:rsidR="0029391E" w:rsidRPr="00862EC4" w:rsidRDefault="0044450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Pr>
                <w:rFonts w:cs="Open Sans"/>
                <w:color w:val="000000"/>
                <w:sz w:val="18"/>
                <w:szCs w:val="18"/>
              </w:rPr>
              <w:t>6</w:t>
            </w:r>
            <w:r w:rsidR="0029391E"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09D84B85" w14:textId="5DB11B20" w:rsidR="0029391E" w:rsidRPr="00862EC4" w:rsidRDefault="0044450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Pr>
                <w:rFonts w:cs="Open Sans"/>
                <w:color w:val="000000"/>
                <w:sz w:val="18"/>
                <w:szCs w:val="18"/>
              </w:rPr>
              <w:t>4</w:t>
            </w:r>
            <w:r w:rsidR="0029391E" w:rsidRPr="0029391E">
              <w:rPr>
                <w:rFonts w:cs="Open Sans"/>
                <w:color w:val="000000"/>
                <w:sz w:val="18"/>
                <w:szCs w:val="18"/>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49D5F4F3" w14:textId="09E532A6" w:rsidR="0029391E" w:rsidRPr="00862EC4" w:rsidRDefault="0029391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color w:val="000000"/>
                <w:sz w:val="18"/>
                <w:szCs w:val="18"/>
              </w:rPr>
              <w:t>12%</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3022DAA1" w14:textId="5602A1FF" w:rsidR="0029391E" w:rsidRPr="00862EC4" w:rsidRDefault="0029391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color w:val="000000"/>
                <w:sz w:val="18"/>
                <w:szCs w:val="18"/>
              </w:rPr>
              <w:t>7%</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442A2FD9" w14:textId="2C632BAE" w:rsidR="0029391E" w:rsidRPr="00862EC4" w:rsidRDefault="0029391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color w:val="000000"/>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17A7E1D" w14:textId="61258C9F" w:rsidR="0029391E" w:rsidRPr="00862EC4" w:rsidRDefault="0029391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color w:val="000000"/>
                <w:sz w:val="18"/>
                <w:szCs w:val="18"/>
              </w:rPr>
              <w:t>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7344CFAF" w14:textId="6028FA82" w:rsidR="0029391E" w:rsidRPr="00862EC4" w:rsidRDefault="0029391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color w:val="000000"/>
                <w:sz w:val="18"/>
                <w:szCs w:val="18"/>
              </w:rPr>
              <w:t>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31E072C6" w14:textId="7C164A2C" w:rsidR="0029391E" w:rsidRPr="00862EC4" w:rsidRDefault="0029391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color w:val="000000"/>
                <w:sz w:val="18"/>
                <w:szCs w:val="18"/>
              </w:rPr>
              <w:t>1</w:t>
            </w:r>
            <w:r w:rsidR="0044450E">
              <w:rPr>
                <w:rFonts w:cs="Open Sans"/>
                <w:color w:val="000000"/>
                <w:sz w:val="18"/>
                <w:szCs w:val="18"/>
              </w:rPr>
              <w:t>1</w:t>
            </w:r>
            <w:r w:rsidRPr="0029391E">
              <w:rPr>
                <w:rFonts w:cs="Open Sans"/>
                <w:color w:val="000000"/>
                <w:sz w:val="18"/>
                <w:szCs w:val="18"/>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0A9FD5B2" w14:textId="72D5CA51" w:rsidR="0029391E" w:rsidRPr="00862EC4" w:rsidRDefault="0029391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color w:val="000000"/>
                <w:sz w:val="18"/>
                <w:szCs w:val="18"/>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30D5D73F" w14:textId="58F1D90B" w:rsidR="0029391E" w:rsidRPr="00862EC4" w:rsidRDefault="0044450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Pr>
                <w:rFonts w:cs="Open Sans"/>
                <w:color w:val="000000"/>
                <w:sz w:val="18"/>
                <w:szCs w:val="18"/>
              </w:rPr>
              <w:t>7</w:t>
            </w:r>
            <w:r w:rsidR="0029391E"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16AF4D9A" w14:textId="64379B50" w:rsidR="0029391E" w:rsidRPr="00862EC4" w:rsidRDefault="0029391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color w:val="000000"/>
                <w:sz w:val="18"/>
                <w:szCs w:val="18"/>
              </w:rPr>
              <w:t>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5E40CBE2" w14:textId="071EE8ED" w:rsidR="0029391E" w:rsidRPr="00862EC4" w:rsidRDefault="0029391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color w:val="000000"/>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6DA8D1E" w14:textId="2642C638" w:rsidR="0029391E" w:rsidRPr="00862EC4" w:rsidRDefault="0029391E" w:rsidP="0029391E">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29391E">
              <w:rPr>
                <w:rFonts w:cs="Open Sans"/>
                <w:color w:val="000000"/>
                <w:sz w:val="18"/>
                <w:szCs w:val="18"/>
              </w:rPr>
              <w:t>22%</w:t>
            </w:r>
          </w:p>
        </w:tc>
      </w:tr>
      <w:tr w:rsidR="0029391E" w:rsidRPr="0029391E" w14:paraId="7ABDDB21" w14:textId="77777777" w:rsidTr="00293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top w:val="single" w:sz="4" w:space="0" w:color="auto"/>
              <w:bottom w:val="single" w:sz="4" w:space="0" w:color="auto"/>
              <w:right w:val="single" w:sz="4" w:space="0" w:color="auto"/>
            </w:tcBorders>
            <w:shd w:val="clear" w:color="auto" w:fill="auto"/>
          </w:tcPr>
          <w:p w14:paraId="65654CE1" w14:textId="6D1256E2" w:rsidR="0029391E" w:rsidRPr="00862EC4" w:rsidRDefault="0029391E" w:rsidP="0029391E">
            <w:pPr>
              <w:spacing w:before="0"/>
              <w:ind w:left="0" w:right="0"/>
              <w:rPr>
                <w:rFonts w:cs="Open Sans"/>
                <w:bCs/>
                <w:color w:val="auto"/>
                <w:sz w:val="18"/>
                <w:szCs w:val="18"/>
              </w:rPr>
            </w:pPr>
            <w:r w:rsidRPr="0029391E">
              <w:rPr>
                <w:rFonts w:cs="Open Sans"/>
                <w:bCs/>
                <w:color w:val="auto"/>
                <w:sz w:val="18"/>
                <w:szCs w:val="18"/>
              </w:rPr>
              <w:t>DIY goods</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A435210" w14:textId="31A4C72A" w:rsidR="0029391E" w:rsidRPr="00862EC4" w:rsidRDefault="0029391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03B03976" w14:textId="07BAB398" w:rsidR="0029391E" w:rsidRPr="00862EC4" w:rsidRDefault="0044450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color w:val="000000"/>
                <w:sz w:val="18"/>
                <w:szCs w:val="18"/>
              </w:rPr>
              <w:t>1</w:t>
            </w:r>
            <w:r w:rsidR="0029391E"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1A990AE8" w14:textId="4A5E2937" w:rsidR="0029391E" w:rsidRPr="00862EC4" w:rsidRDefault="0044450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color w:val="000000"/>
                <w:sz w:val="18"/>
                <w:szCs w:val="18"/>
              </w:rPr>
              <w:t>1</w:t>
            </w:r>
            <w:r w:rsidR="0029391E" w:rsidRPr="0029391E">
              <w:rPr>
                <w:rFonts w:cs="Open Sans"/>
                <w:color w:val="000000"/>
                <w:sz w:val="18"/>
                <w:szCs w:val="18"/>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C44321B" w14:textId="325C07C2" w:rsidR="0029391E" w:rsidRPr="00862EC4" w:rsidRDefault="0029391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2%</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5F432F1E" w14:textId="5E6F6347" w:rsidR="0029391E" w:rsidRPr="00862EC4" w:rsidRDefault="0029391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0%</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2F736EBC" w14:textId="493C65B6" w:rsidR="0029391E" w:rsidRPr="00862EC4" w:rsidRDefault="0029391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A6BFE28" w14:textId="1C1A1BDE" w:rsidR="0029391E" w:rsidRPr="00862EC4" w:rsidRDefault="0029391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1C0238E6" w14:textId="33718568" w:rsidR="0029391E" w:rsidRPr="00862EC4" w:rsidRDefault="0029391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C4D867B" w14:textId="3B2C630C" w:rsidR="0029391E" w:rsidRPr="00862EC4" w:rsidRDefault="0029391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3%</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652CD5A1" w14:textId="0608EB38" w:rsidR="0029391E" w:rsidRPr="00862EC4" w:rsidRDefault="0029391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040C5D21" w14:textId="1038E3CD" w:rsidR="0029391E" w:rsidRPr="00862EC4" w:rsidRDefault="0029391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9%</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695D7415" w14:textId="0E142979" w:rsidR="0029391E" w:rsidRPr="00862EC4" w:rsidRDefault="0029391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1%</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413B3334" w14:textId="2CC02F49" w:rsidR="0029391E" w:rsidRPr="00862EC4" w:rsidRDefault="0029391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1728291C" w14:textId="28A683BE" w:rsidR="0029391E" w:rsidRPr="00862EC4" w:rsidRDefault="0029391E" w:rsidP="0029391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29391E">
              <w:rPr>
                <w:rFonts w:cs="Open Sans"/>
                <w:color w:val="000000"/>
                <w:sz w:val="18"/>
                <w:szCs w:val="18"/>
              </w:rPr>
              <w:t>0%</w:t>
            </w:r>
          </w:p>
        </w:tc>
      </w:tr>
      <w:tr w:rsidR="0029391E" w:rsidRPr="0029391E" w14:paraId="7520166D" w14:textId="77777777" w:rsidTr="002939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top w:val="single" w:sz="4" w:space="0" w:color="auto"/>
              <w:bottom w:val="single" w:sz="4" w:space="0" w:color="auto"/>
              <w:right w:val="single" w:sz="4" w:space="0" w:color="auto"/>
            </w:tcBorders>
            <w:shd w:val="clear" w:color="auto" w:fill="auto"/>
          </w:tcPr>
          <w:p w14:paraId="6D0C80F8" w14:textId="739C1D93" w:rsidR="0029391E" w:rsidRPr="0029391E" w:rsidRDefault="0029391E" w:rsidP="0029391E">
            <w:pPr>
              <w:rPr>
                <w:rFonts w:cs="Open Sans"/>
                <w:bCs/>
                <w:sz w:val="18"/>
                <w:szCs w:val="18"/>
              </w:rPr>
            </w:pPr>
            <w:r w:rsidRPr="0029391E">
              <w:rPr>
                <w:rFonts w:cs="Open Sans"/>
                <w:bCs/>
                <w:sz w:val="18"/>
                <w:szCs w:val="18"/>
              </w:rPr>
              <w:t>Domestic appliances</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13BCABA6" w14:textId="5E61B3B5"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4811B507" w14:textId="32478433"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6%</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6A5AB072" w14:textId="02FF14DB" w:rsidR="0029391E" w:rsidRPr="0029391E" w:rsidRDefault="0044450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Pr>
                <w:rFonts w:cs="Open Sans"/>
                <w:color w:val="000000"/>
                <w:sz w:val="18"/>
                <w:szCs w:val="18"/>
              </w:rPr>
              <w:t>1</w:t>
            </w:r>
            <w:r w:rsidR="0029391E" w:rsidRPr="0029391E">
              <w:rPr>
                <w:rFonts w:cs="Open Sans"/>
                <w:color w:val="000000"/>
                <w:sz w:val="18"/>
                <w:szCs w:val="18"/>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342FFCA0" w14:textId="53605B74"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2FFB5F97" w14:textId="71A0C706"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0%</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598EF90C" w14:textId="4716F685"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CF52F5A" w14:textId="23C36D86"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45268269" w14:textId="0355A48B"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165D381" w14:textId="23885EF8"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9%</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6A6FE223" w14:textId="1B4BC9C5"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614356AB" w14:textId="195EBF8A"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4%</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6F60C4EC" w14:textId="49D5090F"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9%</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6E6F73AA" w14:textId="259A5E64"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4B52A2F" w14:textId="33070C64"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0%</w:t>
            </w:r>
          </w:p>
        </w:tc>
      </w:tr>
      <w:tr w:rsidR="0029391E" w:rsidRPr="0029391E" w14:paraId="30707699" w14:textId="77777777" w:rsidTr="00293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top w:val="single" w:sz="4" w:space="0" w:color="auto"/>
              <w:bottom w:val="single" w:sz="4" w:space="0" w:color="auto"/>
              <w:right w:val="single" w:sz="4" w:space="0" w:color="auto"/>
            </w:tcBorders>
            <w:shd w:val="clear" w:color="auto" w:fill="auto"/>
          </w:tcPr>
          <w:p w14:paraId="16AA8DA1" w14:textId="47278BCF" w:rsidR="0029391E" w:rsidRPr="0029391E" w:rsidRDefault="0029391E" w:rsidP="0029391E">
            <w:pPr>
              <w:rPr>
                <w:rFonts w:cs="Open Sans"/>
                <w:bCs/>
                <w:sz w:val="18"/>
                <w:szCs w:val="18"/>
              </w:rPr>
            </w:pPr>
            <w:r w:rsidRPr="0029391E">
              <w:rPr>
                <w:rFonts w:cs="Open Sans"/>
                <w:bCs/>
                <w:sz w:val="18"/>
                <w:szCs w:val="18"/>
              </w:rPr>
              <w:t>Small electrical goods</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8081E20" w14:textId="345B3F30" w:rsidR="0029391E" w:rsidRPr="0029391E" w:rsidRDefault="0044450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Pr>
                <w:rFonts w:cs="Open Sans"/>
                <w:color w:val="000000"/>
                <w:sz w:val="18"/>
                <w:szCs w:val="18"/>
              </w:rPr>
              <w:t>6</w:t>
            </w:r>
            <w:r w:rsidR="0029391E" w:rsidRPr="0029391E">
              <w:rPr>
                <w:rFonts w:cs="Open Sans"/>
                <w:color w:val="000000"/>
                <w:sz w:val="18"/>
                <w:szCs w:val="18"/>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A7873C9" w14:textId="4A9E5A15" w:rsidR="0029391E" w:rsidRPr="0029391E" w:rsidRDefault="0044450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Pr>
                <w:rFonts w:cs="Open Sans"/>
                <w:color w:val="000000"/>
                <w:sz w:val="18"/>
                <w:szCs w:val="18"/>
              </w:rPr>
              <w:t>3</w:t>
            </w:r>
            <w:r w:rsidR="0029391E"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59FECEC5" w14:textId="60E8461B"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2%</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F4F32DC" w14:textId="2E915D23" w:rsidR="0029391E" w:rsidRPr="0029391E" w:rsidRDefault="0044450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Pr>
                <w:rFonts w:cs="Open Sans"/>
                <w:color w:val="000000"/>
                <w:sz w:val="18"/>
                <w:szCs w:val="18"/>
              </w:rPr>
              <w:t>9</w:t>
            </w:r>
            <w:r w:rsidR="0029391E"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3C5EECDA" w14:textId="7C6E127B" w:rsidR="0029391E" w:rsidRPr="0029391E" w:rsidRDefault="0044450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Pr>
                <w:rFonts w:cs="Open Sans"/>
                <w:color w:val="000000"/>
                <w:sz w:val="18"/>
                <w:szCs w:val="18"/>
              </w:rPr>
              <w:t>7</w:t>
            </w:r>
            <w:r w:rsidR="0029391E"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20B13340" w14:textId="15D1D9CB"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907DFBD" w14:textId="436400DF"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4E1F260F" w14:textId="3A146D3F"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C03E378" w14:textId="76F5D5E1"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10%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C3A3A26" w14:textId="32A0954A"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40D5AF8D" w14:textId="2E3D0A9D"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1</w:t>
            </w:r>
            <w:r w:rsidR="0044450E">
              <w:rPr>
                <w:rFonts w:cs="Open Sans"/>
                <w:color w:val="000000"/>
                <w:sz w:val="18"/>
                <w:szCs w:val="18"/>
              </w:rPr>
              <w:t>2</w:t>
            </w:r>
            <w:r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60BC95B4" w14:textId="3D6E263C"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0%</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3DC8004B" w14:textId="30352EDE"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CC01849" w14:textId="4F4142D1"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0%</w:t>
            </w:r>
          </w:p>
        </w:tc>
      </w:tr>
      <w:tr w:rsidR="0029391E" w:rsidRPr="0029391E" w14:paraId="064FF5C0" w14:textId="77777777" w:rsidTr="002939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top w:val="single" w:sz="4" w:space="0" w:color="auto"/>
              <w:bottom w:val="single" w:sz="4" w:space="0" w:color="auto"/>
              <w:right w:val="single" w:sz="4" w:space="0" w:color="auto"/>
            </w:tcBorders>
            <w:shd w:val="clear" w:color="auto" w:fill="auto"/>
          </w:tcPr>
          <w:p w14:paraId="65828965" w14:textId="532B6455" w:rsidR="0029391E" w:rsidRPr="0029391E" w:rsidRDefault="0029391E" w:rsidP="0029391E">
            <w:pPr>
              <w:rPr>
                <w:rFonts w:cs="Open Sans"/>
                <w:bCs/>
                <w:sz w:val="18"/>
                <w:szCs w:val="18"/>
              </w:rPr>
            </w:pPr>
            <w:r w:rsidRPr="0029391E">
              <w:rPr>
                <w:rFonts w:cs="Open Sans"/>
                <w:bCs/>
                <w:sz w:val="18"/>
                <w:szCs w:val="18"/>
              </w:rPr>
              <w:t>Personal / luxury goods</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BDDE246" w14:textId="612C7960"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5%</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6A3E778F" w14:textId="67EA2301"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10%</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797DAADF" w14:textId="6DBEFFF3"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65112BDD" w14:textId="5847DBC5" w:rsidR="0029391E" w:rsidRPr="0029391E" w:rsidRDefault="0044450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Pr>
                <w:rFonts w:cs="Open Sans"/>
                <w:color w:val="000000"/>
                <w:sz w:val="18"/>
                <w:szCs w:val="18"/>
              </w:rPr>
              <w:t>35</w:t>
            </w:r>
            <w:r w:rsidR="0029391E"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5ECCAB0E" w14:textId="05953EE1"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2%</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6CCB15E5" w14:textId="32C1B167"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613DBEA" w14:textId="0DE62B52"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02E8853D" w14:textId="132765C9"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5%</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D4C37D9" w14:textId="3AD141E5"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2</w:t>
            </w:r>
            <w:r w:rsidR="0044450E">
              <w:rPr>
                <w:rFonts w:cs="Open Sans"/>
                <w:color w:val="000000"/>
                <w:sz w:val="18"/>
                <w:szCs w:val="18"/>
              </w:rPr>
              <w:t>5</w:t>
            </w:r>
            <w:r w:rsidRPr="0029391E">
              <w:rPr>
                <w:rFonts w:cs="Open Sans"/>
                <w:color w:val="000000"/>
                <w:sz w:val="18"/>
                <w:szCs w:val="18"/>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60074CA2" w14:textId="3D7E76C1" w:rsidR="0029391E" w:rsidRPr="0029391E" w:rsidRDefault="0044450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Pr>
                <w:rFonts w:cs="Open Sans"/>
                <w:color w:val="000000"/>
                <w:sz w:val="18"/>
                <w:szCs w:val="18"/>
              </w:rPr>
              <w:t>20</w:t>
            </w:r>
            <w:r w:rsidR="0029391E" w:rsidRPr="0029391E">
              <w:rPr>
                <w:rFonts w:cs="Open Sans"/>
                <w:color w:val="000000"/>
                <w:sz w:val="18"/>
                <w:szCs w:val="18"/>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1313DAAA" w14:textId="48F12D52"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3</w:t>
            </w:r>
            <w:r w:rsidR="0044450E">
              <w:rPr>
                <w:rFonts w:cs="Open Sans"/>
                <w:color w:val="000000"/>
                <w:sz w:val="18"/>
                <w:szCs w:val="18"/>
              </w:rPr>
              <w:t>1</w:t>
            </w:r>
            <w:r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7BB8703D" w14:textId="5418CE44" w:rsidR="0029391E" w:rsidRPr="0029391E" w:rsidRDefault="0044450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Pr>
                <w:rFonts w:cs="Open Sans"/>
                <w:color w:val="000000"/>
                <w:sz w:val="18"/>
                <w:szCs w:val="18"/>
              </w:rPr>
              <w:t>7</w:t>
            </w:r>
            <w:r w:rsidR="0029391E"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6DB6D51C" w14:textId="66FF2C81" w:rsidR="0029391E" w:rsidRPr="0029391E" w:rsidRDefault="0029391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29391E">
              <w:rPr>
                <w:rFonts w:cs="Open Sans"/>
                <w:color w:val="000000"/>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1A1A843E" w14:textId="5B221B45" w:rsidR="0029391E" w:rsidRPr="0029391E" w:rsidRDefault="0044450E" w:rsidP="0029391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Pr>
                <w:rFonts w:cs="Open Sans"/>
                <w:color w:val="000000"/>
                <w:sz w:val="18"/>
                <w:szCs w:val="18"/>
              </w:rPr>
              <w:t>7</w:t>
            </w:r>
            <w:r w:rsidR="0029391E" w:rsidRPr="0029391E">
              <w:rPr>
                <w:rFonts w:cs="Open Sans"/>
                <w:color w:val="000000"/>
                <w:sz w:val="18"/>
                <w:szCs w:val="18"/>
              </w:rPr>
              <w:t>%</w:t>
            </w:r>
          </w:p>
        </w:tc>
      </w:tr>
      <w:tr w:rsidR="0029391E" w:rsidRPr="0029391E" w14:paraId="698CAF5F" w14:textId="77777777" w:rsidTr="00293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top w:val="single" w:sz="4" w:space="0" w:color="auto"/>
              <w:bottom w:val="single" w:sz="4" w:space="0" w:color="auto"/>
              <w:right w:val="single" w:sz="4" w:space="0" w:color="auto"/>
            </w:tcBorders>
            <w:shd w:val="clear" w:color="auto" w:fill="auto"/>
          </w:tcPr>
          <w:p w14:paraId="44937535" w14:textId="42B4EC71" w:rsidR="0029391E" w:rsidRPr="0029391E" w:rsidRDefault="0029391E" w:rsidP="0029391E">
            <w:pPr>
              <w:rPr>
                <w:rFonts w:cs="Open Sans"/>
                <w:bCs/>
                <w:sz w:val="18"/>
                <w:szCs w:val="18"/>
              </w:rPr>
            </w:pPr>
            <w:r w:rsidRPr="0029391E">
              <w:rPr>
                <w:rFonts w:cs="Open Sans"/>
                <w:bCs/>
                <w:sz w:val="18"/>
                <w:szCs w:val="18"/>
              </w:rPr>
              <w:t>Recreational goods</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68043D68" w14:textId="77E42012" w:rsidR="0029391E" w:rsidRPr="0029391E" w:rsidRDefault="0044450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Pr>
                <w:rFonts w:cs="Open Sans"/>
                <w:color w:val="000000"/>
                <w:sz w:val="18"/>
                <w:szCs w:val="18"/>
              </w:rPr>
              <w:t>2</w:t>
            </w:r>
            <w:r w:rsidR="0029391E" w:rsidRPr="0029391E">
              <w:rPr>
                <w:rFonts w:cs="Open Sans"/>
                <w:color w:val="000000"/>
                <w:sz w:val="18"/>
                <w:szCs w:val="18"/>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05B49FBE" w14:textId="4A1BFF90" w:rsidR="0029391E" w:rsidRPr="0029391E" w:rsidRDefault="0044450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Pr>
                <w:rFonts w:cs="Open Sans"/>
                <w:color w:val="000000"/>
                <w:sz w:val="18"/>
                <w:szCs w:val="18"/>
              </w:rPr>
              <w:t>8</w:t>
            </w:r>
            <w:r w:rsidR="0029391E"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7D60F125" w14:textId="00EE05B2" w:rsidR="0029391E" w:rsidRPr="0029391E" w:rsidRDefault="0044450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Pr>
                <w:rFonts w:cs="Open Sans"/>
                <w:color w:val="000000"/>
                <w:sz w:val="18"/>
                <w:szCs w:val="18"/>
              </w:rPr>
              <w:t>10</w:t>
            </w:r>
            <w:r w:rsidR="0029391E" w:rsidRPr="0029391E">
              <w:rPr>
                <w:rFonts w:cs="Open Sans"/>
                <w:color w:val="000000"/>
                <w:sz w:val="18"/>
                <w:szCs w:val="18"/>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0B101055" w14:textId="56D9A260"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31%</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024F31F9" w14:textId="194698E5" w:rsidR="0029391E" w:rsidRPr="0029391E" w:rsidRDefault="0044450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Pr>
                <w:rFonts w:cs="Open Sans"/>
                <w:color w:val="000000"/>
                <w:sz w:val="18"/>
                <w:szCs w:val="18"/>
              </w:rPr>
              <w:t>2</w:t>
            </w:r>
            <w:r w:rsidR="0029391E" w:rsidRPr="0029391E">
              <w:rPr>
                <w:rFonts w:cs="Open Sans"/>
                <w:color w:val="000000"/>
                <w:sz w:val="18"/>
                <w:szCs w:val="18"/>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333CCD90" w14:textId="22B5C6D6" w:rsidR="0029391E" w:rsidRPr="0029391E" w:rsidRDefault="0044450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Pr>
                <w:rFonts w:cs="Open Sans"/>
                <w:color w:val="000000"/>
                <w:sz w:val="18"/>
                <w:szCs w:val="18"/>
              </w:rPr>
              <w:t>8</w:t>
            </w:r>
            <w:r w:rsidR="0029391E" w:rsidRPr="0029391E">
              <w:rPr>
                <w:rFonts w:cs="Open Sans"/>
                <w:color w:val="000000"/>
                <w:sz w:val="18"/>
                <w:szCs w:val="18"/>
              </w:rPr>
              <w:t>%</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EA6D852" w14:textId="4737622E" w:rsidR="0029391E" w:rsidRPr="0029391E" w:rsidRDefault="0044450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Pr>
                <w:rFonts w:cs="Open Sans"/>
                <w:color w:val="000000"/>
                <w:sz w:val="18"/>
                <w:szCs w:val="18"/>
              </w:rPr>
              <w:t>4</w:t>
            </w:r>
            <w:r w:rsidR="0029391E" w:rsidRPr="0029391E">
              <w:rPr>
                <w:rFonts w:cs="Open Sans"/>
                <w:color w:val="000000"/>
                <w:sz w:val="18"/>
                <w:szCs w:val="18"/>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21C58574" w14:textId="5445F571"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1</w:t>
            </w:r>
            <w:r w:rsidR="0044450E">
              <w:rPr>
                <w:rFonts w:cs="Open Sans"/>
                <w:color w:val="000000"/>
                <w:sz w:val="18"/>
                <w:szCs w:val="18"/>
              </w:rPr>
              <w:t>4</w:t>
            </w:r>
            <w:r w:rsidRPr="0029391E">
              <w:rPr>
                <w:rFonts w:cs="Open Sans"/>
                <w:color w:val="000000"/>
                <w:sz w:val="18"/>
                <w:szCs w:val="18"/>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319D6771" w14:textId="1EFF61A4"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1</w:t>
            </w:r>
            <w:r w:rsidR="0044450E">
              <w:rPr>
                <w:rFonts w:cs="Open Sans"/>
                <w:color w:val="000000"/>
                <w:sz w:val="18"/>
                <w:szCs w:val="18"/>
              </w:rPr>
              <w:t>4</w:t>
            </w:r>
            <w:r w:rsidRPr="0029391E">
              <w:rPr>
                <w:rFonts w:cs="Open Sans"/>
                <w:color w:val="000000"/>
                <w:sz w:val="18"/>
                <w:szCs w:val="18"/>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7E962BA5" w14:textId="4D3FFEB1"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1</w:t>
            </w:r>
            <w:r w:rsidR="0044450E">
              <w:rPr>
                <w:rFonts w:cs="Open Sans"/>
                <w:color w:val="000000"/>
                <w:sz w:val="18"/>
                <w:szCs w:val="18"/>
              </w:rPr>
              <w:t>2</w:t>
            </w:r>
            <w:r w:rsidRPr="0029391E">
              <w:rPr>
                <w:rFonts w:cs="Open Sans"/>
                <w:color w:val="000000"/>
                <w:sz w:val="18"/>
                <w:szCs w:val="18"/>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bottom"/>
          </w:tcPr>
          <w:p w14:paraId="621551B9" w14:textId="5C060237"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45%</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66ED1EEA" w14:textId="14E15ACE"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3%</w:t>
            </w:r>
          </w:p>
        </w:tc>
        <w:tc>
          <w:tcPr>
            <w:tcW w:w="614" w:type="dxa"/>
            <w:tcBorders>
              <w:top w:val="single" w:sz="4" w:space="0" w:color="auto"/>
              <w:left w:val="single" w:sz="4" w:space="0" w:color="auto"/>
              <w:bottom w:val="single" w:sz="4" w:space="0" w:color="auto"/>
              <w:right w:val="single" w:sz="4" w:space="0" w:color="auto"/>
            </w:tcBorders>
            <w:shd w:val="clear" w:color="auto" w:fill="auto"/>
            <w:vAlign w:val="bottom"/>
          </w:tcPr>
          <w:p w14:paraId="31C7E8C0" w14:textId="65CAAD74"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D38DD3F" w14:textId="49014472" w:rsidR="0029391E" w:rsidRPr="0029391E" w:rsidRDefault="0029391E" w:rsidP="0029391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29391E">
              <w:rPr>
                <w:rFonts w:cs="Open Sans"/>
                <w:color w:val="000000"/>
                <w:sz w:val="18"/>
                <w:szCs w:val="18"/>
              </w:rPr>
              <w:t>0%</w:t>
            </w:r>
          </w:p>
        </w:tc>
      </w:tr>
      <w:bookmarkEnd w:id="10"/>
    </w:tbl>
    <w:p w14:paraId="6E488820" w14:textId="608C7786" w:rsidR="00862EC4" w:rsidRDefault="00862EC4" w:rsidP="00862EC4">
      <w:pPr>
        <w:pStyle w:val="Level1"/>
        <w:numPr>
          <w:ilvl w:val="0"/>
          <w:numId w:val="0"/>
        </w:numPr>
        <w:ind w:left="720"/>
        <w:jc w:val="both"/>
      </w:pPr>
    </w:p>
    <w:p w14:paraId="01FBB6A2" w14:textId="06A2CE4E" w:rsidR="00DF6EA7" w:rsidRDefault="00EE3C15" w:rsidP="00720441">
      <w:pPr>
        <w:pStyle w:val="Level1"/>
        <w:jc w:val="both"/>
      </w:pPr>
      <w:r>
        <w:t>The data in Table 4.6 above indicates the following:</w:t>
      </w:r>
    </w:p>
    <w:p w14:paraId="50AC487E" w14:textId="0239E673" w:rsidR="005A2CA9" w:rsidRDefault="00050319" w:rsidP="00EE3C15">
      <w:pPr>
        <w:pStyle w:val="ListBullet"/>
      </w:pPr>
      <w:r>
        <w:t xml:space="preserve">The above indicates that the core shopping catchment for Torquay town centre </w:t>
      </w:r>
      <w:r w:rsidR="005A2CA9">
        <w:t xml:space="preserve">for </w:t>
      </w:r>
      <w:r>
        <w:t>comparison</w:t>
      </w:r>
      <w:r w:rsidR="005A2CA9">
        <w:t xml:space="preserve"> goods remains Zone 5, although across all goods categories the centre</w:t>
      </w:r>
      <w:r w:rsidR="00540517">
        <w:t>’</w:t>
      </w:r>
      <w:r w:rsidR="005A2CA9">
        <w:t xml:space="preserve">s market share as a </w:t>
      </w:r>
      <w:proofErr w:type="gramStart"/>
      <w:r w:rsidR="005A2CA9">
        <w:t>first choice</w:t>
      </w:r>
      <w:proofErr w:type="gramEnd"/>
      <w:r w:rsidR="005A2CA9">
        <w:t xml:space="preserve"> shopping </w:t>
      </w:r>
      <w:r w:rsidR="0018497A">
        <w:t>destination</w:t>
      </w:r>
      <w:r w:rsidR="005A2CA9">
        <w:t xml:space="preserve"> has fallen between 2013 and 2022.</w:t>
      </w:r>
    </w:p>
    <w:p w14:paraId="6AC5DC1F" w14:textId="4DF56534" w:rsidR="005A2CA9" w:rsidRDefault="005A2CA9" w:rsidP="00EE3C15">
      <w:pPr>
        <w:pStyle w:val="ListBullet"/>
      </w:pPr>
      <w:r>
        <w:lastRenderedPageBreak/>
        <w:t xml:space="preserve">There is a slightly different picture in relation to the market share of the town centre as a </w:t>
      </w:r>
      <w:proofErr w:type="gramStart"/>
      <w:r>
        <w:t>second choice</w:t>
      </w:r>
      <w:proofErr w:type="gramEnd"/>
      <w:r>
        <w:t xml:space="preserve"> comparison goods shopping destination, where there have not been any material falls in market share for non-bulky comparison goods amongst one 5 residents, but falls in relation to bulky goods.  </w:t>
      </w:r>
    </w:p>
    <w:p w14:paraId="2ED1334B" w14:textId="19D3FE1D" w:rsidR="00EE3C15" w:rsidRDefault="005A2CA9" w:rsidP="00EE3C15">
      <w:pPr>
        <w:pStyle w:val="ListBullet"/>
      </w:pPr>
      <w:r>
        <w:t xml:space="preserve">Looking beyond Zone 5, Torquay town centre’s catchment area stretches </w:t>
      </w:r>
      <w:r w:rsidR="00885AC8">
        <w:t xml:space="preserve">across the whole of the study area, with a reasonably significant number of trips being attracted from </w:t>
      </w:r>
      <w:r w:rsidR="00691C96">
        <w:t>Zone 2</w:t>
      </w:r>
      <w:r w:rsidR="00885AC8">
        <w:t xml:space="preserve"> (Totnes / South Hams)</w:t>
      </w:r>
      <w:r w:rsidR="00691C96">
        <w:t>, then Zones 6, 7 and 8</w:t>
      </w:r>
      <w:r w:rsidR="00885AC8">
        <w:t xml:space="preserve"> (Teignbridge).  </w:t>
      </w:r>
    </w:p>
    <w:p w14:paraId="3AB93BD0" w14:textId="4399B526" w:rsidR="00EE3C15" w:rsidRDefault="00885AC8" w:rsidP="00EE3C15">
      <w:pPr>
        <w:pStyle w:val="ListBullet"/>
      </w:pPr>
      <w:r>
        <w:t>In relation to Zone 2</w:t>
      </w:r>
      <w:r w:rsidR="005E460A">
        <w:t xml:space="preserve">, the town centre’s popularity as a </w:t>
      </w:r>
      <w:proofErr w:type="gramStart"/>
      <w:r w:rsidR="005E460A">
        <w:t>first choice</w:t>
      </w:r>
      <w:proofErr w:type="gramEnd"/>
      <w:r w:rsidR="005E460A">
        <w:t xml:space="preserve"> clothing/footwear destination has not diminished although there have been decreases in other categories.  The opposite is generally true in relation to the town centre as a </w:t>
      </w:r>
      <w:proofErr w:type="gramStart"/>
      <w:r w:rsidR="005E460A">
        <w:t>second choice</w:t>
      </w:r>
      <w:proofErr w:type="gramEnd"/>
      <w:r w:rsidR="005E460A">
        <w:t xml:space="preserve"> shopping destination for the various comparison goods categories.</w:t>
      </w:r>
    </w:p>
    <w:p w14:paraId="22EE700E" w14:textId="1C43602E" w:rsidR="00EE3C15" w:rsidRDefault="00160602" w:rsidP="005E460A">
      <w:pPr>
        <w:pStyle w:val="ListBullet"/>
      </w:pPr>
      <w:r>
        <w:t xml:space="preserve">With regards to the study area zones to the north of Torbay (Zones 6, 7 and 8), there has been very little change in the amount of first choice shopping trips from Zone 6 residents, although there has been a general worsening of the town centre’s market share for first and second choice trips across the other two zones. </w:t>
      </w:r>
    </w:p>
    <w:p w14:paraId="172E0BA2" w14:textId="77777777" w:rsidR="00EE3C15" w:rsidRDefault="00EE3C15" w:rsidP="00EE3C15">
      <w:pPr>
        <w:pStyle w:val="ListBullet"/>
        <w:numPr>
          <w:ilvl w:val="0"/>
          <w:numId w:val="0"/>
        </w:numPr>
        <w:ind w:left="1077"/>
      </w:pPr>
    </w:p>
    <w:p w14:paraId="5024DDEB" w14:textId="1BB7CFB9" w:rsidR="001B0B66" w:rsidRPr="00855899" w:rsidRDefault="001B0B66" w:rsidP="00720441">
      <w:pPr>
        <w:pStyle w:val="Level1"/>
        <w:jc w:val="both"/>
      </w:pPr>
      <w:r w:rsidRPr="00855899">
        <w:t xml:space="preserve">As part of the assessment of quantitative retail floorspace need, it has been possible to compare the retail turnover of the main town centres between the current assessment (in 2022) and the </w:t>
      </w:r>
      <w:r w:rsidR="00AE4287" w:rsidRPr="00855899">
        <w:t>previous assessment contained in the 2013 retail study.  This has confirmed that</w:t>
      </w:r>
      <w:r w:rsidR="006A1972" w:rsidRPr="00855899">
        <w:t xml:space="preserve"> </w:t>
      </w:r>
      <w:r w:rsidR="00855899" w:rsidRPr="00855899">
        <w:t>the town centre continues to lose significant amounts of turnover, including circa half of its convenience goods turnover and one third of its comparison goods turnover (when compared with the assessments made in the 2013 retail study)</w:t>
      </w:r>
      <w:r w:rsidR="00AE4287" w:rsidRPr="00855899">
        <w:t>.</w:t>
      </w:r>
    </w:p>
    <w:p w14:paraId="58E999F4" w14:textId="39B21D1B" w:rsidR="00BD720B" w:rsidRPr="00B44051" w:rsidRDefault="002B7CBC" w:rsidP="00720441">
      <w:pPr>
        <w:pStyle w:val="Level1"/>
        <w:jc w:val="both"/>
      </w:pPr>
      <w:r w:rsidRPr="00B44051">
        <w:t>The household survey commissioned for this study has also gained information on visits to food and beverages in the local area from study area residents.  In relation to Torquay town centre</w:t>
      </w:r>
      <w:r w:rsidR="009E437A" w:rsidRPr="00B44051">
        <w:t xml:space="preserve">, the amalgamated results of the survey show that Torquay town centre gains 4% of trips from Zone 3 residents, 26% from Zone 4, 61% from Zone 5 and 15% from Zone 6.  </w:t>
      </w:r>
    </w:p>
    <w:p w14:paraId="259CB2C6" w14:textId="1DF16E77" w:rsidR="00DF6EA7" w:rsidRDefault="00271C7E" w:rsidP="00720441">
      <w:pPr>
        <w:pStyle w:val="Level1"/>
        <w:jc w:val="both"/>
      </w:pPr>
      <w:r w:rsidRPr="009E437A">
        <w:t xml:space="preserve">Beyond, </w:t>
      </w:r>
      <w:r w:rsidR="00BD720B" w:rsidRPr="009E437A">
        <w:t xml:space="preserve">the market shares associated with shopping in the town centre, </w:t>
      </w:r>
      <w:r w:rsidR="00D74DC0" w:rsidRPr="009E437A">
        <w:t>the 2022 household survey has also gathered information in relation</w:t>
      </w:r>
      <w:r w:rsidR="00D74DC0">
        <w:t xml:space="preserve"> to the usage of the three main town centres.  In relation to Torquay town centre, the 2022 survey provides the following information:</w:t>
      </w:r>
    </w:p>
    <w:p w14:paraId="52279D0D" w14:textId="024A76DA" w:rsidR="00D74DC0" w:rsidRDefault="007735B7" w:rsidP="00D74DC0">
      <w:pPr>
        <w:pStyle w:val="ListBullet"/>
      </w:pPr>
      <w:r>
        <w:t>Of those survey responds in Zone 5 who visited Torquay town centre, 21% visited at least once a week.</w:t>
      </w:r>
    </w:p>
    <w:p w14:paraId="2148A18C" w14:textId="0584F6F1" w:rsidR="007735B7" w:rsidRDefault="007735B7" w:rsidP="00D74DC0">
      <w:pPr>
        <w:pStyle w:val="ListBullet"/>
      </w:pPr>
      <w:r>
        <w:t>in terms of frequency of visits to the town centre, respondents were also asked whether the recent COVID-19 pandemic has influenced their behaviour towards the centre.  60% of respondents indicated that the pandemic had not changed the frequency of visits to the town centre, although 32% of respondents indicated that they were visiting less often.  The reasons for this were varied, although the most prevalent reasons were related to safety concern</w:t>
      </w:r>
      <w:r w:rsidR="00540517">
        <w:t>s</w:t>
      </w:r>
      <w:r>
        <w:t>, the closure of shops over the last two years and the resultant range of shops.</w:t>
      </w:r>
    </w:p>
    <w:p w14:paraId="781007DF" w14:textId="27624979" w:rsidR="00D74DC0" w:rsidRDefault="00BA39AA" w:rsidP="00D74DC0">
      <w:pPr>
        <w:pStyle w:val="ListBullet"/>
      </w:pPr>
      <w:r>
        <w:t>In relation to the facilities which are visited on trips to Torquay town centre, circa 60% of respondents from Zone 5 indicated that they used the town centre for non-food shopping. This is, by far, the highest of the three town centres in Torbay</w:t>
      </w:r>
      <w:r>
        <w:rPr>
          <w:rStyle w:val="FootnoteReference"/>
        </w:rPr>
        <w:footnoteReference w:id="21"/>
      </w:r>
      <w:r w:rsidR="00C355D2">
        <w:t>.  In relation to other purposes, 9% of respondents use the centre for main food shopping and 8% use it for top-up food shopping.  15% of respondents indicate that they visit the town centre to ‘eat out’, whilst 13% use financial services an 11% use healthcare services.</w:t>
      </w:r>
    </w:p>
    <w:p w14:paraId="00A964ED" w14:textId="6EA94462" w:rsidR="00C355D2" w:rsidRDefault="00C355D2" w:rsidP="00D74DC0">
      <w:pPr>
        <w:pStyle w:val="ListBullet"/>
      </w:pPr>
      <w:r>
        <w:t xml:space="preserve">The most popular times of the day to visit Torquay town centre are between 6am and noon (41%) and noon – 3pm (38%).  These are also the most popular times for the other two town centres, although the 2022 survey indicates that Torquay town centre has the highest level of </w:t>
      </w:r>
      <w:r w:rsidR="00864128">
        <w:t xml:space="preserve">visits in the </w:t>
      </w:r>
      <w:r w:rsidR="00864128">
        <w:lastRenderedPageBreak/>
        <w:t xml:space="preserve">early to </w:t>
      </w:r>
      <w:r w:rsidR="00DB5C29">
        <w:t>mid-afternoon</w:t>
      </w:r>
      <w:r w:rsidR="00864128">
        <w:t>.  In relation to other times, o</w:t>
      </w:r>
      <w:r>
        <w:t>nly 6% visit the centre between 3pm-7pm and 3% visit between 7pm and 2am.</w:t>
      </w:r>
    </w:p>
    <w:p w14:paraId="0A3E09EF" w14:textId="58AE73BE" w:rsidR="00864128" w:rsidRDefault="0077503B" w:rsidP="00D74DC0">
      <w:pPr>
        <w:pStyle w:val="ListBullet"/>
      </w:pPr>
      <w:r>
        <w:t>59% of survey respondents travel to Torquay town centre by car, with 26% walking to the centre and 12% using the bus.</w:t>
      </w:r>
    </w:p>
    <w:p w14:paraId="379B37E9" w14:textId="2F547A42" w:rsidR="0077503B" w:rsidRDefault="0077503B" w:rsidP="00D74DC0">
      <w:pPr>
        <w:pStyle w:val="ListBullet"/>
      </w:pPr>
      <w:r>
        <w:t>With regards to overall visits to Torquay town centre, 15% of Zone 5 res</w:t>
      </w:r>
      <w:r w:rsidR="007E5268">
        <w:t>idents indicated that they never visit the centre, with the main reasons cited for not visiting being: range of shops (45%), safety (17%), empty shops (21%), COVID-related reasons (14%), plus costs of car parking (12%).</w:t>
      </w:r>
    </w:p>
    <w:p w14:paraId="56E2F870" w14:textId="6AF8DB80" w:rsidR="007E5268" w:rsidRDefault="007E5268" w:rsidP="00D74DC0">
      <w:pPr>
        <w:pStyle w:val="ListBullet"/>
      </w:pPr>
      <w:r>
        <w:t xml:space="preserve">For those survey respondents not visiting Torquay town centre, the most popular alternative destinations were Newton Abbott (24%), Exeter (19%), The Willows district centre (4%) and Paignton (4%).  The main reasons given for visiting these other centres </w:t>
      </w:r>
      <w:proofErr w:type="gramStart"/>
      <w:r>
        <w:t>were:</w:t>
      </w:r>
      <w:proofErr w:type="gramEnd"/>
      <w:r>
        <w:t xml:space="preserve"> better choice of shops (36%), lower parking costs (26%), easier to park (17%), a more attractive environment (13%), quality of shops (19%) and levels of business (11%).</w:t>
      </w:r>
    </w:p>
    <w:p w14:paraId="59691A16" w14:textId="0659A267" w:rsidR="00D74DC0" w:rsidRDefault="00D74DC0" w:rsidP="00D74DC0">
      <w:pPr>
        <w:pStyle w:val="ListBullet"/>
        <w:numPr>
          <w:ilvl w:val="0"/>
          <w:numId w:val="0"/>
        </w:numPr>
        <w:ind w:left="1077"/>
      </w:pPr>
    </w:p>
    <w:p w14:paraId="1FC89FA7" w14:textId="2127CB6D" w:rsidR="00AE4287" w:rsidRPr="00B44051" w:rsidRDefault="006257DD" w:rsidP="00540517">
      <w:pPr>
        <w:pStyle w:val="Level1"/>
        <w:jc w:val="both"/>
      </w:pPr>
      <w:r w:rsidRPr="00B44051">
        <w:t xml:space="preserve">In conclusion, and drawing upon the foregoing analysis, the following conclusions can be reached in relation to the key aspects of the health of Torquay town centre:  </w:t>
      </w:r>
    </w:p>
    <w:p w14:paraId="647748D9" w14:textId="220BF2E4" w:rsidR="00D74DC0" w:rsidRPr="00B44051" w:rsidRDefault="003A26FD" w:rsidP="00356C65">
      <w:pPr>
        <w:pStyle w:val="ListBullet"/>
      </w:pPr>
      <w:r w:rsidRPr="00B44051">
        <w:t xml:space="preserve">Continuing the trend seen in previous retail studies, there is a </w:t>
      </w:r>
      <w:r w:rsidR="007E5268" w:rsidRPr="00B44051">
        <w:t xml:space="preserve">falling </w:t>
      </w:r>
      <w:r w:rsidR="00AE4287" w:rsidRPr="00B44051">
        <w:t xml:space="preserve">number of </w:t>
      </w:r>
      <w:r w:rsidR="007E5268" w:rsidRPr="00B44051">
        <w:t>comparison goods shops</w:t>
      </w:r>
      <w:r w:rsidR="00AE4287" w:rsidRPr="00B44051">
        <w:t xml:space="preserve"> in the town centre</w:t>
      </w:r>
      <w:r w:rsidRPr="00B44051">
        <w:t xml:space="preserve">.  This is also part of a national trend in other town centres across the </w:t>
      </w:r>
      <w:proofErr w:type="gramStart"/>
      <w:r w:rsidRPr="00B44051">
        <w:t>country, but</w:t>
      </w:r>
      <w:proofErr w:type="gramEnd"/>
      <w:r w:rsidRPr="00B44051">
        <w:t xml:space="preserve"> is nevertheless a key issue for the Council to be aware of as it plans for the future of Torquay town centre.</w:t>
      </w:r>
    </w:p>
    <w:p w14:paraId="54A734D0" w14:textId="377D6C5A" w:rsidR="007E5268" w:rsidRPr="00B44051" w:rsidRDefault="003A26FD" w:rsidP="00356C65">
      <w:pPr>
        <w:pStyle w:val="ListBullet"/>
      </w:pPr>
      <w:r w:rsidRPr="00B44051">
        <w:t xml:space="preserve">Again, in line with the national trend, the evidence which has been collected for this study indicates a </w:t>
      </w:r>
      <w:r w:rsidR="007E5268" w:rsidRPr="00B44051">
        <w:t>slight strengthening of</w:t>
      </w:r>
      <w:r w:rsidRPr="00B44051">
        <w:t xml:space="preserve"> </w:t>
      </w:r>
      <w:r w:rsidR="007E5268" w:rsidRPr="00B44051">
        <w:t xml:space="preserve">convenience goods shopping </w:t>
      </w:r>
      <w:r w:rsidRPr="00B44051">
        <w:t xml:space="preserve">provision in the town centre.  It is not significant, but nevertheless helps to address a long-standing qualitative need in the centre and, in turn, broadens the type of provision.  </w:t>
      </w:r>
    </w:p>
    <w:p w14:paraId="105E00FF" w14:textId="54556E10" w:rsidR="007E5268" w:rsidRPr="00B44051" w:rsidRDefault="003A26FD" w:rsidP="00356C65">
      <w:pPr>
        <w:pStyle w:val="ListBullet"/>
      </w:pPr>
      <w:r w:rsidRPr="00B44051">
        <w:t xml:space="preserve">It is notable that </w:t>
      </w:r>
      <w:r w:rsidR="007E5268" w:rsidRPr="00B44051">
        <w:t xml:space="preserve">service uses </w:t>
      </w:r>
      <w:r w:rsidR="00742C35">
        <w:t xml:space="preserve">are </w:t>
      </w:r>
      <w:r w:rsidR="007E5268" w:rsidRPr="00B44051">
        <w:t>now the largest sector</w:t>
      </w:r>
      <w:r w:rsidR="00AE4287" w:rsidRPr="00B44051">
        <w:t xml:space="preserve"> in </w:t>
      </w:r>
      <w:r w:rsidRPr="00B44051">
        <w:t xml:space="preserve">the town centre in </w:t>
      </w:r>
      <w:r w:rsidR="00AE4287" w:rsidRPr="00B44051">
        <w:t xml:space="preserve">terms of </w:t>
      </w:r>
      <w:r w:rsidRPr="00B44051">
        <w:t>the</w:t>
      </w:r>
      <w:r w:rsidR="00AE4287" w:rsidRPr="00B44051">
        <w:t xml:space="preserve"> number</w:t>
      </w:r>
      <w:r w:rsidRPr="00B44051">
        <w:t xml:space="preserve"> of units.  </w:t>
      </w:r>
      <w:r w:rsidR="00CF4A5A" w:rsidRPr="00B44051">
        <w:t xml:space="preserve">A growing number of </w:t>
      </w:r>
      <w:proofErr w:type="gramStart"/>
      <w:r w:rsidR="00CF4A5A" w:rsidRPr="00B44051">
        <w:t>service</w:t>
      </w:r>
      <w:proofErr w:type="gramEnd"/>
      <w:r w:rsidR="00CF4A5A" w:rsidRPr="00B44051">
        <w:t xml:space="preserve"> uses in a town centre mirrors the national trend, but this data also is reflective of Torquay town centre’s role.  </w:t>
      </w:r>
    </w:p>
    <w:p w14:paraId="6E09E7A7" w14:textId="658AA85B" w:rsidR="007E5268" w:rsidRPr="00B44051" w:rsidRDefault="00CF4A5A" w:rsidP="00356C65">
      <w:pPr>
        <w:pStyle w:val="ListBullet"/>
      </w:pPr>
      <w:r w:rsidRPr="00B44051">
        <w:t xml:space="preserve">A key concern will be the </w:t>
      </w:r>
      <w:r w:rsidR="000C01EC" w:rsidRPr="00B44051">
        <w:t xml:space="preserve">continued </w:t>
      </w:r>
      <w:r w:rsidR="007E5268" w:rsidRPr="00B44051">
        <w:t xml:space="preserve">loss of </w:t>
      </w:r>
      <w:r w:rsidRPr="00B44051">
        <w:t xml:space="preserve">retailing </w:t>
      </w:r>
      <w:r w:rsidR="007E5268" w:rsidRPr="00B44051">
        <w:t>market share</w:t>
      </w:r>
      <w:r w:rsidR="000C01EC" w:rsidRPr="00B44051">
        <w:t xml:space="preserve"> and turnover</w:t>
      </w:r>
      <w:r w:rsidRPr="00B44051">
        <w:t xml:space="preserve"> in the town centre.  Whilst all town centres are facing similar challenges, this is trend which has continued for some time in Torquay and highlights why the Council will need to consider the main role of the town centre going forwards</w:t>
      </w:r>
      <w:r w:rsidR="00742C35">
        <w:t xml:space="preserve"> (and the need to diversify its offer)</w:t>
      </w:r>
      <w:r w:rsidRPr="00B44051">
        <w:t xml:space="preserve">.  </w:t>
      </w:r>
    </w:p>
    <w:p w14:paraId="12D33C53" w14:textId="012BD744" w:rsidR="00356C65" w:rsidRPr="00B44051" w:rsidRDefault="00CF4A5A" w:rsidP="00356C65">
      <w:pPr>
        <w:pStyle w:val="ListBullet"/>
      </w:pPr>
      <w:r w:rsidRPr="00B44051">
        <w:t>A</w:t>
      </w:r>
      <w:r w:rsidR="00742C35">
        <w:t xml:space="preserve"> related </w:t>
      </w:r>
      <w:r w:rsidRPr="00B44051">
        <w:t xml:space="preserve">part of this issue is the </w:t>
      </w:r>
      <w:r w:rsidR="000C01EC" w:rsidRPr="00B44051">
        <w:t>continued high number / proportion of v</w:t>
      </w:r>
      <w:r w:rsidR="007E5268" w:rsidRPr="00B44051">
        <w:t>acancies</w:t>
      </w:r>
      <w:r w:rsidRPr="00B44051">
        <w:t xml:space="preserve"> in the town centre, which well</w:t>
      </w:r>
      <w:r w:rsidR="000C01EC" w:rsidRPr="00B44051">
        <w:t xml:space="preserve"> above the national average</w:t>
      </w:r>
      <w:r w:rsidRPr="00B44051">
        <w:t>.</w:t>
      </w:r>
    </w:p>
    <w:p w14:paraId="17EA6B87" w14:textId="77777777" w:rsidR="00356C65" w:rsidRDefault="00356C65" w:rsidP="00356C65">
      <w:pPr>
        <w:pStyle w:val="ListBullet"/>
        <w:numPr>
          <w:ilvl w:val="0"/>
          <w:numId w:val="0"/>
        </w:numPr>
        <w:ind w:left="1077"/>
      </w:pPr>
    </w:p>
    <w:p w14:paraId="00785F69" w14:textId="559A4591" w:rsidR="00560D64" w:rsidRPr="00560D64" w:rsidRDefault="00560D64" w:rsidP="00720441">
      <w:pPr>
        <w:pStyle w:val="Level1"/>
        <w:numPr>
          <w:ilvl w:val="0"/>
          <w:numId w:val="0"/>
        </w:numPr>
        <w:ind w:left="720"/>
        <w:jc w:val="both"/>
        <w:rPr>
          <w:rStyle w:val="Emphasis"/>
        </w:rPr>
      </w:pPr>
      <w:r>
        <w:rPr>
          <w:rStyle w:val="Emphasis"/>
        </w:rPr>
        <w:t>Paignton</w:t>
      </w:r>
      <w:r w:rsidR="00643176">
        <w:rPr>
          <w:rStyle w:val="Emphasis"/>
        </w:rPr>
        <w:t xml:space="preserve"> Town Centre</w:t>
      </w:r>
    </w:p>
    <w:p w14:paraId="2D269D98" w14:textId="4E66413D" w:rsidR="00C1390E" w:rsidRPr="00B44051" w:rsidRDefault="00C1390E" w:rsidP="00720441">
      <w:pPr>
        <w:pStyle w:val="Level1"/>
        <w:jc w:val="both"/>
      </w:pPr>
      <w:r w:rsidRPr="00B40544">
        <w:t xml:space="preserve">Paignton town centre lies in the central part of the Torbay </w:t>
      </w:r>
      <w:r w:rsidR="0062550C" w:rsidRPr="00B40544">
        <w:t>and is the second largest of the three town centres.</w:t>
      </w:r>
      <w:r w:rsidR="009943A7" w:rsidRPr="00B40544">
        <w:t xml:space="preserve">  The centre lies adjacent to the seafront area</w:t>
      </w:r>
      <w:r w:rsidR="00E20AED" w:rsidRPr="00B40544">
        <w:t>, with the adopted development plan policies map</w:t>
      </w:r>
      <w:r w:rsidR="004D40DB" w:rsidRPr="00B40544">
        <w:rPr>
          <w:rStyle w:val="FootnoteReference"/>
        </w:rPr>
        <w:footnoteReference w:id="22"/>
      </w:r>
      <w:r w:rsidR="00E20AED" w:rsidRPr="00B40544">
        <w:t xml:space="preserve"> </w:t>
      </w:r>
      <w:r w:rsidR="00E20AED" w:rsidRPr="00B44051">
        <w:t>providing the following definitions:</w:t>
      </w:r>
    </w:p>
    <w:p w14:paraId="672421C0" w14:textId="693D19C3" w:rsidR="00E20AED" w:rsidRPr="00B40544" w:rsidRDefault="00E20AED" w:rsidP="00816E95">
      <w:pPr>
        <w:pStyle w:val="ListBullet"/>
      </w:pPr>
      <w:r w:rsidRPr="00B44051">
        <w:rPr>
          <w:u w:val="single"/>
        </w:rPr>
        <w:t>Town centre</w:t>
      </w:r>
      <w:r w:rsidR="00787D24" w:rsidRPr="00B44051">
        <w:rPr>
          <w:u w:val="single"/>
        </w:rPr>
        <w:t xml:space="preserve"> (Appendix </w:t>
      </w:r>
      <w:r w:rsidR="004D40DB" w:rsidRPr="00B44051">
        <w:rPr>
          <w:u w:val="single"/>
        </w:rPr>
        <w:t>VII</w:t>
      </w:r>
      <w:r w:rsidR="00787D24" w:rsidRPr="00B44051">
        <w:rPr>
          <w:u w:val="single"/>
        </w:rPr>
        <w:t>)</w:t>
      </w:r>
      <w:r w:rsidRPr="00B44051">
        <w:rPr>
          <w:u w:val="single"/>
        </w:rPr>
        <w:t>.</w:t>
      </w:r>
      <w:r w:rsidR="00A910C9" w:rsidRPr="00B40544">
        <w:t xml:space="preserve">  The defined town centre boundary stretches westwards along Torbay Road from the seafront / beach area, across the railway line, and then along Victoria Street, Hyde </w:t>
      </w:r>
      <w:r w:rsidR="00787D24" w:rsidRPr="00B40544">
        <w:t>Winner Street.</w:t>
      </w:r>
      <w:r w:rsidR="00A910C9" w:rsidRPr="00B40544">
        <w:t xml:space="preserve"> </w:t>
      </w:r>
    </w:p>
    <w:p w14:paraId="23DF66C1" w14:textId="68123085" w:rsidR="00E20AED" w:rsidRPr="00B40544" w:rsidRDefault="00E20AED" w:rsidP="00816E95">
      <w:pPr>
        <w:pStyle w:val="ListBullet"/>
      </w:pPr>
      <w:r w:rsidRPr="00B44051">
        <w:rPr>
          <w:u w:val="single"/>
        </w:rPr>
        <w:t>P</w:t>
      </w:r>
      <w:r w:rsidR="00855899" w:rsidRPr="00B44051">
        <w:rPr>
          <w:u w:val="single"/>
        </w:rPr>
        <w:t>rimary shopping area</w:t>
      </w:r>
      <w:r w:rsidR="00787D24" w:rsidRPr="00B44051">
        <w:rPr>
          <w:u w:val="single"/>
        </w:rPr>
        <w:t xml:space="preserve"> (Appendix </w:t>
      </w:r>
      <w:r w:rsidR="004D40DB" w:rsidRPr="00B44051">
        <w:rPr>
          <w:u w:val="single"/>
        </w:rPr>
        <w:t>VII</w:t>
      </w:r>
      <w:r w:rsidR="00787D24" w:rsidRPr="00B44051">
        <w:rPr>
          <w:u w:val="single"/>
        </w:rPr>
        <w:t>)</w:t>
      </w:r>
      <w:r w:rsidRPr="00B44051">
        <w:rPr>
          <w:u w:val="single"/>
        </w:rPr>
        <w:t>.</w:t>
      </w:r>
      <w:r w:rsidR="00787D24" w:rsidRPr="00B40544">
        <w:t xml:space="preserve">  The defined </w:t>
      </w:r>
      <w:r w:rsidR="008115DA" w:rsidRPr="00B40544">
        <w:t>primary shopping area covers around half of area of the (wider) town centre boundary and covers the western part of Torbay Road (and the Victoria shopping centre), Victoria Street, the Crossways shopping centre, along with the immediate area around the junction of Torquay Road and Palace Avenue.</w:t>
      </w:r>
    </w:p>
    <w:p w14:paraId="7FB72A64" w14:textId="1CDC40A0" w:rsidR="00E20AED" w:rsidRPr="00B40544" w:rsidRDefault="00E20AED" w:rsidP="00816E95">
      <w:pPr>
        <w:pStyle w:val="ListBullet"/>
      </w:pPr>
      <w:r w:rsidRPr="00B44051">
        <w:rPr>
          <w:u w:val="single"/>
        </w:rPr>
        <w:lastRenderedPageBreak/>
        <w:t xml:space="preserve">Primary </w:t>
      </w:r>
      <w:r w:rsidR="008115DA" w:rsidRPr="00B44051">
        <w:rPr>
          <w:u w:val="single"/>
        </w:rPr>
        <w:t>shopping</w:t>
      </w:r>
      <w:r w:rsidRPr="00B44051">
        <w:rPr>
          <w:u w:val="single"/>
        </w:rPr>
        <w:t xml:space="preserve"> frontage</w:t>
      </w:r>
      <w:r w:rsidR="00453932" w:rsidRPr="00B44051">
        <w:rPr>
          <w:u w:val="single"/>
        </w:rPr>
        <w:t xml:space="preserve"> (Appendix </w:t>
      </w:r>
      <w:r w:rsidR="00516D6A" w:rsidRPr="00B44051">
        <w:rPr>
          <w:u w:val="single"/>
        </w:rPr>
        <w:t>I</w:t>
      </w:r>
      <w:r w:rsidR="00453932" w:rsidRPr="00B44051">
        <w:rPr>
          <w:u w:val="single"/>
        </w:rPr>
        <w:t>X)</w:t>
      </w:r>
      <w:r w:rsidRPr="00B44051">
        <w:rPr>
          <w:u w:val="single"/>
        </w:rPr>
        <w:t>.</w:t>
      </w:r>
      <w:r w:rsidR="008115DA" w:rsidRPr="00B40544">
        <w:t xml:space="preserve">  The defined primary shopping frontages in Paignton town centre are </w:t>
      </w:r>
      <w:r w:rsidR="00453932" w:rsidRPr="00B40544">
        <w:t>confined to either side of Victoria Street.</w:t>
      </w:r>
      <w:r w:rsidR="008115DA" w:rsidRPr="00B40544">
        <w:t xml:space="preserve"> </w:t>
      </w:r>
    </w:p>
    <w:p w14:paraId="71E61F4C" w14:textId="48A7F997" w:rsidR="00E20AED" w:rsidRPr="00B40544" w:rsidRDefault="00E20AED" w:rsidP="00816E95">
      <w:pPr>
        <w:pStyle w:val="ListBullet"/>
      </w:pPr>
      <w:r w:rsidRPr="00B44051">
        <w:rPr>
          <w:u w:val="single"/>
        </w:rPr>
        <w:t xml:space="preserve">Secondary </w:t>
      </w:r>
      <w:r w:rsidR="008115DA" w:rsidRPr="00B44051">
        <w:rPr>
          <w:u w:val="single"/>
        </w:rPr>
        <w:t>shopping</w:t>
      </w:r>
      <w:r w:rsidRPr="00B44051">
        <w:rPr>
          <w:u w:val="single"/>
        </w:rPr>
        <w:t xml:space="preserve"> frontage</w:t>
      </w:r>
      <w:r w:rsidR="00453932" w:rsidRPr="00B44051">
        <w:rPr>
          <w:u w:val="single"/>
        </w:rPr>
        <w:t xml:space="preserve"> (Appendix </w:t>
      </w:r>
      <w:r w:rsidR="00516D6A" w:rsidRPr="00B44051">
        <w:rPr>
          <w:u w:val="single"/>
        </w:rPr>
        <w:t>I</w:t>
      </w:r>
      <w:r w:rsidR="00453932" w:rsidRPr="00B44051">
        <w:rPr>
          <w:u w:val="single"/>
        </w:rPr>
        <w:t>X)</w:t>
      </w:r>
      <w:r w:rsidRPr="00B44051">
        <w:rPr>
          <w:u w:val="single"/>
        </w:rPr>
        <w:t>.</w:t>
      </w:r>
      <w:r w:rsidR="00453932" w:rsidRPr="00B40544">
        <w:t xml:space="preserve">  </w:t>
      </w:r>
      <w:r w:rsidR="00FF0D61" w:rsidRPr="00B40544">
        <w:t xml:space="preserve">The defined secondary shopping frontages </w:t>
      </w:r>
      <w:r w:rsidR="005B7918" w:rsidRPr="00B40544">
        <w:t>generally cover the remainder of the defined town centre boundary which is not covered by the primary shopping frontage designation.</w:t>
      </w:r>
    </w:p>
    <w:p w14:paraId="65389F28" w14:textId="50EE5B04" w:rsidR="00AA3AC1" w:rsidRDefault="005B7918" w:rsidP="00742C35">
      <w:pPr>
        <w:pStyle w:val="Level1"/>
      </w:pPr>
      <w:r w:rsidRPr="00816E95">
        <w:t xml:space="preserve">Like </w:t>
      </w:r>
      <w:r w:rsidR="00816E95">
        <w:t xml:space="preserve">Torquay town centre, the land use profile of Paignton town centre has been assessed based upon data from the Council’s Retail Monitor </w:t>
      </w:r>
      <w:proofErr w:type="gramStart"/>
      <w:r w:rsidR="00816E95">
        <w:t>and also</w:t>
      </w:r>
      <w:proofErr w:type="gramEnd"/>
      <w:r w:rsidR="00816E95">
        <w:t xml:space="preserve"> Experian GOAD data.  Table 4.7</w:t>
      </w:r>
      <w:r w:rsidR="00941434">
        <w:t xml:space="preserve"> </w:t>
      </w:r>
      <w:r w:rsidR="0008448B">
        <w:t xml:space="preserve">below outlines </w:t>
      </w:r>
      <w:r w:rsidR="00AA3AC1">
        <w:t>a summary of this data.</w:t>
      </w:r>
    </w:p>
    <w:p w14:paraId="78DC1006" w14:textId="596A4232" w:rsidR="0008448B" w:rsidRPr="00B75C59" w:rsidRDefault="0008448B" w:rsidP="0008448B">
      <w:pPr>
        <w:pStyle w:val="Level1"/>
        <w:numPr>
          <w:ilvl w:val="0"/>
          <w:numId w:val="0"/>
        </w:numPr>
        <w:spacing w:after="120" w:line="240" w:lineRule="auto"/>
        <w:ind w:left="720"/>
        <w:jc w:val="both"/>
        <w:rPr>
          <w:rStyle w:val="Emphasis"/>
          <w:sz w:val="18"/>
          <w:szCs w:val="18"/>
        </w:rPr>
      </w:pPr>
      <w:r>
        <w:rPr>
          <w:rStyle w:val="Emphasis"/>
          <w:sz w:val="18"/>
          <w:szCs w:val="18"/>
        </w:rPr>
        <w:t>Table 4.7: Paignton town centre land use profile – Torbay Council 2021 Retail Monitor Data</w:t>
      </w:r>
    </w:p>
    <w:tbl>
      <w:tblPr>
        <w:tblStyle w:val="CustomTable2"/>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501"/>
        <w:gridCol w:w="2268"/>
      </w:tblGrid>
      <w:tr w:rsidR="0008448B" w:rsidRPr="00B75C59" w14:paraId="2E802357" w14:textId="77777777" w:rsidTr="00863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E8E9E7" w:themeFill="background2" w:themeFillTint="66"/>
          </w:tcPr>
          <w:p w14:paraId="2D5FA9CC" w14:textId="77777777" w:rsidR="0008448B" w:rsidRPr="00B75C59" w:rsidRDefault="0008448B" w:rsidP="008630CB">
            <w:pPr>
              <w:pStyle w:val="Level1"/>
              <w:numPr>
                <w:ilvl w:val="0"/>
                <w:numId w:val="0"/>
              </w:numPr>
              <w:spacing w:before="0" w:after="0" w:line="240" w:lineRule="auto"/>
              <w:jc w:val="both"/>
              <w:rPr>
                <w:color w:val="auto"/>
                <w:sz w:val="18"/>
                <w:szCs w:val="18"/>
              </w:rPr>
            </w:pPr>
            <w:r w:rsidRPr="00B75C59">
              <w:rPr>
                <w:color w:val="auto"/>
                <w:sz w:val="18"/>
                <w:szCs w:val="18"/>
              </w:rPr>
              <w:t>Sector</w:t>
            </w:r>
          </w:p>
        </w:tc>
        <w:tc>
          <w:tcPr>
            <w:tcW w:w="2501" w:type="dxa"/>
            <w:shd w:val="clear" w:color="auto" w:fill="E8E9E7" w:themeFill="background2" w:themeFillTint="66"/>
          </w:tcPr>
          <w:p w14:paraId="4A01B513" w14:textId="77777777" w:rsidR="0008448B" w:rsidRPr="00B75C59" w:rsidRDefault="0008448B" w:rsidP="008630CB">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B75C59">
              <w:rPr>
                <w:color w:val="auto"/>
                <w:sz w:val="18"/>
                <w:szCs w:val="18"/>
              </w:rPr>
              <w:t>No. of Units</w:t>
            </w:r>
          </w:p>
        </w:tc>
        <w:tc>
          <w:tcPr>
            <w:tcW w:w="2268" w:type="dxa"/>
            <w:shd w:val="clear" w:color="auto" w:fill="E8E9E7" w:themeFill="background2" w:themeFillTint="66"/>
          </w:tcPr>
          <w:p w14:paraId="3E8C7C0F" w14:textId="77777777" w:rsidR="0008448B" w:rsidRPr="00B75C59" w:rsidRDefault="0008448B" w:rsidP="008630CB">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B75C59">
              <w:rPr>
                <w:color w:val="auto"/>
                <w:sz w:val="18"/>
                <w:szCs w:val="18"/>
              </w:rPr>
              <w:t xml:space="preserve">% </w:t>
            </w:r>
            <w:proofErr w:type="gramStart"/>
            <w:r w:rsidRPr="00B75C59">
              <w:rPr>
                <w:color w:val="auto"/>
                <w:sz w:val="18"/>
                <w:szCs w:val="18"/>
              </w:rPr>
              <w:t>of</w:t>
            </w:r>
            <w:proofErr w:type="gramEnd"/>
            <w:r w:rsidRPr="00B75C59">
              <w:rPr>
                <w:color w:val="auto"/>
                <w:sz w:val="18"/>
                <w:szCs w:val="18"/>
              </w:rPr>
              <w:t xml:space="preserve"> Total Surveyed Units</w:t>
            </w:r>
          </w:p>
        </w:tc>
      </w:tr>
      <w:tr w:rsidR="0008448B" w:rsidRPr="00B75C59" w14:paraId="37DDA685" w14:textId="77777777" w:rsidTr="008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04D89CEC" w14:textId="77777777" w:rsidR="0008448B" w:rsidRPr="00B75C59" w:rsidRDefault="0008448B" w:rsidP="008630CB">
            <w:pPr>
              <w:pStyle w:val="Level1"/>
              <w:numPr>
                <w:ilvl w:val="0"/>
                <w:numId w:val="0"/>
              </w:numPr>
              <w:spacing w:before="0" w:after="0" w:line="240" w:lineRule="auto"/>
              <w:jc w:val="both"/>
              <w:rPr>
                <w:bCs/>
                <w:color w:val="auto"/>
                <w:sz w:val="18"/>
                <w:szCs w:val="18"/>
              </w:rPr>
            </w:pPr>
            <w:r>
              <w:rPr>
                <w:bCs/>
                <w:color w:val="auto"/>
                <w:sz w:val="18"/>
                <w:szCs w:val="18"/>
              </w:rPr>
              <w:t>Convenience</w:t>
            </w:r>
          </w:p>
        </w:tc>
        <w:tc>
          <w:tcPr>
            <w:tcW w:w="2501" w:type="dxa"/>
            <w:shd w:val="clear" w:color="auto" w:fill="auto"/>
          </w:tcPr>
          <w:p w14:paraId="0508B4D2" w14:textId="5654FF8E" w:rsidR="0008448B" w:rsidRPr="00FD1342" w:rsidRDefault="00FD134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FD1342">
              <w:rPr>
                <w:bCs/>
                <w:color w:val="auto"/>
                <w:sz w:val="18"/>
                <w:szCs w:val="18"/>
              </w:rPr>
              <w:t>3</w:t>
            </w:r>
            <w:r w:rsidRPr="00FD1342">
              <w:rPr>
                <w:bCs/>
                <w:sz w:val="18"/>
                <w:szCs w:val="18"/>
              </w:rPr>
              <w:t>0</w:t>
            </w:r>
          </w:p>
        </w:tc>
        <w:tc>
          <w:tcPr>
            <w:tcW w:w="2268" w:type="dxa"/>
            <w:shd w:val="clear" w:color="auto" w:fill="auto"/>
          </w:tcPr>
          <w:p w14:paraId="3A0DA0C6" w14:textId="580BD9D2" w:rsidR="0008448B" w:rsidRPr="00FD1342" w:rsidRDefault="00FD134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FD1342">
              <w:rPr>
                <w:bCs/>
                <w:color w:val="auto"/>
                <w:sz w:val="18"/>
                <w:szCs w:val="18"/>
              </w:rPr>
              <w:t>9.2%</w:t>
            </w:r>
          </w:p>
        </w:tc>
      </w:tr>
      <w:tr w:rsidR="0008448B" w:rsidRPr="00B75C59" w14:paraId="3F635138" w14:textId="77777777" w:rsidTr="0086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4D4A06F2" w14:textId="77777777" w:rsidR="0008448B" w:rsidRPr="00B75C59" w:rsidRDefault="0008448B" w:rsidP="008630CB">
            <w:pPr>
              <w:pStyle w:val="Level1"/>
              <w:numPr>
                <w:ilvl w:val="0"/>
                <w:numId w:val="0"/>
              </w:numPr>
              <w:spacing w:before="0" w:after="0" w:line="240" w:lineRule="auto"/>
              <w:jc w:val="both"/>
              <w:rPr>
                <w:bCs/>
                <w:color w:val="auto"/>
                <w:sz w:val="18"/>
                <w:szCs w:val="18"/>
              </w:rPr>
            </w:pPr>
            <w:r>
              <w:rPr>
                <w:bCs/>
                <w:color w:val="auto"/>
                <w:sz w:val="18"/>
                <w:szCs w:val="18"/>
              </w:rPr>
              <w:t>Comparison</w:t>
            </w:r>
          </w:p>
        </w:tc>
        <w:tc>
          <w:tcPr>
            <w:tcW w:w="2501" w:type="dxa"/>
            <w:shd w:val="clear" w:color="auto" w:fill="auto"/>
          </w:tcPr>
          <w:p w14:paraId="2BF94875" w14:textId="45C2B031" w:rsidR="0008448B" w:rsidRPr="00FD1342" w:rsidRDefault="00FD1342" w:rsidP="008630CB">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FD1342">
              <w:rPr>
                <w:bCs/>
                <w:color w:val="auto"/>
                <w:sz w:val="18"/>
                <w:szCs w:val="18"/>
              </w:rPr>
              <w:t>9</w:t>
            </w:r>
            <w:r w:rsidRPr="00FD1342">
              <w:rPr>
                <w:bCs/>
                <w:sz w:val="18"/>
                <w:szCs w:val="18"/>
              </w:rPr>
              <w:t>7</w:t>
            </w:r>
          </w:p>
        </w:tc>
        <w:tc>
          <w:tcPr>
            <w:tcW w:w="2268" w:type="dxa"/>
            <w:shd w:val="clear" w:color="auto" w:fill="auto"/>
          </w:tcPr>
          <w:p w14:paraId="155D827A" w14:textId="0DAE26EB" w:rsidR="0008448B" w:rsidRPr="00FD1342" w:rsidRDefault="00FD1342" w:rsidP="008630CB">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FD1342">
              <w:rPr>
                <w:bCs/>
                <w:color w:val="auto"/>
                <w:sz w:val="18"/>
                <w:szCs w:val="18"/>
              </w:rPr>
              <w:t>29.7%</w:t>
            </w:r>
          </w:p>
        </w:tc>
      </w:tr>
      <w:tr w:rsidR="0008448B" w:rsidRPr="00B75C59" w14:paraId="046C374D" w14:textId="77777777" w:rsidTr="008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602FB572" w14:textId="77777777" w:rsidR="0008448B" w:rsidRPr="00B75C59" w:rsidRDefault="0008448B" w:rsidP="008630CB">
            <w:pPr>
              <w:pStyle w:val="Level1"/>
              <w:numPr>
                <w:ilvl w:val="0"/>
                <w:numId w:val="0"/>
              </w:numPr>
              <w:spacing w:before="0" w:after="0" w:line="240" w:lineRule="auto"/>
              <w:jc w:val="both"/>
              <w:rPr>
                <w:bCs/>
                <w:color w:val="auto"/>
                <w:sz w:val="18"/>
                <w:szCs w:val="18"/>
              </w:rPr>
            </w:pPr>
            <w:r>
              <w:rPr>
                <w:bCs/>
                <w:color w:val="auto"/>
                <w:sz w:val="18"/>
                <w:szCs w:val="18"/>
              </w:rPr>
              <w:t>Service</w:t>
            </w:r>
          </w:p>
        </w:tc>
        <w:tc>
          <w:tcPr>
            <w:tcW w:w="2501" w:type="dxa"/>
            <w:shd w:val="clear" w:color="auto" w:fill="auto"/>
          </w:tcPr>
          <w:p w14:paraId="2150CA08" w14:textId="42BACF41" w:rsidR="0008448B" w:rsidRPr="00FD1342" w:rsidRDefault="00FD134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FD1342">
              <w:rPr>
                <w:bCs/>
                <w:color w:val="auto"/>
                <w:sz w:val="18"/>
                <w:szCs w:val="18"/>
              </w:rPr>
              <w:t>1</w:t>
            </w:r>
            <w:r w:rsidRPr="00FD1342">
              <w:rPr>
                <w:bCs/>
                <w:sz w:val="18"/>
                <w:szCs w:val="18"/>
              </w:rPr>
              <w:t>15</w:t>
            </w:r>
          </w:p>
        </w:tc>
        <w:tc>
          <w:tcPr>
            <w:tcW w:w="2268" w:type="dxa"/>
            <w:shd w:val="clear" w:color="auto" w:fill="auto"/>
          </w:tcPr>
          <w:p w14:paraId="336352CC" w14:textId="71F562A9" w:rsidR="0008448B" w:rsidRPr="00FD1342" w:rsidRDefault="00FD134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FD1342">
              <w:rPr>
                <w:bCs/>
                <w:color w:val="auto"/>
                <w:sz w:val="18"/>
                <w:szCs w:val="18"/>
              </w:rPr>
              <w:t>35.2%</w:t>
            </w:r>
          </w:p>
        </w:tc>
      </w:tr>
      <w:tr w:rsidR="0008448B" w:rsidRPr="00B75C59" w14:paraId="3D9043E0" w14:textId="77777777" w:rsidTr="0086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46923A9F" w14:textId="77777777" w:rsidR="0008448B" w:rsidRPr="00B75C59" w:rsidRDefault="0008448B" w:rsidP="008630CB">
            <w:pPr>
              <w:pStyle w:val="Level1"/>
              <w:numPr>
                <w:ilvl w:val="0"/>
                <w:numId w:val="0"/>
              </w:numPr>
              <w:spacing w:before="0" w:after="0" w:line="240" w:lineRule="auto"/>
              <w:jc w:val="both"/>
              <w:rPr>
                <w:bCs/>
                <w:color w:val="auto"/>
                <w:sz w:val="18"/>
                <w:szCs w:val="18"/>
              </w:rPr>
            </w:pPr>
            <w:r>
              <w:rPr>
                <w:bCs/>
                <w:color w:val="auto"/>
                <w:sz w:val="18"/>
                <w:szCs w:val="18"/>
              </w:rPr>
              <w:t>Other</w:t>
            </w:r>
          </w:p>
        </w:tc>
        <w:tc>
          <w:tcPr>
            <w:tcW w:w="2501" w:type="dxa"/>
            <w:shd w:val="clear" w:color="auto" w:fill="auto"/>
          </w:tcPr>
          <w:p w14:paraId="72DFC1B2" w14:textId="13ADD40C" w:rsidR="0008448B" w:rsidRPr="00FD1342" w:rsidRDefault="00FD1342" w:rsidP="008630CB">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FD1342">
              <w:rPr>
                <w:bCs/>
                <w:color w:val="auto"/>
                <w:sz w:val="18"/>
                <w:szCs w:val="18"/>
              </w:rPr>
              <w:t>1</w:t>
            </w:r>
          </w:p>
        </w:tc>
        <w:tc>
          <w:tcPr>
            <w:tcW w:w="2268" w:type="dxa"/>
            <w:shd w:val="clear" w:color="auto" w:fill="auto"/>
          </w:tcPr>
          <w:p w14:paraId="0D16C500" w14:textId="59BBE1F0" w:rsidR="0008448B" w:rsidRPr="00FD1342" w:rsidRDefault="00FD1342" w:rsidP="008630CB">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FD1342">
              <w:rPr>
                <w:bCs/>
                <w:color w:val="auto"/>
                <w:sz w:val="18"/>
                <w:szCs w:val="18"/>
              </w:rPr>
              <w:t>0.3%</w:t>
            </w:r>
          </w:p>
        </w:tc>
      </w:tr>
      <w:tr w:rsidR="0008448B" w:rsidRPr="00B75C59" w14:paraId="75E29158" w14:textId="77777777" w:rsidTr="008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6288CF06" w14:textId="77777777" w:rsidR="0008448B" w:rsidRPr="00B75C59" w:rsidRDefault="0008448B" w:rsidP="008630CB">
            <w:pPr>
              <w:pStyle w:val="Level1"/>
              <w:numPr>
                <w:ilvl w:val="0"/>
                <w:numId w:val="0"/>
              </w:numPr>
              <w:spacing w:before="0" w:after="0" w:line="240" w:lineRule="auto"/>
              <w:jc w:val="both"/>
              <w:rPr>
                <w:bCs/>
                <w:color w:val="auto"/>
                <w:sz w:val="18"/>
                <w:szCs w:val="18"/>
              </w:rPr>
            </w:pPr>
            <w:r>
              <w:rPr>
                <w:bCs/>
                <w:color w:val="auto"/>
                <w:sz w:val="18"/>
                <w:szCs w:val="18"/>
              </w:rPr>
              <w:t>Vacant</w:t>
            </w:r>
          </w:p>
        </w:tc>
        <w:tc>
          <w:tcPr>
            <w:tcW w:w="2501" w:type="dxa"/>
            <w:shd w:val="clear" w:color="auto" w:fill="auto"/>
          </w:tcPr>
          <w:p w14:paraId="357B138A" w14:textId="0B8117F6" w:rsidR="0008448B" w:rsidRPr="00FD1342" w:rsidRDefault="00FD134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FD1342">
              <w:rPr>
                <w:bCs/>
                <w:color w:val="auto"/>
                <w:sz w:val="18"/>
                <w:szCs w:val="18"/>
              </w:rPr>
              <w:t>8</w:t>
            </w:r>
            <w:r w:rsidRPr="00FD1342">
              <w:rPr>
                <w:bCs/>
                <w:sz w:val="18"/>
                <w:szCs w:val="18"/>
              </w:rPr>
              <w:t>4</w:t>
            </w:r>
          </w:p>
        </w:tc>
        <w:tc>
          <w:tcPr>
            <w:tcW w:w="2268" w:type="dxa"/>
            <w:shd w:val="clear" w:color="auto" w:fill="auto"/>
          </w:tcPr>
          <w:p w14:paraId="4DA9605C" w14:textId="06707E18" w:rsidR="0008448B" w:rsidRPr="00FD1342" w:rsidRDefault="00FD134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FD1342">
              <w:rPr>
                <w:bCs/>
                <w:color w:val="auto"/>
                <w:sz w:val="18"/>
                <w:szCs w:val="18"/>
              </w:rPr>
              <w:t>25.7%</w:t>
            </w:r>
          </w:p>
        </w:tc>
      </w:tr>
      <w:tr w:rsidR="0008448B" w:rsidRPr="00B75C59" w14:paraId="0D9C6A8E" w14:textId="77777777" w:rsidTr="0086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0FEEDAB4" w14:textId="77777777" w:rsidR="0008448B" w:rsidRPr="00B75C59" w:rsidRDefault="0008448B" w:rsidP="008630CB">
            <w:pPr>
              <w:pStyle w:val="Level1"/>
              <w:numPr>
                <w:ilvl w:val="0"/>
                <w:numId w:val="0"/>
              </w:numPr>
              <w:spacing w:before="0" w:after="0" w:line="240" w:lineRule="auto"/>
              <w:jc w:val="both"/>
              <w:rPr>
                <w:bCs/>
                <w:color w:val="auto"/>
                <w:sz w:val="18"/>
                <w:szCs w:val="18"/>
              </w:rPr>
            </w:pPr>
            <w:r>
              <w:rPr>
                <w:bCs/>
                <w:color w:val="auto"/>
                <w:sz w:val="18"/>
                <w:szCs w:val="18"/>
              </w:rPr>
              <w:t>Total</w:t>
            </w:r>
          </w:p>
        </w:tc>
        <w:tc>
          <w:tcPr>
            <w:tcW w:w="2501" w:type="dxa"/>
            <w:shd w:val="clear" w:color="auto" w:fill="auto"/>
          </w:tcPr>
          <w:p w14:paraId="5948D713" w14:textId="5CC8751E" w:rsidR="0008448B" w:rsidRPr="00FD1342" w:rsidRDefault="00FD1342" w:rsidP="008630CB">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FD1342">
              <w:rPr>
                <w:bCs/>
                <w:color w:val="auto"/>
                <w:sz w:val="18"/>
                <w:szCs w:val="18"/>
              </w:rPr>
              <w:t>3</w:t>
            </w:r>
            <w:r w:rsidRPr="00FD1342">
              <w:rPr>
                <w:bCs/>
                <w:sz w:val="18"/>
                <w:szCs w:val="18"/>
              </w:rPr>
              <w:t>27</w:t>
            </w:r>
          </w:p>
        </w:tc>
        <w:tc>
          <w:tcPr>
            <w:tcW w:w="2268" w:type="dxa"/>
            <w:shd w:val="clear" w:color="auto" w:fill="auto"/>
          </w:tcPr>
          <w:p w14:paraId="5A6FC9C5" w14:textId="783F7E22" w:rsidR="0008448B" w:rsidRPr="00FD1342" w:rsidRDefault="00FD1342" w:rsidP="008630CB">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FD1342">
              <w:rPr>
                <w:bCs/>
                <w:color w:val="auto"/>
                <w:sz w:val="18"/>
                <w:szCs w:val="18"/>
              </w:rPr>
              <w:t>100%</w:t>
            </w:r>
          </w:p>
        </w:tc>
      </w:tr>
    </w:tbl>
    <w:p w14:paraId="44B070D9" w14:textId="77777777" w:rsidR="0008448B" w:rsidRPr="00B75C59" w:rsidRDefault="0008448B" w:rsidP="0008448B">
      <w:pPr>
        <w:pStyle w:val="Level1"/>
        <w:numPr>
          <w:ilvl w:val="0"/>
          <w:numId w:val="0"/>
        </w:numPr>
        <w:ind w:left="720"/>
        <w:jc w:val="both"/>
        <w:rPr>
          <w:sz w:val="16"/>
          <w:szCs w:val="16"/>
        </w:rPr>
      </w:pPr>
      <w:r>
        <w:rPr>
          <w:sz w:val="16"/>
          <w:szCs w:val="16"/>
        </w:rPr>
        <w:t>Source: Torbay Council Retail Monitor 2021</w:t>
      </w:r>
    </w:p>
    <w:p w14:paraId="3812BE73" w14:textId="0FAF2980" w:rsidR="00FD1342" w:rsidRDefault="004A5BC0" w:rsidP="004E3AE6">
      <w:pPr>
        <w:pStyle w:val="Level1"/>
      </w:pPr>
      <w:r>
        <w:t>The above data indicates that, of the units surveyed and classified for the purpose of this analysis, just over one third</w:t>
      </w:r>
      <w:r w:rsidR="007E5170">
        <w:t xml:space="preserve"> (35%) are occupied by retail service uses.  A slightly lower proportion </w:t>
      </w:r>
      <w:r w:rsidR="001323B4">
        <w:t xml:space="preserve">(circa 30%) </w:t>
      </w:r>
      <w:r w:rsidR="00B916BB">
        <w:t>of units are occupied by comparison goods retailers</w:t>
      </w:r>
      <w:r w:rsidR="00E24B85">
        <w:t>.  Convenience goods retailers occupy around 9% of all surveyed units, whilst a quarter of units were vacant at the time of the survey.</w:t>
      </w:r>
      <w:r w:rsidR="004F47E2">
        <w:t xml:space="preserve">  </w:t>
      </w:r>
      <w:r w:rsidR="00E24B85">
        <w:t>It will be noted that there has been a significant fall in the number of units classified in the (Retail Monitor) analysis between 2013 and 2021.  The reasons for this are not entirely clear although the main differences related to falls in the number of comparison goods and retail service units and an increase in the number of vacant retail units.</w:t>
      </w:r>
    </w:p>
    <w:p w14:paraId="66A28683" w14:textId="5A979C66" w:rsidR="004F47E2" w:rsidRDefault="004F47E2" w:rsidP="00742C35">
      <w:pPr>
        <w:pStyle w:val="Level1"/>
      </w:pPr>
      <w:r>
        <w:t xml:space="preserve">Turning to the Experian GOAD land use data, Table 4.8 below </w:t>
      </w:r>
      <w:r w:rsidRPr="007910D0">
        <w:t xml:space="preserve">provides the </w:t>
      </w:r>
      <w:r w:rsidRPr="00B44051">
        <w:t>latest (November 2021)</w:t>
      </w:r>
      <w:r w:rsidRPr="007910D0">
        <w:t xml:space="preserve"> survey data and places it alongside data quoted in the previous 2013 retail study (for the years</w:t>
      </w:r>
      <w:r>
        <w:t xml:space="preserve"> 2006, 2009 and 2013).  The contents of Table 4.8 show</w:t>
      </w:r>
      <w:r w:rsidR="0022797C">
        <w:t xml:space="preserve"> a small decline in the number of classified units, now at its lowest level (by a small margin) since 2006.  The number of identified vacancies within the town centre is lower that the TC Retail Monitor data, although the proportion of vacancies (17%) is above the national average for town centre vacancy levels (15%).</w:t>
      </w:r>
    </w:p>
    <w:p w14:paraId="040F4F46" w14:textId="7D5C9BE2" w:rsidR="004F47E2" w:rsidRPr="00995B93" w:rsidRDefault="004F47E2" w:rsidP="004F47E2">
      <w:pPr>
        <w:pStyle w:val="Level1"/>
        <w:numPr>
          <w:ilvl w:val="0"/>
          <w:numId w:val="0"/>
        </w:numPr>
        <w:spacing w:after="120" w:line="240" w:lineRule="auto"/>
        <w:ind w:left="720"/>
        <w:jc w:val="both"/>
        <w:rPr>
          <w:rStyle w:val="Emphasis"/>
          <w:sz w:val="18"/>
          <w:szCs w:val="18"/>
        </w:rPr>
      </w:pPr>
      <w:r w:rsidRPr="00995B93">
        <w:rPr>
          <w:rStyle w:val="Emphasis"/>
          <w:sz w:val="18"/>
          <w:szCs w:val="18"/>
        </w:rPr>
        <w:t>Table 4.</w:t>
      </w:r>
      <w:r>
        <w:rPr>
          <w:rStyle w:val="Emphasis"/>
          <w:sz w:val="18"/>
          <w:szCs w:val="18"/>
        </w:rPr>
        <w:t>8</w:t>
      </w:r>
      <w:r w:rsidRPr="00995B93">
        <w:rPr>
          <w:rStyle w:val="Emphasis"/>
          <w:sz w:val="18"/>
          <w:szCs w:val="18"/>
        </w:rPr>
        <w:t xml:space="preserve">: </w:t>
      </w:r>
      <w:r>
        <w:rPr>
          <w:rStyle w:val="Emphasis"/>
          <w:sz w:val="18"/>
          <w:szCs w:val="18"/>
        </w:rPr>
        <w:t xml:space="preserve">Paignton </w:t>
      </w:r>
      <w:r w:rsidRPr="00995B93">
        <w:rPr>
          <w:rStyle w:val="Emphasis"/>
          <w:sz w:val="18"/>
          <w:szCs w:val="18"/>
        </w:rPr>
        <w:t xml:space="preserve">town centre land use profile – </w:t>
      </w:r>
      <w:r>
        <w:rPr>
          <w:rStyle w:val="Emphasis"/>
          <w:sz w:val="18"/>
          <w:szCs w:val="18"/>
        </w:rPr>
        <w:t>Experian GOAD data</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67"/>
        <w:gridCol w:w="567"/>
        <w:gridCol w:w="709"/>
        <w:gridCol w:w="567"/>
        <w:gridCol w:w="567"/>
        <w:gridCol w:w="567"/>
        <w:gridCol w:w="567"/>
        <w:gridCol w:w="567"/>
        <w:gridCol w:w="708"/>
        <w:gridCol w:w="567"/>
        <w:gridCol w:w="567"/>
        <w:gridCol w:w="709"/>
      </w:tblGrid>
      <w:tr w:rsidR="004F47E2" w:rsidRPr="0068660F" w14:paraId="5D0C81FD" w14:textId="77777777" w:rsidTr="008630CB">
        <w:trPr>
          <w:cantSplit/>
        </w:trPr>
        <w:tc>
          <w:tcPr>
            <w:tcW w:w="1418" w:type="dxa"/>
            <w:shd w:val="pct12" w:color="auto" w:fill="FFFFFF"/>
          </w:tcPr>
          <w:p w14:paraId="5A60D152" w14:textId="77777777" w:rsidR="004F47E2" w:rsidRPr="0068660F" w:rsidRDefault="004F47E2" w:rsidP="008630CB">
            <w:pPr>
              <w:spacing w:line="360" w:lineRule="auto"/>
              <w:ind w:left="60" w:hanging="60"/>
              <w:rPr>
                <w:rFonts w:ascii="Century Gothic" w:hAnsi="Century Gothic"/>
                <w:b/>
                <w:sz w:val="16"/>
                <w:szCs w:val="16"/>
              </w:rPr>
            </w:pPr>
            <w:r w:rsidRPr="00FE04A8">
              <w:rPr>
                <w:rFonts w:ascii="Century Gothic" w:hAnsi="Century Gothic"/>
                <w:sz w:val="16"/>
                <w:szCs w:val="16"/>
              </w:rPr>
              <w:tab/>
            </w:r>
            <w:r w:rsidRPr="0068660F">
              <w:rPr>
                <w:rFonts w:ascii="Century Gothic" w:hAnsi="Century Gothic"/>
                <w:b/>
                <w:sz w:val="16"/>
                <w:szCs w:val="16"/>
              </w:rPr>
              <w:t>Sector</w:t>
            </w:r>
          </w:p>
        </w:tc>
        <w:tc>
          <w:tcPr>
            <w:tcW w:w="1843" w:type="dxa"/>
            <w:gridSpan w:val="3"/>
            <w:shd w:val="pct12" w:color="auto" w:fill="FFFFFF"/>
          </w:tcPr>
          <w:p w14:paraId="4F4B2D06"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August 2006</w:t>
            </w:r>
          </w:p>
        </w:tc>
        <w:tc>
          <w:tcPr>
            <w:tcW w:w="1701" w:type="dxa"/>
            <w:gridSpan w:val="3"/>
            <w:shd w:val="pct12" w:color="auto" w:fill="FFFFFF"/>
          </w:tcPr>
          <w:p w14:paraId="120B3126" w14:textId="07FBBCF1" w:rsidR="004F47E2" w:rsidRPr="0068660F" w:rsidRDefault="004F47E2" w:rsidP="008630CB">
            <w:pPr>
              <w:spacing w:line="360" w:lineRule="auto"/>
              <w:ind w:left="709" w:hanging="709"/>
              <w:jc w:val="center"/>
              <w:rPr>
                <w:rFonts w:ascii="Century Gothic" w:hAnsi="Century Gothic"/>
                <w:b/>
                <w:sz w:val="16"/>
                <w:szCs w:val="16"/>
              </w:rPr>
            </w:pPr>
            <w:r>
              <w:rPr>
                <w:rFonts w:ascii="Century Gothic" w:hAnsi="Century Gothic"/>
                <w:b/>
                <w:sz w:val="16"/>
                <w:szCs w:val="16"/>
              </w:rPr>
              <w:t>October</w:t>
            </w:r>
            <w:r w:rsidRPr="0068660F">
              <w:rPr>
                <w:rFonts w:ascii="Century Gothic" w:hAnsi="Century Gothic"/>
                <w:b/>
                <w:sz w:val="16"/>
                <w:szCs w:val="16"/>
              </w:rPr>
              <w:t xml:space="preserve"> 20</w:t>
            </w:r>
            <w:r>
              <w:rPr>
                <w:rFonts w:ascii="Century Gothic" w:hAnsi="Century Gothic"/>
                <w:b/>
                <w:sz w:val="16"/>
                <w:szCs w:val="16"/>
              </w:rPr>
              <w:t>09</w:t>
            </w:r>
          </w:p>
        </w:tc>
        <w:tc>
          <w:tcPr>
            <w:tcW w:w="1842" w:type="dxa"/>
            <w:gridSpan w:val="3"/>
            <w:shd w:val="pct12" w:color="auto" w:fill="FFFFFF"/>
          </w:tcPr>
          <w:p w14:paraId="52693CD8" w14:textId="5B656136"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J</w:t>
            </w:r>
            <w:r>
              <w:rPr>
                <w:rFonts w:ascii="Century Gothic" w:hAnsi="Century Gothic"/>
                <w:b/>
                <w:sz w:val="16"/>
                <w:szCs w:val="16"/>
              </w:rPr>
              <w:t>anuary</w:t>
            </w:r>
            <w:r w:rsidRPr="0068660F">
              <w:rPr>
                <w:rFonts w:ascii="Century Gothic" w:hAnsi="Century Gothic"/>
                <w:b/>
                <w:sz w:val="16"/>
                <w:szCs w:val="16"/>
              </w:rPr>
              <w:t xml:space="preserve"> 201</w:t>
            </w:r>
            <w:r>
              <w:rPr>
                <w:rFonts w:ascii="Century Gothic" w:hAnsi="Century Gothic"/>
                <w:b/>
                <w:sz w:val="16"/>
                <w:szCs w:val="16"/>
              </w:rPr>
              <w:t>3</w:t>
            </w:r>
          </w:p>
        </w:tc>
        <w:tc>
          <w:tcPr>
            <w:tcW w:w="1843" w:type="dxa"/>
            <w:gridSpan w:val="3"/>
            <w:shd w:val="pct12" w:color="auto" w:fill="FFFFFF"/>
          </w:tcPr>
          <w:p w14:paraId="2A501398" w14:textId="4683267A" w:rsidR="004F47E2" w:rsidRPr="00B44051" w:rsidRDefault="004F47E2" w:rsidP="008630CB">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November 2021</w:t>
            </w:r>
          </w:p>
        </w:tc>
      </w:tr>
      <w:tr w:rsidR="004F47E2" w:rsidRPr="0068660F" w14:paraId="294DD10D" w14:textId="77777777" w:rsidTr="008630CB">
        <w:tc>
          <w:tcPr>
            <w:tcW w:w="1418" w:type="dxa"/>
            <w:shd w:val="pct12" w:color="auto" w:fill="FFFFFF"/>
          </w:tcPr>
          <w:p w14:paraId="43E3A399" w14:textId="77777777" w:rsidR="004F47E2" w:rsidRPr="0068660F" w:rsidRDefault="004F47E2" w:rsidP="008630CB">
            <w:pPr>
              <w:spacing w:line="360" w:lineRule="auto"/>
              <w:ind w:left="709" w:hanging="709"/>
              <w:jc w:val="both"/>
              <w:rPr>
                <w:rFonts w:ascii="Century Gothic" w:hAnsi="Century Gothic"/>
                <w:b/>
                <w:sz w:val="16"/>
                <w:szCs w:val="16"/>
              </w:rPr>
            </w:pPr>
          </w:p>
        </w:tc>
        <w:tc>
          <w:tcPr>
            <w:tcW w:w="567" w:type="dxa"/>
            <w:shd w:val="pct12" w:color="auto" w:fill="FFFFFF"/>
          </w:tcPr>
          <w:p w14:paraId="0F07F283"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No.</w:t>
            </w:r>
          </w:p>
        </w:tc>
        <w:tc>
          <w:tcPr>
            <w:tcW w:w="567" w:type="dxa"/>
            <w:shd w:val="pct12" w:color="auto" w:fill="FFFFFF"/>
          </w:tcPr>
          <w:p w14:paraId="3EEF3B78"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709" w:type="dxa"/>
            <w:shd w:val="pct12" w:color="auto" w:fill="FFFFFF"/>
          </w:tcPr>
          <w:p w14:paraId="7AC9470D"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GB</w:t>
            </w:r>
          </w:p>
          <w:p w14:paraId="16B7C379"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Ave</w:t>
            </w:r>
          </w:p>
          <w:p w14:paraId="22D2B547"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088120BD"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No</w:t>
            </w:r>
          </w:p>
        </w:tc>
        <w:tc>
          <w:tcPr>
            <w:tcW w:w="567" w:type="dxa"/>
            <w:shd w:val="pct12" w:color="auto" w:fill="FFFFFF"/>
          </w:tcPr>
          <w:p w14:paraId="5CD1B21F"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73AB49B1"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GB</w:t>
            </w:r>
          </w:p>
          <w:p w14:paraId="0D3703DD"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Ave</w:t>
            </w:r>
          </w:p>
          <w:p w14:paraId="129BF2CE"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03BE8130"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No</w:t>
            </w:r>
          </w:p>
        </w:tc>
        <w:tc>
          <w:tcPr>
            <w:tcW w:w="567" w:type="dxa"/>
            <w:shd w:val="pct12" w:color="auto" w:fill="FFFFFF"/>
          </w:tcPr>
          <w:p w14:paraId="3E6EB254"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708" w:type="dxa"/>
            <w:shd w:val="pct12" w:color="auto" w:fill="FFFFFF"/>
          </w:tcPr>
          <w:p w14:paraId="37BC1A95"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GB</w:t>
            </w:r>
          </w:p>
          <w:p w14:paraId="46548658"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Ave</w:t>
            </w:r>
          </w:p>
          <w:p w14:paraId="33B2AAFF" w14:textId="77777777" w:rsidR="004F47E2" w:rsidRPr="0068660F" w:rsidRDefault="004F47E2" w:rsidP="008630C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6856C7FC" w14:textId="77777777" w:rsidR="004F47E2" w:rsidRPr="00B44051" w:rsidRDefault="004F47E2" w:rsidP="008630CB">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No</w:t>
            </w:r>
          </w:p>
        </w:tc>
        <w:tc>
          <w:tcPr>
            <w:tcW w:w="567" w:type="dxa"/>
            <w:shd w:val="pct12" w:color="auto" w:fill="FFFFFF"/>
          </w:tcPr>
          <w:p w14:paraId="6442F619" w14:textId="77777777" w:rsidR="004F47E2" w:rsidRPr="00B44051" w:rsidRDefault="004F47E2" w:rsidP="008630CB">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w:t>
            </w:r>
          </w:p>
        </w:tc>
        <w:tc>
          <w:tcPr>
            <w:tcW w:w="709" w:type="dxa"/>
            <w:shd w:val="pct12" w:color="auto" w:fill="FFFFFF"/>
          </w:tcPr>
          <w:p w14:paraId="77E7F7F8" w14:textId="77777777" w:rsidR="004F47E2" w:rsidRPr="00B44051" w:rsidRDefault="004F47E2" w:rsidP="008630CB">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GB</w:t>
            </w:r>
          </w:p>
          <w:p w14:paraId="1920CB99" w14:textId="77777777" w:rsidR="004F47E2" w:rsidRPr="00B44051" w:rsidRDefault="004F47E2" w:rsidP="008630CB">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Ave</w:t>
            </w:r>
          </w:p>
          <w:p w14:paraId="1A2F72A5" w14:textId="77777777" w:rsidR="004F47E2" w:rsidRPr="00B44051" w:rsidRDefault="004F47E2" w:rsidP="008630CB">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w:t>
            </w:r>
          </w:p>
        </w:tc>
      </w:tr>
      <w:tr w:rsidR="004F47E2" w:rsidRPr="0068660F" w14:paraId="3146B6A3" w14:textId="77777777" w:rsidTr="008630CB">
        <w:tc>
          <w:tcPr>
            <w:tcW w:w="1418" w:type="dxa"/>
          </w:tcPr>
          <w:p w14:paraId="2959A08A" w14:textId="77777777" w:rsidR="004F47E2" w:rsidRPr="0068660F" w:rsidRDefault="004F47E2" w:rsidP="004F47E2">
            <w:pPr>
              <w:spacing w:line="360" w:lineRule="auto"/>
              <w:ind w:left="709" w:hanging="709"/>
              <w:jc w:val="both"/>
              <w:rPr>
                <w:rFonts w:ascii="Century Gothic" w:hAnsi="Century Gothic"/>
                <w:sz w:val="16"/>
                <w:szCs w:val="16"/>
              </w:rPr>
            </w:pPr>
            <w:r w:rsidRPr="0068660F">
              <w:rPr>
                <w:rFonts w:ascii="Century Gothic" w:hAnsi="Century Gothic"/>
                <w:sz w:val="16"/>
                <w:szCs w:val="16"/>
              </w:rPr>
              <w:t>Convenience</w:t>
            </w:r>
          </w:p>
        </w:tc>
        <w:tc>
          <w:tcPr>
            <w:tcW w:w="567" w:type="dxa"/>
          </w:tcPr>
          <w:p w14:paraId="6E70862D" w14:textId="2417B47E"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33</w:t>
            </w:r>
          </w:p>
        </w:tc>
        <w:tc>
          <w:tcPr>
            <w:tcW w:w="567" w:type="dxa"/>
          </w:tcPr>
          <w:p w14:paraId="6DD86774" w14:textId="49A94CDA"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11.0</w:t>
            </w:r>
          </w:p>
        </w:tc>
        <w:tc>
          <w:tcPr>
            <w:tcW w:w="709" w:type="dxa"/>
          </w:tcPr>
          <w:p w14:paraId="2205B7C4" w14:textId="4244749E"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9.2</w:t>
            </w:r>
          </w:p>
        </w:tc>
        <w:tc>
          <w:tcPr>
            <w:tcW w:w="567" w:type="dxa"/>
          </w:tcPr>
          <w:p w14:paraId="50679FF6" w14:textId="7DFF34E7"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31</w:t>
            </w:r>
          </w:p>
        </w:tc>
        <w:tc>
          <w:tcPr>
            <w:tcW w:w="567" w:type="dxa"/>
          </w:tcPr>
          <w:p w14:paraId="32707E54" w14:textId="2D738995"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10.5</w:t>
            </w:r>
          </w:p>
        </w:tc>
        <w:tc>
          <w:tcPr>
            <w:tcW w:w="567" w:type="dxa"/>
          </w:tcPr>
          <w:p w14:paraId="20AB2DD1" w14:textId="6018E192"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9.3</w:t>
            </w:r>
          </w:p>
        </w:tc>
        <w:tc>
          <w:tcPr>
            <w:tcW w:w="567" w:type="dxa"/>
          </w:tcPr>
          <w:p w14:paraId="62096179" w14:textId="4F895ED9"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24</w:t>
            </w:r>
          </w:p>
        </w:tc>
        <w:tc>
          <w:tcPr>
            <w:tcW w:w="567" w:type="dxa"/>
          </w:tcPr>
          <w:p w14:paraId="1CED41CA" w14:textId="37F5D3B7"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8.0</w:t>
            </w:r>
          </w:p>
        </w:tc>
        <w:tc>
          <w:tcPr>
            <w:tcW w:w="708" w:type="dxa"/>
          </w:tcPr>
          <w:p w14:paraId="5501AC43" w14:textId="4B196948" w:rsidR="004F47E2" w:rsidRPr="0068660F" w:rsidRDefault="004F47E2" w:rsidP="004F47E2">
            <w:pPr>
              <w:spacing w:line="360" w:lineRule="auto"/>
              <w:ind w:left="709" w:hanging="709"/>
              <w:jc w:val="center"/>
              <w:rPr>
                <w:rFonts w:ascii="Century Gothic" w:hAnsi="Century Gothic"/>
                <w:sz w:val="16"/>
                <w:szCs w:val="16"/>
              </w:rPr>
            </w:pPr>
            <w:r w:rsidRPr="0068660F">
              <w:rPr>
                <w:rFonts w:ascii="Century Gothic" w:hAnsi="Century Gothic"/>
                <w:sz w:val="16"/>
                <w:szCs w:val="16"/>
              </w:rPr>
              <w:t>8.7</w:t>
            </w:r>
          </w:p>
        </w:tc>
        <w:tc>
          <w:tcPr>
            <w:tcW w:w="567" w:type="dxa"/>
          </w:tcPr>
          <w:p w14:paraId="3C3A63ED" w14:textId="76FEE646"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30</w:t>
            </w:r>
          </w:p>
        </w:tc>
        <w:tc>
          <w:tcPr>
            <w:tcW w:w="567" w:type="dxa"/>
          </w:tcPr>
          <w:p w14:paraId="27184FEB" w14:textId="3CB89006"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10.3</w:t>
            </w:r>
          </w:p>
        </w:tc>
        <w:tc>
          <w:tcPr>
            <w:tcW w:w="709" w:type="dxa"/>
          </w:tcPr>
          <w:p w14:paraId="6ABEB586" w14:textId="31887FD9"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10.2</w:t>
            </w:r>
          </w:p>
        </w:tc>
      </w:tr>
      <w:tr w:rsidR="004F47E2" w:rsidRPr="0068660F" w14:paraId="01833225" w14:textId="77777777" w:rsidTr="008630CB">
        <w:tc>
          <w:tcPr>
            <w:tcW w:w="1418" w:type="dxa"/>
          </w:tcPr>
          <w:p w14:paraId="00D966B5" w14:textId="77777777" w:rsidR="004F47E2" w:rsidRPr="0068660F" w:rsidRDefault="004F47E2" w:rsidP="004F47E2">
            <w:pPr>
              <w:spacing w:line="360" w:lineRule="auto"/>
              <w:ind w:left="709" w:hanging="709"/>
              <w:jc w:val="both"/>
              <w:rPr>
                <w:rFonts w:ascii="Century Gothic" w:hAnsi="Century Gothic"/>
                <w:sz w:val="16"/>
                <w:szCs w:val="16"/>
              </w:rPr>
            </w:pPr>
            <w:r w:rsidRPr="0068660F">
              <w:rPr>
                <w:rFonts w:ascii="Century Gothic" w:hAnsi="Century Gothic"/>
                <w:sz w:val="16"/>
                <w:szCs w:val="16"/>
              </w:rPr>
              <w:t>Comparison</w:t>
            </w:r>
          </w:p>
        </w:tc>
        <w:tc>
          <w:tcPr>
            <w:tcW w:w="567" w:type="dxa"/>
          </w:tcPr>
          <w:p w14:paraId="2F45D8EA" w14:textId="07175D6E"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146</w:t>
            </w:r>
          </w:p>
        </w:tc>
        <w:tc>
          <w:tcPr>
            <w:tcW w:w="567" w:type="dxa"/>
          </w:tcPr>
          <w:p w14:paraId="259F5477" w14:textId="7F731E2E"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48.8</w:t>
            </w:r>
          </w:p>
        </w:tc>
        <w:tc>
          <w:tcPr>
            <w:tcW w:w="709" w:type="dxa"/>
          </w:tcPr>
          <w:p w14:paraId="6C7814D5" w14:textId="571D757E"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45.7</w:t>
            </w:r>
          </w:p>
        </w:tc>
        <w:tc>
          <w:tcPr>
            <w:tcW w:w="567" w:type="dxa"/>
          </w:tcPr>
          <w:p w14:paraId="55C42F65" w14:textId="1EC943DC"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125</w:t>
            </w:r>
          </w:p>
        </w:tc>
        <w:tc>
          <w:tcPr>
            <w:tcW w:w="567" w:type="dxa"/>
          </w:tcPr>
          <w:p w14:paraId="625B093C" w14:textId="059CA62C"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42.4</w:t>
            </w:r>
          </w:p>
        </w:tc>
        <w:tc>
          <w:tcPr>
            <w:tcW w:w="567" w:type="dxa"/>
          </w:tcPr>
          <w:p w14:paraId="597E30F1" w14:textId="38A0C097"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41.8</w:t>
            </w:r>
          </w:p>
        </w:tc>
        <w:tc>
          <w:tcPr>
            <w:tcW w:w="567" w:type="dxa"/>
          </w:tcPr>
          <w:p w14:paraId="592867D7" w14:textId="1CBC2BC1"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125</w:t>
            </w:r>
          </w:p>
        </w:tc>
        <w:tc>
          <w:tcPr>
            <w:tcW w:w="567" w:type="dxa"/>
          </w:tcPr>
          <w:p w14:paraId="7E247838" w14:textId="3BBA0617"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41.4</w:t>
            </w:r>
          </w:p>
        </w:tc>
        <w:tc>
          <w:tcPr>
            <w:tcW w:w="708" w:type="dxa"/>
          </w:tcPr>
          <w:p w14:paraId="582509BB" w14:textId="114E9BA2" w:rsidR="004F47E2" w:rsidRPr="0068660F" w:rsidRDefault="004F47E2" w:rsidP="004F47E2">
            <w:pPr>
              <w:spacing w:line="360" w:lineRule="auto"/>
              <w:ind w:left="709" w:hanging="709"/>
              <w:jc w:val="center"/>
              <w:rPr>
                <w:rFonts w:ascii="Century Gothic" w:hAnsi="Century Gothic"/>
                <w:sz w:val="16"/>
                <w:szCs w:val="16"/>
              </w:rPr>
            </w:pPr>
            <w:r w:rsidRPr="0068660F">
              <w:rPr>
                <w:rFonts w:ascii="Century Gothic" w:hAnsi="Century Gothic"/>
                <w:sz w:val="16"/>
                <w:szCs w:val="16"/>
              </w:rPr>
              <w:t>41.2</w:t>
            </w:r>
          </w:p>
        </w:tc>
        <w:tc>
          <w:tcPr>
            <w:tcW w:w="567" w:type="dxa"/>
          </w:tcPr>
          <w:p w14:paraId="1FF341D9" w14:textId="1DF25E49"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96</w:t>
            </w:r>
          </w:p>
        </w:tc>
        <w:tc>
          <w:tcPr>
            <w:tcW w:w="567" w:type="dxa"/>
          </w:tcPr>
          <w:p w14:paraId="5231DF6C" w14:textId="264DF4BC"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33.1</w:t>
            </w:r>
          </w:p>
        </w:tc>
        <w:tc>
          <w:tcPr>
            <w:tcW w:w="709" w:type="dxa"/>
          </w:tcPr>
          <w:p w14:paraId="5E5517E9" w14:textId="112D4C4C"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34.1</w:t>
            </w:r>
          </w:p>
        </w:tc>
      </w:tr>
      <w:tr w:rsidR="004F47E2" w:rsidRPr="0068660F" w14:paraId="7D196135" w14:textId="77777777" w:rsidTr="008630CB">
        <w:tc>
          <w:tcPr>
            <w:tcW w:w="1418" w:type="dxa"/>
          </w:tcPr>
          <w:p w14:paraId="21276985" w14:textId="77777777" w:rsidR="004F47E2" w:rsidRPr="0068660F" w:rsidRDefault="004F47E2" w:rsidP="004F47E2">
            <w:pPr>
              <w:spacing w:line="360" w:lineRule="auto"/>
              <w:ind w:left="709" w:hanging="709"/>
              <w:jc w:val="both"/>
              <w:rPr>
                <w:rFonts w:ascii="Century Gothic" w:hAnsi="Century Gothic"/>
                <w:sz w:val="16"/>
                <w:szCs w:val="16"/>
              </w:rPr>
            </w:pPr>
            <w:r w:rsidRPr="0068660F">
              <w:rPr>
                <w:rFonts w:ascii="Century Gothic" w:hAnsi="Century Gothic"/>
                <w:sz w:val="16"/>
                <w:szCs w:val="16"/>
              </w:rPr>
              <w:t>Service</w:t>
            </w:r>
          </w:p>
        </w:tc>
        <w:tc>
          <w:tcPr>
            <w:tcW w:w="567" w:type="dxa"/>
          </w:tcPr>
          <w:p w14:paraId="0007D004" w14:textId="37D3B84F"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95</w:t>
            </w:r>
          </w:p>
        </w:tc>
        <w:tc>
          <w:tcPr>
            <w:tcW w:w="567" w:type="dxa"/>
          </w:tcPr>
          <w:p w14:paraId="46C3C703" w14:textId="0A9A58CE"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31.8</w:t>
            </w:r>
          </w:p>
        </w:tc>
        <w:tc>
          <w:tcPr>
            <w:tcW w:w="709" w:type="dxa"/>
          </w:tcPr>
          <w:p w14:paraId="5FB69DF6" w14:textId="62C80DD1"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33.1</w:t>
            </w:r>
          </w:p>
        </w:tc>
        <w:tc>
          <w:tcPr>
            <w:tcW w:w="567" w:type="dxa"/>
          </w:tcPr>
          <w:p w14:paraId="7BD6CA65" w14:textId="7C2C05E8"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96</w:t>
            </w:r>
          </w:p>
        </w:tc>
        <w:tc>
          <w:tcPr>
            <w:tcW w:w="567" w:type="dxa"/>
          </w:tcPr>
          <w:p w14:paraId="7A1F7156" w14:textId="4AF251E1"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32.5</w:t>
            </w:r>
          </w:p>
        </w:tc>
        <w:tc>
          <w:tcPr>
            <w:tcW w:w="567" w:type="dxa"/>
          </w:tcPr>
          <w:p w14:paraId="234BD8C5" w14:textId="14CA011A"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34.7</w:t>
            </w:r>
          </w:p>
        </w:tc>
        <w:tc>
          <w:tcPr>
            <w:tcW w:w="567" w:type="dxa"/>
          </w:tcPr>
          <w:p w14:paraId="2FC7C007" w14:textId="19FCDD79"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103</w:t>
            </w:r>
          </w:p>
        </w:tc>
        <w:tc>
          <w:tcPr>
            <w:tcW w:w="567" w:type="dxa"/>
          </w:tcPr>
          <w:p w14:paraId="1D1EAACE" w14:textId="01B2C4BC"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34.1</w:t>
            </w:r>
          </w:p>
        </w:tc>
        <w:tc>
          <w:tcPr>
            <w:tcW w:w="708" w:type="dxa"/>
          </w:tcPr>
          <w:p w14:paraId="3C8B67A5" w14:textId="15A08AF2" w:rsidR="004F47E2" w:rsidRPr="0068660F" w:rsidRDefault="004F47E2" w:rsidP="004F47E2">
            <w:pPr>
              <w:spacing w:line="360" w:lineRule="auto"/>
              <w:ind w:left="709" w:hanging="709"/>
              <w:jc w:val="center"/>
              <w:rPr>
                <w:rFonts w:ascii="Century Gothic" w:hAnsi="Century Gothic"/>
                <w:sz w:val="16"/>
                <w:szCs w:val="16"/>
              </w:rPr>
            </w:pPr>
            <w:r w:rsidRPr="0068660F">
              <w:rPr>
                <w:rFonts w:ascii="Century Gothic" w:hAnsi="Century Gothic"/>
                <w:sz w:val="16"/>
                <w:szCs w:val="16"/>
              </w:rPr>
              <w:t>36.3</w:t>
            </w:r>
          </w:p>
        </w:tc>
        <w:tc>
          <w:tcPr>
            <w:tcW w:w="567" w:type="dxa"/>
          </w:tcPr>
          <w:p w14:paraId="4B13F15E" w14:textId="6D82697D"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110</w:t>
            </w:r>
          </w:p>
        </w:tc>
        <w:tc>
          <w:tcPr>
            <w:tcW w:w="567" w:type="dxa"/>
          </w:tcPr>
          <w:p w14:paraId="571F877A" w14:textId="4761B037"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37.9</w:t>
            </w:r>
          </w:p>
        </w:tc>
        <w:tc>
          <w:tcPr>
            <w:tcW w:w="709" w:type="dxa"/>
          </w:tcPr>
          <w:p w14:paraId="6F9D3579" w14:textId="39C24704"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39.4</w:t>
            </w:r>
          </w:p>
        </w:tc>
      </w:tr>
      <w:tr w:rsidR="004F47E2" w:rsidRPr="0068660F" w14:paraId="1DE86D02" w14:textId="77777777" w:rsidTr="00E67017">
        <w:tc>
          <w:tcPr>
            <w:tcW w:w="1418" w:type="dxa"/>
            <w:tcBorders>
              <w:bottom w:val="single" w:sz="4" w:space="0" w:color="auto"/>
            </w:tcBorders>
          </w:tcPr>
          <w:p w14:paraId="51B33101" w14:textId="77777777" w:rsidR="004F47E2" w:rsidRPr="0068660F" w:rsidRDefault="004F47E2" w:rsidP="004F47E2">
            <w:pPr>
              <w:spacing w:line="360" w:lineRule="auto"/>
              <w:ind w:left="709" w:hanging="709"/>
              <w:jc w:val="both"/>
              <w:rPr>
                <w:rFonts w:ascii="Century Gothic" w:hAnsi="Century Gothic"/>
                <w:sz w:val="16"/>
                <w:szCs w:val="16"/>
              </w:rPr>
            </w:pPr>
            <w:r w:rsidRPr="0068660F">
              <w:rPr>
                <w:rFonts w:ascii="Century Gothic" w:hAnsi="Century Gothic"/>
                <w:sz w:val="16"/>
                <w:szCs w:val="16"/>
              </w:rPr>
              <w:t>Other</w:t>
            </w:r>
          </w:p>
        </w:tc>
        <w:tc>
          <w:tcPr>
            <w:tcW w:w="567" w:type="dxa"/>
          </w:tcPr>
          <w:p w14:paraId="626BCBDA" w14:textId="36A36CD4"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5</w:t>
            </w:r>
          </w:p>
        </w:tc>
        <w:tc>
          <w:tcPr>
            <w:tcW w:w="567" w:type="dxa"/>
          </w:tcPr>
          <w:p w14:paraId="5C7857E4" w14:textId="3BC30B25"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1.7</w:t>
            </w:r>
          </w:p>
        </w:tc>
        <w:tc>
          <w:tcPr>
            <w:tcW w:w="709" w:type="dxa"/>
          </w:tcPr>
          <w:p w14:paraId="0FD09CAC" w14:textId="49C809B1"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1.3</w:t>
            </w:r>
          </w:p>
        </w:tc>
        <w:tc>
          <w:tcPr>
            <w:tcW w:w="567" w:type="dxa"/>
          </w:tcPr>
          <w:p w14:paraId="511739F7" w14:textId="270BC874"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5</w:t>
            </w:r>
          </w:p>
        </w:tc>
        <w:tc>
          <w:tcPr>
            <w:tcW w:w="567" w:type="dxa"/>
          </w:tcPr>
          <w:p w14:paraId="03179D83" w14:textId="04CC6660"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1.7</w:t>
            </w:r>
          </w:p>
        </w:tc>
        <w:tc>
          <w:tcPr>
            <w:tcW w:w="567" w:type="dxa"/>
          </w:tcPr>
          <w:p w14:paraId="3C0269D4" w14:textId="416686B1"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1.2</w:t>
            </w:r>
          </w:p>
        </w:tc>
        <w:tc>
          <w:tcPr>
            <w:tcW w:w="567" w:type="dxa"/>
          </w:tcPr>
          <w:p w14:paraId="43A2CF8C" w14:textId="550D4CC0"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3</w:t>
            </w:r>
          </w:p>
        </w:tc>
        <w:tc>
          <w:tcPr>
            <w:tcW w:w="567" w:type="dxa"/>
          </w:tcPr>
          <w:p w14:paraId="5800FD0F" w14:textId="7357A24D"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1.0</w:t>
            </w:r>
          </w:p>
        </w:tc>
        <w:tc>
          <w:tcPr>
            <w:tcW w:w="708" w:type="dxa"/>
          </w:tcPr>
          <w:p w14:paraId="38F90210" w14:textId="35C57C69" w:rsidR="004F47E2" w:rsidRPr="0068660F" w:rsidRDefault="004F47E2" w:rsidP="004F47E2">
            <w:pPr>
              <w:spacing w:line="360" w:lineRule="auto"/>
              <w:ind w:left="709" w:hanging="709"/>
              <w:jc w:val="center"/>
              <w:rPr>
                <w:rFonts w:ascii="Century Gothic" w:hAnsi="Century Gothic"/>
                <w:sz w:val="16"/>
                <w:szCs w:val="16"/>
              </w:rPr>
            </w:pPr>
            <w:r w:rsidRPr="0068660F">
              <w:rPr>
                <w:rFonts w:ascii="Century Gothic" w:hAnsi="Century Gothic"/>
                <w:sz w:val="16"/>
                <w:szCs w:val="16"/>
              </w:rPr>
              <w:t>1.2</w:t>
            </w:r>
          </w:p>
        </w:tc>
        <w:tc>
          <w:tcPr>
            <w:tcW w:w="567" w:type="dxa"/>
            <w:tcBorders>
              <w:bottom w:val="single" w:sz="4" w:space="0" w:color="auto"/>
            </w:tcBorders>
          </w:tcPr>
          <w:p w14:paraId="43D102F1" w14:textId="4CF27C0C"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3</w:t>
            </w:r>
          </w:p>
        </w:tc>
        <w:tc>
          <w:tcPr>
            <w:tcW w:w="567" w:type="dxa"/>
            <w:tcBorders>
              <w:bottom w:val="single" w:sz="4" w:space="0" w:color="auto"/>
            </w:tcBorders>
          </w:tcPr>
          <w:p w14:paraId="446ABD4E" w14:textId="5C7E432A"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1.0</w:t>
            </w:r>
          </w:p>
        </w:tc>
        <w:tc>
          <w:tcPr>
            <w:tcW w:w="709" w:type="dxa"/>
            <w:tcBorders>
              <w:bottom w:val="single" w:sz="4" w:space="0" w:color="auto"/>
            </w:tcBorders>
          </w:tcPr>
          <w:p w14:paraId="4DED2670" w14:textId="76E4D6C8"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1.0</w:t>
            </w:r>
          </w:p>
        </w:tc>
      </w:tr>
      <w:tr w:rsidR="004F47E2" w:rsidRPr="0068660F" w14:paraId="2C373A8A" w14:textId="77777777" w:rsidTr="00E67017">
        <w:tc>
          <w:tcPr>
            <w:tcW w:w="1418" w:type="dxa"/>
            <w:tcBorders>
              <w:top w:val="single" w:sz="4" w:space="0" w:color="auto"/>
              <w:left w:val="single" w:sz="4" w:space="0" w:color="auto"/>
              <w:bottom w:val="single" w:sz="4" w:space="0" w:color="auto"/>
              <w:right w:val="single" w:sz="4" w:space="0" w:color="auto"/>
            </w:tcBorders>
          </w:tcPr>
          <w:p w14:paraId="78AAA2CA" w14:textId="77777777" w:rsidR="004F47E2" w:rsidRPr="0068660F" w:rsidRDefault="004F47E2" w:rsidP="004F47E2">
            <w:pPr>
              <w:spacing w:line="360" w:lineRule="auto"/>
              <w:ind w:left="709" w:hanging="709"/>
              <w:jc w:val="both"/>
              <w:rPr>
                <w:rFonts w:ascii="Century Gothic" w:hAnsi="Century Gothic"/>
                <w:sz w:val="16"/>
                <w:szCs w:val="16"/>
              </w:rPr>
            </w:pPr>
            <w:r w:rsidRPr="0068660F">
              <w:rPr>
                <w:rFonts w:ascii="Century Gothic" w:hAnsi="Century Gothic"/>
                <w:sz w:val="16"/>
                <w:szCs w:val="16"/>
              </w:rPr>
              <w:t>Vacant</w:t>
            </w:r>
          </w:p>
        </w:tc>
        <w:tc>
          <w:tcPr>
            <w:tcW w:w="567" w:type="dxa"/>
          </w:tcPr>
          <w:p w14:paraId="45342102" w14:textId="37A6DC40"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20</w:t>
            </w:r>
          </w:p>
        </w:tc>
        <w:tc>
          <w:tcPr>
            <w:tcW w:w="567" w:type="dxa"/>
          </w:tcPr>
          <w:p w14:paraId="7BE32CDA" w14:textId="4CDC537E"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6.7</w:t>
            </w:r>
          </w:p>
        </w:tc>
        <w:tc>
          <w:tcPr>
            <w:tcW w:w="709" w:type="dxa"/>
          </w:tcPr>
          <w:p w14:paraId="553CB34F" w14:textId="1CC25AEA"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10.7</w:t>
            </w:r>
          </w:p>
        </w:tc>
        <w:tc>
          <w:tcPr>
            <w:tcW w:w="567" w:type="dxa"/>
          </w:tcPr>
          <w:p w14:paraId="14B7D151" w14:textId="4AE3F5FA"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38</w:t>
            </w:r>
          </w:p>
        </w:tc>
        <w:tc>
          <w:tcPr>
            <w:tcW w:w="567" w:type="dxa"/>
          </w:tcPr>
          <w:p w14:paraId="6AE5CE50" w14:textId="56AE2323"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12.9</w:t>
            </w:r>
          </w:p>
        </w:tc>
        <w:tc>
          <w:tcPr>
            <w:tcW w:w="567" w:type="dxa"/>
          </w:tcPr>
          <w:p w14:paraId="0D28D49E" w14:textId="5CCC8122"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13.0</w:t>
            </w:r>
          </w:p>
        </w:tc>
        <w:tc>
          <w:tcPr>
            <w:tcW w:w="567" w:type="dxa"/>
          </w:tcPr>
          <w:p w14:paraId="7271671F" w14:textId="35A32AD0"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47</w:t>
            </w:r>
          </w:p>
        </w:tc>
        <w:tc>
          <w:tcPr>
            <w:tcW w:w="567" w:type="dxa"/>
          </w:tcPr>
          <w:p w14:paraId="038DF32C" w14:textId="6A74DD6B" w:rsidR="004F47E2" w:rsidRPr="0068660F" w:rsidRDefault="004F47E2" w:rsidP="004F47E2">
            <w:pPr>
              <w:spacing w:line="360" w:lineRule="auto"/>
              <w:ind w:left="709" w:hanging="709"/>
              <w:jc w:val="center"/>
              <w:rPr>
                <w:rFonts w:ascii="Century Gothic" w:hAnsi="Century Gothic"/>
                <w:sz w:val="16"/>
                <w:szCs w:val="16"/>
              </w:rPr>
            </w:pPr>
            <w:r>
              <w:rPr>
                <w:rFonts w:ascii="Century Gothic" w:hAnsi="Century Gothic"/>
                <w:sz w:val="16"/>
                <w:szCs w:val="16"/>
              </w:rPr>
              <w:t>15.6</w:t>
            </w:r>
          </w:p>
        </w:tc>
        <w:tc>
          <w:tcPr>
            <w:tcW w:w="708" w:type="dxa"/>
          </w:tcPr>
          <w:p w14:paraId="77B68977" w14:textId="00501D72" w:rsidR="004F47E2" w:rsidRPr="0068660F" w:rsidRDefault="004F47E2" w:rsidP="004F47E2">
            <w:pPr>
              <w:spacing w:line="360" w:lineRule="auto"/>
              <w:ind w:left="709" w:hanging="709"/>
              <w:jc w:val="center"/>
              <w:rPr>
                <w:rFonts w:ascii="Century Gothic" w:hAnsi="Century Gothic"/>
                <w:sz w:val="16"/>
                <w:szCs w:val="16"/>
              </w:rPr>
            </w:pPr>
            <w:r w:rsidRPr="0068660F">
              <w:rPr>
                <w:rFonts w:ascii="Century Gothic" w:hAnsi="Century Gothic"/>
                <w:sz w:val="16"/>
                <w:szCs w:val="16"/>
              </w:rPr>
              <w:t>12.6</w:t>
            </w:r>
          </w:p>
        </w:tc>
        <w:tc>
          <w:tcPr>
            <w:tcW w:w="567" w:type="dxa"/>
            <w:tcBorders>
              <w:top w:val="single" w:sz="4" w:space="0" w:color="auto"/>
              <w:left w:val="single" w:sz="4" w:space="0" w:color="auto"/>
              <w:bottom w:val="single" w:sz="4" w:space="0" w:color="auto"/>
              <w:right w:val="single" w:sz="4" w:space="0" w:color="auto"/>
            </w:tcBorders>
          </w:tcPr>
          <w:p w14:paraId="30C49A0F" w14:textId="2EBC9806"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51</w:t>
            </w:r>
          </w:p>
        </w:tc>
        <w:tc>
          <w:tcPr>
            <w:tcW w:w="567" w:type="dxa"/>
            <w:tcBorders>
              <w:top w:val="single" w:sz="4" w:space="0" w:color="auto"/>
              <w:left w:val="single" w:sz="4" w:space="0" w:color="auto"/>
              <w:bottom w:val="single" w:sz="4" w:space="0" w:color="auto"/>
              <w:right w:val="single" w:sz="4" w:space="0" w:color="auto"/>
            </w:tcBorders>
          </w:tcPr>
          <w:p w14:paraId="015706CC" w14:textId="4F200F17"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17.6</w:t>
            </w:r>
          </w:p>
        </w:tc>
        <w:tc>
          <w:tcPr>
            <w:tcW w:w="709" w:type="dxa"/>
            <w:tcBorders>
              <w:top w:val="single" w:sz="4" w:space="0" w:color="auto"/>
              <w:left w:val="single" w:sz="4" w:space="0" w:color="auto"/>
              <w:bottom w:val="single" w:sz="4" w:space="0" w:color="auto"/>
              <w:right w:val="single" w:sz="4" w:space="0" w:color="auto"/>
            </w:tcBorders>
          </w:tcPr>
          <w:p w14:paraId="02AC6F51" w14:textId="7B3575BB" w:rsidR="004F47E2" w:rsidRPr="00B44051" w:rsidRDefault="003C13BA" w:rsidP="004F47E2">
            <w:pPr>
              <w:spacing w:line="360" w:lineRule="auto"/>
              <w:ind w:left="709" w:hanging="709"/>
              <w:jc w:val="center"/>
              <w:rPr>
                <w:rFonts w:ascii="Century Gothic" w:hAnsi="Century Gothic"/>
                <w:sz w:val="16"/>
                <w:szCs w:val="16"/>
              </w:rPr>
            </w:pPr>
            <w:r w:rsidRPr="00B44051">
              <w:rPr>
                <w:rFonts w:ascii="Century Gothic" w:hAnsi="Century Gothic"/>
                <w:sz w:val="16"/>
                <w:szCs w:val="16"/>
              </w:rPr>
              <w:t>15.2</w:t>
            </w:r>
          </w:p>
        </w:tc>
      </w:tr>
      <w:tr w:rsidR="004F47E2" w:rsidRPr="0068660F" w14:paraId="2EC0C2CE" w14:textId="77777777" w:rsidTr="00E67017">
        <w:tc>
          <w:tcPr>
            <w:tcW w:w="1418" w:type="dxa"/>
            <w:tcBorders>
              <w:top w:val="single" w:sz="4" w:space="0" w:color="auto"/>
              <w:left w:val="single" w:sz="4" w:space="0" w:color="auto"/>
              <w:bottom w:val="single" w:sz="4" w:space="0" w:color="auto"/>
              <w:right w:val="single" w:sz="4" w:space="0" w:color="auto"/>
            </w:tcBorders>
          </w:tcPr>
          <w:p w14:paraId="5DCD8361" w14:textId="77777777" w:rsidR="004F47E2" w:rsidRPr="0068660F" w:rsidRDefault="004F47E2" w:rsidP="004F47E2">
            <w:pPr>
              <w:spacing w:line="360" w:lineRule="auto"/>
              <w:ind w:left="709" w:hanging="709"/>
              <w:jc w:val="both"/>
              <w:rPr>
                <w:rFonts w:ascii="Century Gothic" w:hAnsi="Century Gothic"/>
                <w:b/>
                <w:sz w:val="16"/>
                <w:szCs w:val="16"/>
              </w:rPr>
            </w:pPr>
            <w:r w:rsidRPr="0068660F">
              <w:rPr>
                <w:rFonts w:ascii="Century Gothic" w:hAnsi="Century Gothic"/>
                <w:b/>
                <w:sz w:val="16"/>
                <w:szCs w:val="16"/>
              </w:rPr>
              <w:t>Total</w:t>
            </w:r>
          </w:p>
        </w:tc>
        <w:tc>
          <w:tcPr>
            <w:tcW w:w="567" w:type="dxa"/>
          </w:tcPr>
          <w:p w14:paraId="3035F71E" w14:textId="679EADE5" w:rsidR="004F47E2" w:rsidRPr="0068660F" w:rsidRDefault="004F47E2" w:rsidP="004F47E2">
            <w:pPr>
              <w:spacing w:line="360" w:lineRule="auto"/>
              <w:ind w:left="709" w:hanging="709"/>
              <w:jc w:val="center"/>
              <w:rPr>
                <w:rFonts w:ascii="Century Gothic" w:hAnsi="Century Gothic"/>
                <w:b/>
                <w:sz w:val="16"/>
                <w:szCs w:val="16"/>
              </w:rPr>
            </w:pPr>
            <w:r>
              <w:rPr>
                <w:rFonts w:ascii="Century Gothic" w:hAnsi="Century Gothic"/>
                <w:b/>
                <w:sz w:val="16"/>
                <w:szCs w:val="16"/>
              </w:rPr>
              <w:t>299</w:t>
            </w:r>
          </w:p>
        </w:tc>
        <w:tc>
          <w:tcPr>
            <w:tcW w:w="567" w:type="dxa"/>
          </w:tcPr>
          <w:p w14:paraId="21561803" w14:textId="15B83555" w:rsidR="004F47E2" w:rsidRPr="0068660F" w:rsidRDefault="004F47E2" w:rsidP="004F47E2">
            <w:pPr>
              <w:spacing w:line="360" w:lineRule="auto"/>
              <w:ind w:left="709" w:hanging="709"/>
              <w:jc w:val="center"/>
              <w:rPr>
                <w:rFonts w:ascii="Century Gothic" w:hAnsi="Century Gothic"/>
                <w:b/>
                <w:sz w:val="16"/>
                <w:szCs w:val="16"/>
              </w:rPr>
            </w:pPr>
            <w:r w:rsidRPr="00FE04A8">
              <w:rPr>
                <w:rFonts w:ascii="Century Gothic" w:hAnsi="Century Gothic"/>
                <w:b/>
                <w:sz w:val="16"/>
                <w:szCs w:val="16"/>
              </w:rPr>
              <w:t>100</w:t>
            </w:r>
          </w:p>
        </w:tc>
        <w:tc>
          <w:tcPr>
            <w:tcW w:w="709" w:type="dxa"/>
          </w:tcPr>
          <w:p w14:paraId="7EE3E3F5" w14:textId="52787932" w:rsidR="004F47E2" w:rsidRPr="0068660F" w:rsidRDefault="004F47E2" w:rsidP="004F47E2">
            <w:pPr>
              <w:spacing w:line="360" w:lineRule="auto"/>
              <w:ind w:left="709" w:hanging="709"/>
              <w:jc w:val="center"/>
              <w:rPr>
                <w:rFonts w:ascii="Century Gothic" w:hAnsi="Century Gothic"/>
                <w:b/>
                <w:sz w:val="16"/>
                <w:szCs w:val="16"/>
              </w:rPr>
            </w:pPr>
            <w:r w:rsidRPr="00FE04A8">
              <w:rPr>
                <w:rFonts w:ascii="Century Gothic" w:hAnsi="Century Gothic"/>
                <w:b/>
                <w:sz w:val="16"/>
                <w:szCs w:val="16"/>
              </w:rPr>
              <w:t>100</w:t>
            </w:r>
          </w:p>
        </w:tc>
        <w:tc>
          <w:tcPr>
            <w:tcW w:w="567" w:type="dxa"/>
          </w:tcPr>
          <w:p w14:paraId="07AD290A" w14:textId="6ED777C2" w:rsidR="004F47E2" w:rsidRPr="0068660F" w:rsidRDefault="004F47E2" w:rsidP="004F47E2">
            <w:pPr>
              <w:spacing w:line="360" w:lineRule="auto"/>
              <w:ind w:left="709" w:hanging="709"/>
              <w:jc w:val="center"/>
              <w:rPr>
                <w:rFonts w:ascii="Century Gothic" w:hAnsi="Century Gothic"/>
                <w:b/>
                <w:sz w:val="16"/>
                <w:szCs w:val="16"/>
              </w:rPr>
            </w:pPr>
            <w:r>
              <w:rPr>
                <w:rFonts w:ascii="Century Gothic" w:hAnsi="Century Gothic"/>
                <w:b/>
                <w:sz w:val="16"/>
                <w:szCs w:val="16"/>
              </w:rPr>
              <w:t>295</w:t>
            </w:r>
          </w:p>
        </w:tc>
        <w:tc>
          <w:tcPr>
            <w:tcW w:w="567" w:type="dxa"/>
          </w:tcPr>
          <w:p w14:paraId="190C2200" w14:textId="18B5F9E5" w:rsidR="004F47E2" w:rsidRPr="0068660F" w:rsidRDefault="004F47E2" w:rsidP="004F47E2">
            <w:pPr>
              <w:spacing w:line="360" w:lineRule="auto"/>
              <w:ind w:left="709" w:hanging="709"/>
              <w:jc w:val="center"/>
              <w:rPr>
                <w:rFonts w:ascii="Century Gothic" w:hAnsi="Century Gothic"/>
                <w:b/>
                <w:sz w:val="16"/>
                <w:szCs w:val="16"/>
              </w:rPr>
            </w:pPr>
            <w:r w:rsidRPr="00FE04A8">
              <w:rPr>
                <w:rFonts w:ascii="Century Gothic" w:hAnsi="Century Gothic"/>
                <w:b/>
                <w:sz w:val="16"/>
                <w:szCs w:val="16"/>
              </w:rPr>
              <w:t>100</w:t>
            </w:r>
          </w:p>
        </w:tc>
        <w:tc>
          <w:tcPr>
            <w:tcW w:w="567" w:type="dxa"/>
          </w:tcPr>
          <w:p w14:paraId="01812AC7" w14:textId="7EAD6E17" w:rsidR="004F47E2" w:rsidRPr="0068660F" w:rsidRDefault="004F47E2" w:rsidP="004F47E2">
            <w:pPr>
              <w:spacing w:line="360" w:lineRule="auto"/>
              <w:ind w:left="709" w:hanging="709"/>
              <w:jc w:val="center"/>
              <w:rPr>
                <w:rFonts w:ascii="Century Gothic" w:hAnsi="Century Gothic"/>
                <w:b/>
                <w:sz w:val="16"/>
                <w:szCs w:val="16"/>
              </w:rPr>
            </w:pPr>
            <w:r w:rsidRPr="00FE04A8">
              <w:rPr>
                <w:rFonts w:ascii="Century Gothic" w:hAnsi="Century Gothic"/>
                <w:b/>
                <w:sz w:val="16"/>
                <w:szCs w:val="16"/>
              </w:rPr>
              <w:t>100</w:t>
            </w:r>
          </w:p>
        </w:tc>
        <w:tc>
          <w:tcPr>
            <w:tcW w:w="567" w:type="dxa"/>
          </w:tcPr>
          <w:p w14:paraId="5352C06D" w14:textId="705E0AAA" w:rsidR="004F47E2" w:rsidRPr="0068660F" w:rsidRDefault="004F47E2" w:rsidP="004F47E2">
            <w:pPr>
              <w:spacing w:line="360" w:lineRule="auto"/>
              <w:ind w:left="709" w:hanging="709"/>
              <w:jc w:val="center"/>
              <w:rPr>
                <w:rFonts w:ascii="Century Gothic" w:hAnsi="Century Gothic"/>
                <w:b/>
                <w:sz w:val="16"/>
                <w:szCs w:val="16"/>
              </w:rPr>
            </w:pPr>
            <w:r>
              <w:rPr>
                <w:rFonts w:ascii="Century Gothic" w:hAnsi="Century Gothic"/>
                <w:b/>
                <w:sz w:val="16"/>
                <w:szCs w:val="16"/>
              </w:rPr>
              <w:t>302</w:t>
            </w:r>
          </w:p>
        </w:tc>
        <w:tc>
          <w:tcPr>
            <w:tcW w:w="567" w:type="dxa"/>
          </w:tcPr>
          <w:p w14:paraId="28ACEEEA" w14:textId="4BEC1798" w:rsidR="004F47E2" w:rsidRPr="0068660F" w:rsidRDefault="004F47E2" w:rsidP="004F47E2">
            <w:pPr>
              <w:spacing w:line="360" w:lineRule="auto"/>
              <w:ind w:left="709" w:hanging="709"/>
              <w:jc w:val="center"/>
              <w:rPr>
                <w:rFonts w:ascii="Century Gothic" w:hAnsi="Century Gothic"/>
                <w:b/>
                <w:sz w:val="16"/>
                <w:szCs w:val="16"/>
              </w:rPr>
            </w:pPr>
            <w:r>
              <w:rPr>
                <w:rFonts w:ascii="Century Gothic" w:hAnsi="Century Gothic"/>
                <w:b/>
                <w:sz w:val="16"/>
                <w:szCs w:val="16"/>
              </w:rPr>
              <w:t>100</w:t>
            </w:r>
          </w:p>
        </w:tc>
        <w:tc>
          <w:tcPr>
            <w:tcW w:w="708" w:type="dxa"/>
          </w:tcPr>
          <w:p w14:paraId="0D5659BB" w14:textId="5284C587" w:rsidR="004F47E2" w:rsidRPr="0068660F" w:rsidRDefault="004F47E2" w:rsidP="004F47E2">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100</w:t>
            </w:r>
          </w:p>
        </w:tc>
        <w:tc>
          <w:tcPr>
            <w:tcW w:w="567" w:type="dxa"/>
            <w:tcBorders>
              <w:top w:val="single" w:sz="4" w:space="0" w:color="auto"/>
              <w:left w:val="single" w:sz="4" w:space="0" w:color="auto"/>
              <w:bottom w:val="single" w:sz="4" w:space="0" w:color="auto"/>
              <w:right w:val="single" w:sz="4" w:space="0" w:color="auto"/>
            </w:tcBorders>
          </w:tcPr>
          <w:p w14:paraId="44BD22CA" w14:textId="7FB0CBBA" w:rsidR="004F47E2" w:rsidRPr="00B44051" w:rsidRDefault="00640A21" w:rsidP="004F47E2">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290</w:t>
            </w:r>
          </w:p>
        </w:tc>
        <w:tc>
          <w:tcPr>
            <w:tcW w:w="567" w:type="dxa"/>
            <w:tcBorders>
              <w:top w:val="single" w:sz="4" w:space="0" w:color="auto"/>
              <w:left w:val="single" w:sz="4" w:space="0" w:color="auto"/>
              <w:bottom w:val="single" w:sz="4" w:space="0" w:color="auto"/>
              <w:right w:val="single" w:sz="4" w:space="0" w:color="auto"/>
            </w:tcBorders>
          </w:tcPr>
          <w:p w14:paraId="26EC80A4" w14:textId="1524D826" w:rsidR="004F47E2" w:rsidRPr="00B44051" w:rsidRDefault="003C13BA" w:rsidP="004F47E2">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100</w:t>
            </w:r>
          </w:p>
        </w:tc>
        <w:tc>
          <w:tcPr>
            <w:tcW w:w="709" w:type="dxa"/>
            <w:tcBorders>
              <w:top w:val="single" w:sz="4" w:space="0" w:color="auto"/>
              <w:left w:val="single" w:sz="4" w:space="0" w:color="auto"/>
              <w:bottom w:val="single" w:sz="4" w:space="0" w:color="auto"/>
              <w:right w:val="single" w:sz="4" w:space="0" w:color="auto"/>
            </w:tcBorders>
          </w:tcPr>
          <w:p w14:paraId="5A0FE493" w14:textId="764D5D62" w:rsidR="004F47E2" w:rsidRPr="00B44051" w:rsidRDefault="003C13BA" w:rsidP="004F47E2">
            <w:pPr>
              <w:spacing w:line="360" w:lineRule="auto"/>
              <w:ind w:left="709" w:hanging="709"/>
              <w:jc w:val="center"/>
              <w:rPr>
                <w:rFonts w:ascii="Century Gothic" w:hAnsi="Century Gothic"/>
                <w:b/>
                <w:sz w:val="16"/>
                <w:szCs w:val="16"/>
              </w:rPr>
            </w:pPr>
            <w:r w:rsidRPr="00B44051">
              <w:rPr>
                <w:rFonts w:ascii="Century Gothic" w:hAnsi="Century Gothic"/>
                <w:b/>
                <w:sz w:val="16"/>
                <w:szCs w:val="16"/>
              </w:rPr>
              <w:t>100</w:t>
            </w:r>
          </w:p>
        </w:tc>
      </w:tr>
    </w:tbl>
    <w:p w14:paraId="33FE25CA" w14:textId="77777777" w:rsidR="004F47E2" w:rsidRPr="008E3DC7" w:rsidRDefault="004F47E2" w:rsidP="004F47E2">
      <w:pPr>
        <w:pStyle w:val="Level1"/>
        <w:numPr>
          <w:ilvl w:val="0"/>
          <w:numId w:val="0"/>
        </w:numPr>
        <w:ind w:left="720" w:firstLine="131"/>
        <w:jc w:val="both"/>
        <w:rPr>
          <w:sz w:val="16"/>
          <w:szCs w:val="16"/>
        </w:rPr>
      </w:pPr>
      <w:r>
        <w:rPr>
          <w:sz w:val="16"/>
          <w:szCs w:val="16"/>
        </w:rPr>
        <w:t>Source: Experian GOAD</w:t>
      </w:r>
    </w:p>
    <w:p w14:paraId="7B0D95B3" w14:textId="311E047B" w:rsidR="00B9583C" w:rsidRDefault="004F47E2" w:rsidP="004F47E2">
      <w:pPr>
        <w:pStyle w:val="Level1"/>
        <w:jc w:val="both"/>
      </w:pPr>
      <w:r>
        <w:t>The decline in the number and proportion of comparison goods retailers since 2006 has continued</w:t>
      </w:r>
      <w:r w:rsidR="0022797C">
        <w:t xml:space="preserve">, with the loss of 29 comparison goods retailers between 2013 and 2021.  </w:t>
      </w:r>
      <w:r w:rsidR="00BF2E42">
        <w:t xml:space="preserve">The proportion of comparison </w:t>
      </w:r>
      <w:r w:rsidR="00BF2E42">
        <w:lastRenderedPageBreak/>
        <w:t>goods retailers in the centre is now just slightly below the national average, although it should also be noted that the fall in comparison goods retailers in Paignton does mirror the national trend for this type of land use in town centres.</w:t>
      </w:r>
    </w:p>
    <w:p w14:paraId="0A2161EB" w14:textId="5CF87BD9" w:rsidR="00B9583C" w:rsidRDefault="00B9583C" w:rsidP="004F47E2">
      <w:pPr>
        <w:pStyle w:val="Level1"/>
        <w:jc w:val="both"/>
      </w:pPr>
      <w:r>
        <w:t xml:space="preserve">Following a steady decline in the number of convenience goods retailers between 2006 and 2013, from 33 to 24, the number of retailers has increased to 30 between 2013 and 2021.  Due to corresponding increases in the national average proportion of convenience goods retailers in town centres over the past several years, the proportion of convenience goods retailers in the town centre continues to be in line with the national average. </w:t>
      </w:r>
    </w:p>
    <w:p w14:paraId="6C97EA82" w14:textId="65B24010" w:rsidR="004F47E2" w:rsidRPr="007910D0" w:rsidRDefault="004F47E2" w:rsidP="004F47E2">
      <w:pPr>
        <w:pStyle w:val="Level1"/>
        <w:jc w:val="both"/>
      </w:pPr>
      <w:r>
        <w:t xml:space="preserve">The number of retail service uses in the town centre has </w:t>
      </w:r>
      <w:r w:rsidR="00BF2E42">
        <w:t xml:space="preserve">continued to grow since 2013 </w:t>
      </w:r>
      <w:r w:rsidR="00356F3B">
        <w:t xml:space="preserve">and now comprise the largest grouping of uses in the town centre, at 37% of all classified units.  </w:t>
      </w:r>
      <w:r>
        <w:t xml:space="preserve">The proportion of retail service uses in the town centre remains very slightly below the national average, although the small increase in the proportion </w:t>
      </w:r>
      <w:r w:rsidRPr="007910D0">
        <w:t>of these uses mirrors the national average trend.</w:t>
      </w:r>
    </w:p>
    <w:p w14:paraId="494E9578" w14:textId="66A54B2C" w:rsidR="004F47E2" w:rsidRPr="00B44051" w:rsidRDefault="004F47E2" w:rsidP="004F47E2">
      <w:pPr>
        <w:pStyle w:val="Level1"/>
        <w:jc w:val="both"/>
      </w:pPr>
      <w:r w:rsidRPr="00B44051">
        <w:t>Table 4.</w:t>
      </w:r>
      <w:r w:rsidR="00356F3B" w:rsidRPr="00B44051">
        <w:t>9</w:t>
      </w:r>
      <w:r w:rsidRPr="00B44051">
        <w:t xml:space="preserve"> below outlines the amount of ground floor floorspace within each of the main land use categories, using the results of the 2021 Experian GOAD survey.</w:t>
      </w:r>
    </w:p>
    <w:p w14:paraId="46C27093" w14:textId="77EA8A4B" w:rsidR="004F47E2" w:rsidRPr="00B44051" w:rsidRDefault="004F47E2" w:rsidP="004F47E2">
      <w:pPr>
        <w:pStyle w:val="Level1"/>
        <w:numPr>
          <w:ilvl w:val="0"/>
          <w:numId w:val="0"/>
        </w:numPr>
        <w:spacing w:after="120" w:line="240" w:lineRule="auto"/>
        <w:ind w:left="720"/>
        <w:jc w:val="both"/>
        <w:rPr>
          <w:rStyle w:val="Emphasis"/>
          <w:sz w:val="18"/>
          <w:szCs w:val="18"/>
        </w:rPr>
      </w:pPr>
      <w:r w:rsidRPr="00B44051">
        <w:rPr>
          <w:rStyle w:val="Emphasis"/>
          <w:sz w:val="18"/>
          <w:szCs w:val="18"/>
        </w:rPr>
        <w:t>Table 4.</w:t>
      </w:r>
      <w:r w:rsidR="007C4287" w:rsidRPr="00B44051">
        <w:rPr>
          <w:rStyle w:val="Emphasis"/>
          <w:sz w:val="18"/>
          <w:szCs w:val="18"/>
        </w:rPr>
        <w:t>9</w:t>
      </w:r>
      <w:r w:rsidRPr="00B44051">
        <w:rPr>
          <w:rStyle w:val="Emphasis"/>
          <w:sz w:val="18"/>
          <w:szCs w:val="18"/>
        </w:rPr>
        <w:t xml:space="preserve">: </w:t>
      </w:r>
      <w:r w:rsidR="00356F3B" w:rsidRPr="00B44051">
        <w:rPr>
          <w:rStyle w:val="Emphasis"/>
          <w:sz w:val="18"/>
          <w:szCs w:val="18"/>
        </w:rPr>
        <w:t>Paignton</w:t>
      </w:r>
      <w:r w:rsidRPr="00B44051">
        <w:rPr>
          <w:rStyle w:val="Emphasis"/>
          <w:sz w:val="18"/>
          <w:szCs w:val="18"/>
        </w:rPr>
        <w:t xml:space="preserve"> town centre floorspace profile</w:t>
      </w:r>
    </w:p>
    <w:tbl>
      <w:tblPr>
        <w:tblStyle w:val="CustomTable2"/>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350"/>
        <w:gridCol w:w="2141"/>
        <w:gridCol w:w="2036"/>
      </w:tblGrid>
      <w:tr w:rsidR="003E7679" w:rsidRPr="003E7679" w14:paraId="04A513AB" w14:textId="77777777" w:rsidTr="00863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E8E9E7" w:themeFill="background2" w:themeFillTint="66"/>
          </w:tcPr>
          <w:p w14:paraId="2C6589D3" w14:textId="77777777" w:rsidR="004F47E2" w:rsidRPr="003E7679" w:rsidRDefault="004F47E2" w:rsidP="008630CB">
            <w:pPr>
              <w:pStyle w:val="Level1"/>
              <w:numPr>
                <w:ilvl w:val="0"/>
                <w:numId w:val="0"/>
              </w:numPr>
              <w:spacing w:before="0" w:after="0" w:line="240" w:lineRule="auto"/>
              <w:jc w:val="both"/>
              <w:rPr>
                <w:color w:val="auto"/>
                <w:sz w:val="18"/>
                <w:szCs w:val="18"/>
              </w:rPr>
            </w:pPr>
            <w:r w:rsidRPr="003E7679">
              <w:rPr>
                <w:color w:val="auto"/>
                <w:sz w:val="18"/>
                <w:szCs w:val="18"/>
              </w:rPr>
              <w:t>Sector</w:t>
            </w:r>
          </w:p>
        </w:tc>
        <w:tc>
          <w:tcPr>
            <w:tcW w:w="2350" w:type="dxa"/>
            <w:shd w:val="clear" w:color="auto" w:fill="E8E9E7" w:themeFill="background2" w:themeFillTint="66"/>
          </w:tcPr>
          <w:p w14:paraId="4E6535FF" w14:textId="77777777" w:rsidR="004F47E2" w:rsidRPr="003E7679" w:rsidRDefault="004F47E2" w:rsidP="008630CB">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3E7679">
              <w:rPr>
                <w:color w:val="auto"/>
                <w:sz w:val="18"/>
                <w:szCs w:val="18"/>
              </w:rPr>
              <w:t>Floorspace</w:t>
            </w:r>
          </w:p>
          <w:p w14:paraId="1BD56961" w14:textId="77777777" w:rsidR="004F47E2" w:rsidRPr="003E7679" w:rsidRDefault="004F47E2" w:rsidP="008630CB">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3E7679">
              <w:rPr>
                <w:color w:val="auto"/>
                <w:sz w:val="18"/>
                <w:szCs w:val="18"/>
              </w:rPr>
              <w:t>(</w:t>
            </w:r>
            <w:proofErr w:type="spellStart"/>
            <w:proofErr w:type="gramStart"/>
            <w:r w:rsidRPr="003E7679">
              <w:rPr>
                <w:color w:val="auto"/>
                <w:sz w:val="18"/>
                <w:szCs w:val="18"/>
              </w:rPr>
              <w:t>sq</w:t>
            </w:r>
            <w:proofErr w:type="spellEnd"/>
            <w:proofErr w:type="gramEnd"/>
            <w:r w:rsidRPr="003E7679">
              <w:rPr>
                <w:color w:val="auto"/>
                <w:sz w:val="18"/>
                <w:szCs w:val="18"/>
              </w:rPr>
              <w:t xml:space="preserve"> m gross ground floor)</w:t>
            </w:r>
          </w:p>
        </w:tc>
        <w:tc>
          <w:tcPr>
            <w:tcW w:w="2141" w:type="dxa"/>
            <w:shd w:val="clear" w:color="auto" w:fill="E8E9E7" w:themeFill="background2" w:themeFillTint="66"/>
          </w:tcPr>
          <w:p w14:paraId="65387DBC" w14:textId="77777777" w:rsidR="004F47E2" w:rsidRPr="003E7679" w:rsidRDefault="004F47E2" w:rsidP="008630CB">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3E7679">
              <w:rPr>
                <w:color w:val="auto"/>
                <w:sz w:val="18"/>
                <w:szCs w:val="18"/>
              </w:rPr>
              <w:t xml:space="preserve">% </w:t>
            </w:r>
            <w:proofErr w:type="gramStart"/>
            <w:r w:rsidRPr="003E7679">
              <w:rPr>
                <w:color w:val="auto"/>
                <w:sz w:val="18"/>
                <w:szCs w:val="18"/>
              </w:rPr>
              <w:t>of</w:t>
            </w:r>
            <w:proofErr w:type="gramEnd"/>
            <w:r w:rsidRPr="003E7679">
              <w:rPr>
                <w:color w:val="auto"/>
                <w:sz w:val="18"/>
                <w:szCs w:val="18"/>
              </w:rPr>
              <w:t xml:space="preserve"> Total Surveyed Floorspace</w:t>
            </w:r>
          </w:p>
        </w:tc>
        <w:tc>
          <w:tcPr>
            <w:tcW w:w="2036" w:type="dxa"/>
            <w:shd w:val="clear" w:color="auto" w:fill="E8E9E7" w:themeFill="background2" w:themeFillTint="66"/>
          </w:tcPr>
          <w:p w14:paraId="433C8AC9" w14:textId="77777777" w:rsidR="004F47E2" w:rsidRPr="003E7679" w:rsidRDefault="004F47E2" w:rsidP="008630CB">
            <w:pPr>
              <w:pStyle w:val="Level1"/>
              <w:numPr>
                <w:ilvl w:val="0"/>
                <w:numId w:val="0"/>
              </w:numPr>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rPr>
            </w:pPr>
            <w:r w:rsidRPr="003E7679">
              <w:rPr>
                <w:color w:val="auto"/>
                <w:sz w:val="18"/>
                <w:szCs w:val="18"/>
              </w:rPr>
              <w:t>National Average (%)</w:t>
            </w:r>
          </w:p>
        </w:tc>
      </w:tr>
      <w:tr w:rsidR="004F47E2" w:rsidRPr="007910D0" w14:paraId="611E4BA8" w14:textId="77777777" w:rsidTr="008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4BF04802" w14:textId="77777777" w:rsidR="004F47E2" w:rsidRPr="00B44051" w:rsidRDefault="004F47E2" w:rsidP="008630CB">
            <w:pPr>
              <w:pStyle w:val="Level1"/>
              <w:numPr>
                <w:ilvl w:val="0"/>
                <w:numId w:val="0"/>
              </w:numPr>
              <w:spacing w:before="0" w:after="0" w:line="240" w:lineRule="auto"/>
              <w:jc w:val="both"/>
              <w:rPr>
                <w:bCs/>
                <w:color w:val="auto"/>
                <w:sz w:val="18"/>
                <w:szCs w:val="18"/>
              </w:rPr>
            </w:pPr>
            <w:r w:rsidRPr="00B44051">
              <w:rPr>
                <w:bCs/>
                <w:sz w:val="18"/>
                <w:szCs w:val="18"/>
              </w:rPr>
              <w:t>Convenience</w:t>
            </w:r>
          </w:p>
        </w:tc>
        <w:tc>
          <w:tcPr>
            <w:tcW w:w="2350" w:type="dxa"/>
            <w:shd w:val="clear" w:color="auto" w:fill="auto"/>
          </w:tcPr>
          <w:p w14:paraId="5C075A1A" w14:textId="3D6AFF23" w:rsidR="004F47E2" w:rsidRPr="00B44051" w:rsidRDefault="00356F3B"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B44051">
              <w:rPr>
                <w:bCs/>
                <w:sz w:val="18"/>
                <w:szCs w:val="18"/>
              </w:rPr>
              <w:t>5,444</w:t>
            </w:r>
          </w:p>
        </w:tc>
        <w:tc>
          <w:tcPr>
            <w:tcW w:w="2141" w:type="dxa"/>
            <w:shd w:val="clear" w:color="auto" w:fill="auto"/>
          </w:tcPr>
          <w:p w14:paraId="21188E6F" w14:textId="371041E5" w:rsidR="004F47E2" w:rsidRPr="00B44051" w:rsidRDefault="00356F3B"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B44051">
              <w:rPr>
                <w:bCs/>
                <w:sz w:val="18"/>
                <w:szCs w:val="18"/>
              </w:rPr>
              <w:t>12.7%</w:t>
            </w:r>
          </w:p>
        </w:tc>
        <w:tc>
          <w:tcPr>
            <w:tcW w:w="2036" w:type="dxa"/>
            <w:shd w:val="clear" w:color="auto" w:fill="auto"/>
          </w:tcPr>
          <w:p w14:paraId="461CFCE2" w14:textId="77777777" w:rsidR="004F47E2" w:rsidRPr="00B44051" w:rsidRDefault="004F47E2" w:rsidP="008630CB">
            <w:pPr>
              <w:pStyle w:val="Level1"/>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Cs/>
                <w:sz w:val="18"/>
                <w:szCs w:val="18"/>
              </w:rPr>
            </w:pPr>
            <w:r w:rsidRPr="00B44051">
              <w:rPr>
                <w:bCs/>
                <w:sz w:val="18"/>
                <w:szCs w:val="18"/>
              </w:rPr>
              <w:t>18.8%</w:t>
            </w:r>
          </w:p>
        </w:tc>
      </w:tr>
      <w:tr w:rsidR="004F47E2" w:rsidRPr="007910D0" w14:paraId="0038C27D" w14:textId="77777777" w:rsidTr="0086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624958E6" w14:textId="77777777" w:rsidR="004F47E2" w:rsidRPr="00B44051" w:rsidRDefault="004F47E2" w:rsidP="008630CB">
            <w:pPr>
              <w:pStyle w:val="Level1"/>
              <w:numPr>
                <w:ilvl w:val="0"/>
                <w:numId w:val="0"/>
              </w:numPr>
              <w:spacing w:before="0" w:after="0" w:line="240" w:lineRule="auto"/>
              <w:jc w:val="both"/>
              <w:rPr>
                <w:bCs/>
                <w:color w:val="auto"/>
                <w:sz w:val="18"/>
                <w:szCs w:val="18"/>
              </w:rPr>
            </w:pPr>
            <w:r w:rsidRPr="00B44051">
              <w:rPr>
                <w:bCs/>
                <w:sz w:val="18"/>
                <w:szCs w:val="18"/>
              </w:rPr>
              <w:t>Comparison</w:t>
            </w:r>
          </w:p>
        </w:tc>
        <w:tc>
          <w:tcPr>
            <w:tcW w:w="2350" w:type="dxa"/>
            <w:shd w:val="clear" w:color="auto" w:fill="auto"/>
          </w:tcPr>
          <w:p w14:paraId="32E46CD6" w14:textId="5337A964" w:rsidR="004F47E2" w:rsidRPr="00B44051" w:rsidRDefault="00356F3B" w:rsidP="008630CB">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B44051">
              <w:rPr>
                <w:bCs/>
                <w:sz w:val="18"/>
                <w:szCs w:val="18"/>
              </w:rPr>
              <w:t>16,667</w:t>
            </w:r>
          </w:p>
        </w:tc>
        <w:tc>
          <w:tcPr>
            <w:tcW w:w="2141" w:type="dxa"/>
            <w:shd w:val="clear" w:color="auto" w:fill="auto"/>
          </w:tcPr>
          <w:p w14:paraId="00301C32" w14:textId="37C9CBAA" w:rsidR="004F47E2" w:rsidRPr="00B44051" w:rsidRDefault="00356F3B" w:rsidP="008630CB">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B44051">
              <w:rPr>
                <w:bCs/>
                <w:sz w:val="18"/>
                <w:szCs w:val="18"/>
              </w:rPr>
              <w:t>38.7%</w:t>
            </w:r>
          </w:p>
        </w:tc>
        <w:tc>
          <w:tcPr>
            <w:tcW w:w="2036" w:type="dxa"/>
            <w:shd w:val="clear" w:color="auto" w:fill="auto"/>
          </w:tcPr>
          <w:p w14:paraId="50B66475" w14:textId="77777777" w:rsidR="004F47E2" w:rsidRPr="00B44051" w:rsidRDefault="004F47E2" w:rsidP="008630CB">
            <w:pPr>
              <w:pStyle w:val="Level1"/>
              <w:numPr>
                <w:ilvl w:val="0"/>
                <w:numId w:val="0"/>
              </w:numPr>
              <w:spacing w:after="0" w:line="240" w:lineRule="auto"/>
              <w:jc w:val="center"/>
              <w:cnfStyle w:val="000000010000" w:firstRow="0" w:lastRow="0" w:firstColumn="0" w:lastColumn="0" w:oddVBand="0" w:evenVBand="0" w:oddHBand="0" w:evenHBand="1" w:firstRowFirstColumn="0" w:firstRowLastColumn="0" w:lastRowFirstColumn="0" w:lastRowLastColumn="0"/>
              <w:rPr>
                <w:bCs/>
                <w:sz w:val="18"/>
                <w:szCs w:val="18"/>
              </w:rPr>
            </w:pPr>
            <w:r w:rsidRPr="00B44051">
              <w:rPr>
                <w:bCs/>
                <w:sz w:val="18"/>
                <w:szCs w:val="18"/>
              </w:rPr>
              <w:t>38.7%</w:t>
            </w:r>
          </w:p>
        </w:tc>
      </w:tr>
      <w:tr w:rsidR="004F47E2" w:rsidRPr="007910D0" w14:paraId="7DC26CE9" w14:textId="77777777" w:rsidTr="008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1C89D914" w14:textId="77777777" w:rsidR="004F47E2" w:rsidRPr="00B44051" w:rsidRDefault="004F47E2" w:rsidP="008630CB">
            <w:pPr>
              <w:pStyle w:val="Level1"/>
              <w:numPr>
                <w:ilvl w:val="0"/>
                <w:numId w:val="0"/>
              </w:numPr>
              <w:spacing w:before="0" w:after="0" w:line="240" w:lineRule="auto"/>
              <w:jc w:val="both"/>
              <w:rPr>
                <w:bCs/>
                <w:color w:val="auto"/>
                <w:sz w:val="18"/>
                <w:szCs w:val="18"/>
              </w:rPr>
            </w:pPr>
            <w:r w:rsidRPr="00B44051">
              <w:rPr>
                <w:bCs/>
                <w:sz w:val="18"/>
                <w:szCs w:val="18"/>
              </w:rPr>
              <w:t>Service</w:t>
            </w:r>
          </w:p>
        </w:tc>
        <w:tc>
          <w:tcPr>
            <w:tcW w:w="2350" w:type="dxa"/>
            <w:shd w:val="clear" w:color="auto" w:fill="auto"/>
          </w:tcPr>
          <w:p w14:paraId="6F59996C" w14:textId="7591A144" w:rsidR="004F47E2" w:rsidRPr="00B44051" w:rsidRDefault="00356F3B"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B44051">
              <w:rPr>
                <w:bCs/>
                <w:sz w:val="18"/>
                <w:szCs w:val="18"/>
              </w:rPr>
              <w:t>14,251</w:t>
            </w:r>
          </w:p>
        </w:tc>
        <w:tc>
          <w:tcPr>
            <w:tcW w:w="2141" w:type="dxa"/>
            <w:shd w:val="clear" w:color="auto" w:fill="auto"/>
          </w:tcPr>
          <w:p w14:paraId="5B5FC58F" w14:textId="03D1E3BC" w:rsidR="004F47E2" w:rsidRPr="00B44051" w:rsidRDefault="00356F3B"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B44051">
              <w:rPr>
                <w:bCs/>
                <w:sz w:val="18"/>
                <w:szCs w:val="18"/>
              </w:rPr>
              <w:t>33.1%</w:t>
            </w:r>
          </w:p>
        </w:tc>
        <w:tc>
          <w:tcPr>
            <w:tcW w:w="2036" w:type="dxa"/>
            <w:shd w:val="clear" w:color="auto" w:fill="auto"/>
          </w:tcPr>
          <w:p w14:paraId="042AEC93" w14:textId="77777777" w:rsidR="004F47E2" w:rsidRPr="00B44051" w:rsidRDefault="004F47E2" w:rsidP="008630CB">
            <w:pPr>
              <w:pStyle w:val="Level1"/>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Cs/>
                <w:sz w:val="18"/>
                <w:szCs w:val="18"/>
              </w:rPr>
            </w:pPr>
            <w:r w:rsidRPr="00B44051">
              <w:rPr>
                <w:bCs/>
                <w:sz w:val="18"/>
                <w:szCs w:val="18"/>
              </w:rPr>
              <w:t>25.7%</w:t>
            </w:r>
          </w:p>
        </w:tc>
      </w:tr>
      <w:tr w:rsidR="004F47E2" w:rsidRPr="007910D0" w14:paraId="6DCACCF3" w14:textId="77777777" w:rsidTr="0086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26D9189D" w14:textId="77777777" w:rsidR="004F47E2" w:rsidRPr="00B44051" w:rsidRDefault="004F47E2" w:rsidP="008630CB">
            <w:pPr>
              <w:pStyle w:val="Level1"/>
              <w:numPr>
                <w:ilvl w:val="0"/>
                <w:numId w:val="0"/>
              </w:numPr>
              <w:spacing w:before="0" w:after="0" w:line="240" w:lineRule="auto"/>
              <w:jc w:val="both"/>
              <w:rPr>
                <w:bCs/>
                <w:color w:val="auto"/>
                <w:sz w:val="18"/>
                <w:szCs w:val="18"/>
              </w:rPr>
            </w:pPr>
            <w:r w:rsidRPr="00B44051">
              <w:rPr>
                <w:bCs/>
                <w:sz w:val="18"/>
                <w:szCs w:val="18"/>
              </w:rPr>
              <w:t>Other</w:t>
            </w:r>
          </w:p>
        </w:tc>
        <w:tc>
          <w:tcPr>
            <w:tcW w:w="2350" w:type="dxa"/>
            <w:shd w:val="clear" w:color="auto" w:fill="auto"/>
          </w:tcPr>
          <w:p w14:paraId="7191FD26" w14:textId="746C688F" w:rsidR="004F47E2" w:rsidRPr="00B44051" w:rsidRDefault="00356F3B" w:rsidP="008630CB">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B44051">
              <w:rPr>
                <w:bCs/>
                <w:sz w:val="18"/>
                <w:szCs w:val="18"/>
              </w:rPr>
              <w:t>502</w:t>
            </w:r>
          </w:p>
        </w:tc>
        <w:tc>
          <w:tcPr>
            <w:tcW w:w="2141" w:type="dxa"/>
            <w:shd w:val="clear" w:color="auto" w:fill="auto"/>
          </w:tcPr>
          <w:p w14:paraId="08A98AE7" w14:textId="439CE11A" w:rsidR="004F47E2" w:rsidRPr="00B44051" w:rsidRDefault="00356F3B" w:rsidP="008630CB">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B44051">
              <w:rPr>
                <w:bCs/>
                <w:sz w:val="18"/>
                <w:szCs w:val="18"/>
              </w:rPr>
              <w:t>1.2%</w:t>
            </w:r>
          </w:p>
        </w:tc>
        <w:tc>
          <w:tcPr>
            <w:tcW w:w="2036" w:type="dxa"/>
            <w:shd w:val="clear" w:color="auto" w:fill="auto"/>
          </w:tcPr>
          <w:p w14:paraId="6B426933" w14:textId="77777777" w:rsidR="004F47E2" w:rsidRPr="00B44051" w:rsidRDefault="004F47E2" w:rsidP="008630CB">
            <w:pPr>
              <w:pStyle w:val="Level1"/>
              <w:numPr>
                <w:ilvl w:val="0"/>
                <w:numId w:val="0"/>
              </w:numPr>
              <w:spacing w:after="0" w:line="240" w:lineRule="auto"/>
              <w:jc w:val="center"/>
              <w:cnfStyle w:val="000000010000" w:firstRow="0" w:lastRow="0" w:firstColumn="0" w:lastColumn="0" w:oddVBand="0" w:evenVBand="0" w:oddHBand="0" w:evenHBand="1" w:firstRowFirstColumn="0" w:firstRowLastColumn="0" w:lastRowFirstColumn="0" w:lastRowLastColumn="0"/>
              <w:rPr>
                <w:bCs/>
                <w:sz w:val="18"/>
                <w:szCs w:val="18"/>
              </w:rPr>
            </w:pPr>
            <w:r w:rsidRPr="00B44051">
              <w:rPr>
                <w:bCs/>
                <w:sz w:val="18"/>
                <w:szCs w:val="18"/>
              </w:rPr>
              <w:t>0.7%</w:t>
            </w:r>
          </w:p>
        </w:tc>
      </w:tr>
      <w:tr w:rsidR="004F47E2" w:rsidRPr="007910D0" w14:paraId="401906C9" w14:textId="77777777" w:rsidTr="008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18257732" w14:textId="77777777" w:rsidR="004F47E2" w:rsidRPr="00B44051" w:rsidRDefault="004F47E2" w:rsidP="008630CB">
            <w:pPr>
              <w:pStyle w:val="Level1"/>
              <w:numPr>
                <w:ilvl w:val="0"/>
                <w:numId w:val="0"/>
              </w:numPr>
              <w:spacing w:before="0" w:after="0" w:line="240" w:lineRule="auto"/>
              <w:jc w:val="both"/>
              <w:rPr>
                <w:bCs/>
                <w:color w:val="auto"/>
                <w:sz w:val="18"/>
                <w:szCs w:val="18"/>
              </w:rPr>
            </w:pPr>
            <w:r w:rsidRPr="00B44051">
              <w:rPr>
                <w:bCs/>
                <w:sz w:val="18"/>
                <w:szCs w:val="18"/>
              </w:rPr>
              <w:t>Vacant</w:t>
            </w:r>
          </w:p>
        </w:tc>
        <w:tc>
          <w:tcPr>
            <w:tcW w:w="2350" w:type="dxa"/>
            <w:shd w:val="clear" w:color="auto" w:fill="auto"/>
          </w:tcPr>
          <w:p w14:paraId="705A88CF" w14:textId="4279D2F7" w:rsidR="004F47E2" w:rsidRPr="00B44051" w:rsidRDefault="00356F3B"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B44051">
              <w:rPr>
                <w:bCs/>
                <w:sz w:val="18"/>
                <w:szCs w:val="18"/>
              </w:rPr>
              <w:t>6,159</w:t>
            </w:r>
          </w:p>
        </w:tc>
        <w:tc>
          <w:tcPr>
            <w:tcW w:w="2141" w:type="dxa"/>
            <w:shd w:val="clear" w:color="auto" w:fill="auto"/>
          </w:tcPr>
          <w:p w14:paraId="5C3F709F" w14:textId="5304BBFB" w:rsidR="004F47E2" w:rsidRPr="00B44051" w:rsidRDefault="00356F3B"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bCs/>
                <w:color w:val="auto"/>
                <w:sz w:val="18"/>
                <w:szCs w:val="18"/>
              </w:rPr>
            </w:pPr>
            <w:r w:rsidRPr="00B44051">
              <w:rPr>
                <w:bCs/>
                <w:sz w:val="18"/>
                <w:szCs w:val="18"/>
              </w:rPr>
              <w:t>14.3%</w:t>
            </w:r>
          </w:p>
        </w:tc>
        <w:tc>
          <w:tcPr>
            <w:tcW w:w="2036" w:type="dxa"/>
            <w:shd w:val="clear" w:color="auto" w:fill="auto"/>
          </w:tcPr>
          <w:p w14:paraId="08D074AF" w14:textId="77777777" w:rsidR="004F47E2" w:rsidRPr="00B44051" w:rsidRDefault="004F47E2" w:rsidP="008630CB">
            <w:pPr>
              <w:pStyle w:val="Level1"/>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bCs/>
                <w:sz w:val="18"/>
                <w:szCs w:val="18"/>
              </w:rPr>
            </w:pPr>
            <w:r w:rsidRPr="00B44051">
              <w:rPr>
                <w:bCs/>
                <w:sz w:val="18"/>
                <w:szCs w:val="18"/>
              </w:rPr>
              <w:t>16.1%</w:t>
            </w:r>
          </w:p>
        </w:tc>
      </w:tr>
      <w:tr w:rsidR="004F47E2" w:rsidRPr="007910D0" w14:paraId="42327BDC" w14:textId="77777777" w:rsidTr="0086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1B26231D" w14:textId="77777777" w:rsidR="004F47E2" w:rsidRPr="00B44051" w:rsidRDefault="004F47E2" w:rsidP="008630CB">
            <w:pPr>
              <w:pStyle w:val="Level1"/>
              <w:numPr>
                <w:ilvl w:val="0"/>
                <w:numId w:val="0"/>
              </w:numPr>
              <w:spacing w:before="0" w:after="0" w:line="240" w:lineRule="auto"/>
              <w:jc w:val="both"/>
              <w:rPr>
                <w:bCs/>
                <w:color w:val="auto"/>
                <w:sz w:val="18"/>
                <w:szCs w:val="18"/>
              </w:rPr>
            </w:pPr>
            <w:r w:rsidRPr="00B44051">
              <w:rPr>
                <w:bCs/>
                <w:sz w:val="18"/>
                <w:szCs w:val="18"/>
              </w:rPr>
              <w:t>Total</w:t>
            </w:r>
          </w:p>
        </w:tc>
        <w:tc>
          <w:tcPr>
            <w:tcW w:w="2350" w:type="dxa"/>
            <w:shd w:val="clear" w:color="auto" w:fill="auto"/>
          </w:tcPr>
          <w:p w14:paraId="211DDE10" w14:textId="3E2B18E6" w:rsidR="004F47E2" w:rsidRPr="00B44051" w:rsidRDefault="00356F3B" w:rsidP="008630CB">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B44051">
              <w:rPr>
                <w:bCs/>
                <w:sz w:val="18"/>
                <w:szCs w:val="18"/>
              </w:rPr>
              <w:t>43,203</w:t>
            </w:r>
          </w:p>
        </w:tc>
        <w:tc>
          <w:tcPr>
            <w:tcW w:w="2141" w:type="dxa"/>
            <w:shd w:val="clear" w:color="auto" w:fill="auto"/>
          </w:tcPr>
          <w:p w14:paraId="11DCCD14" w14:textId="4C881D37" w:rsidR="004F47E2" w:rsidRPr="00B44051" w:rsidRDefault="00356F3B" w:rsidP="008630CB">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bCs/>
                <w:color w:val="auto"/>
                <w:sz w:val="18"/>
                <w:szCs w:val="18"/>
              </w:rPr>
            </w:pPr>
            <w:r w:rsidRPr="00B44051">
              <w:rPr>
                <w:bCs/>
                <w:sz w:val="18"/>
                <w:szCs w:val="18"/>
              </w:rPr>
              <w:t>100%</w:t>
            </w:r>
          </w:p>
        </w:tc>
        <w:tc>
          <w:tcPr>
            <w:tcW w:w="2036" w:type="dxa"/>
            <w:shd w:val="clear" w:color="auto" w:fill="auto"/>
          </w:tcPr>
          <w:p w14:paraId="5EB433C2" w14:textId="77777777" w:rsidR="004F47E2" w:rsidRPr="007910D0" w:rsidRDefault="004F47E2" w:rsidP="008630CB">
            <w:pPr>
              <w:pStyle w:val="Level1"/>
              <w:numPr>
                <w:ilvl w:val="0"/>
                <w:numId w:val="0"/>
              </w:numPr>
              <w:spacing w:after="0" w:line="240" w:lineRule="auto"/>
              <w:jc w:val="center"/>
              <w:cnfStyle w:val="000000010000" w:firstRow="0" w:lastRow="0" w:firstColumn="0" w:lastColumn="0" w:oddVBand="0" w:evenVBand="0" w:oddHBand="0" w:evenHBand="1" w:firstRowFirstColumn="0" w:firstRowLastColumn="0" w:lastRowFirstColumn="0" w:lastRowLastColumn="0"/>
              <w:rPr>
                <w:bCs/>
                <w:sz w:val="18"/>
                <w:szCs w:val="18"/>
              </w:rPr>
            </w:pPr>
            <w:r w:rsidRPr="00B44051">
              <w:rPr>
                <w:bCs/>
                <w:sz w:val="18"/>
                <w:szCs w:val="18"/>
              </w:rPr>
              <w:t>100%</w:t>
            </w:r>
          </w:p>
        </w:tc>
      </w:tr>
    </w:tbl>
    <w:p w14:paraId="25C66D5B" w14:textId="4692718F" w:rsidR="004F47E2" w:rsidRPr="007910D0" w:rsidRDefault="004F47E2" w:rsidP="004F47E2">
      <w:pPr>
        <w:pStyle w:val="Level1"/>
        <w:numPr>
          <w:ilvl w:val="0"/>
          <w:numId w:val="0"/>
        </w:numPr>
        <w:ind w:left="720"/>
        <w:jc w:val="both"/>
        <w:rPr>
          <w:sz w:val="16"/>
          <w:szCs w:val="16"/>
        </w:rPr>
      </w:pPr>
      <w:r w:rsidRPr="007910D0">
        <w:rPr>
          <w:sz w:val="16"/>
          <w:szCs w:val="16"/>
        </w:rPr>
        <w:t>Source: Experian GOAD</w:t>
      </w:r>
    </w:p>
    <w:p w14:paraId="3F7E566F" w14:textId="77777777" w:rsidR="00356F3B" w:rsidRDefault="004F47E2" w:rsidP="004F47E2">
      <w:pPr>
        <w:pStyle w:val="Level1"/>
        <w:jc w:val="both"/>
      </w:pPr>
      <w:r w:rsidRPr="007910D0">
        <w:t>Table 4.</w:t>
      </w:r>
      <w:r w:rsidR="00356F3B" w:rsidRPr="007910D0">
        <w:t>9</w:t>
      </w:r>
      <w:r w:rsidRPr="007910D0">
        <w:t xml:space="preserve"> indicates that around </w:t>
      </w:r>
      <w:r w:rsidR="00356F3B" w:rsidRPr="007910D0">
        <w:t xml:space="preserve">circa </w:t>
      </w:r>
      <w:r w:rsidRPr="007910D0">
        <w:t>1</w:t>
      </w:r>
      <w:r w:rsidR="00356F3B" w:rsidRPr="007910D0">
        <w:t>3</w:t>
      </w:r>
      <w:r w:rsidRPr="007910D0">
        <w:t>% of surveyed</w:t>
      </w:r>
      <w:r>
        <w:t xml:space="preserve"> floorspace is occupied by convenience goods retailers, which is </w:t>
      </w:r>
      <w:r w:rsidR="00356F3B">
        <w:t>below t</w:t>
      </w:r>
      <w:r>
        <w:t xml:space="preserve">he national average rate </w:t>
      </w:r>
      <w:r w:rsidR="00356F3B">
        <w:t xml:space="preserve">(18.8%) </w:t>
      </w:r>
      <w:r>
        <w:t xml:space="preserve">and indicates that convenience goods retailers in Torquay town centre are comparatively small in scale.  </w:t>
      </w:r>
    </w:p>
    <w:p w14:paraId="69D35ECD" w14:textId="77777777" w:rsidR="00956387" w:rsidRDefault="00C459D5" w:rsidP="00956387">
      <w:pPr>
        <w:pStyle w:val="Level1"/>
        <w:jc w:val="both"/>
      </w:pPr>
      <w:r>
        <w:t>The sector with the highest floorspace footprint in Paignton town centre is the co</w:t>
      </w:r>
      <w:r w:rsidR="004F47E2">
        <w:t xml:space="preserve">mparison goods </w:t>
      </w:r>
      <w:r>
        <w:t xml:space="preserve">sector, with 39% of all floorspace.  This is commensurate with the national average.  Whilst the retail service sector has the largest number of occupiers in the town centre, with 38% of all units, it occupies less space than the comparison goods retail sector (33%).  Nevertheless, the </w:t>
      </w:r>
      <w:r w:rsidR="00956387">
        <w:t xml:space="preserve">large </w:t>
      </w:r>
      <w:r>
        <w:t xml:space="preserve">amount of </w:t>
      </w:r>
      <w:r w:rsidR="00956387">
        <w:t xml:space="preserve">retail service businesses in the centre means that the proportion of ground floor space devoted to these uses is still above the national floorspace average for this </w:t>
      </w:r>
      <w:proofErr w:type="gramStart"/>
      <w:r w:rsidR="00956387">
        <w:t>particular sector</w:t>
      </w:r>
      <w:proofErr w:type="gramEnd"/>
      <w:r w:rsidR="00956387">
        <w:t xml:space="preserve">.  </w:t>
      </w:r>
    </w:p>
    <w:p w14:paraId="4DD7BA63" w14:textId="7A79017E" w:rsidR="004F47E2" w:rsidRDefault="007C4287" w:rsidP="004E3AE6">
      <w:pPr>
        <w:pStyle w:val="Level1"/>
      </w:pPr>
      <w:r>
        <w:t xml:space="preserve">Finally, Table 4.9 indicates that 14.3% of all ground floor space was vacant at the time of the most recent Experian GOAD survey in 2019.  It is to be noted that </w:t>
      </w:r>
      <w:r w:rsidR="00917082">
        <w:t>this proportion of floorspace is below the national average, as opposed to the proportion of units which is above the national average.  This would, therefore, suggest that the size of vacant units within the town is on the small side.</w:t>
      </w:r>
    </w:p>
    <w:p w14:paraId="663D9906" w14:textId="3851ADEB" w:rsidR="00917082" w:rsidRDefault="00917082" w:rsidP="00816E95">
      <w:pPr>
        <w:pStyle w:val="Level1"/>
      </w:pPr>
      <w:r>
        <w:t>Turning to shopping patterns, Tables 4.10 and 4.11 below outline the convenience goods market shares for Paignton for both main and top-up food shopping across each of the study area.</w:t>
      </w:r>
    </w:p>
    <w:p w14:paraId="3089DB60" w14:textId="33B1C4E6" w:rsidR="007172C8" w:rsidRDefault="007172C8" w:rsidP="007172C8">
      <w:pPr>
        <w:pStyle w:val="Level1"/>
        <w:numPr>
          <w:ilvl w:val="0"/>
          <w:numId w:val="0"/>
        </w:numPr>
        <w:ind w:left="720"/>
      </w:pPr>
    </w:p>
    <w:p w14:paraId="459FB023" w14:textId="77777777" w:rsidR="007172C8" w:rsidRDefault="007172C8" w:rsidP="002B7CE2">
      <w:pPr>
        <w:pStyle w:val="Level1"/>
        <w:numPr>
          <w:ilvl w:val="0"/>
          <w:numId w:val="0"/>
        </w:numPr>
      </w:pPr>
    </w:p>
    <w:p w14:paraId="2CBF5132" w14:textId="2035D2B4" w:rsidR="00917082" w:rsidRPr="00EA138F" w:rsidRDefault="00917082" w:rsidP="00917082">
      <w:pPr>
        <w:pStyle w:val="Level1"/>
        <w:numPr>
          <w:ilvl w:val="0"/>
          <w:numId w:val="0"/>
        </w:numPr>
        <w:ind w:left="720"/>
        <w:jc w:val="both"/>
        <w:rPr>
          <w:rStyle w:val="Emphasis"/>
        </w:rPr>
      </w:pPr>
      <w:r>
        <w:lastRenderedPageBreak/>
        <w:t xml:space="preserve"> </w:t>
      </w:r>
      <w:r>
        <w:rPr>
          <w:rStyle w:val="Emphasis"/>
        </w:rPr>
        <w:t>Table 4.10: first and second choice main food shopping market shares associated with</w:t>
      </w:r>
      <w:r w:rsidR="007B5261">
        <w:rPr>
          <w:rStyle w:val="Emphasis"/>
        </w:rPr>
        <w:t xml:space="preserve"> Paignton</w:t>
      </w:r>
      <w:r>
        <w:rPr>
          <w:rStyle w:val="Emphasis"/>
        </w:rPr>
        <w:t xml:space="preserve"> town </w:t>
      </w:r>
      <w:r w:rsidR="007B5261">
        <w:rPr>
          <w:rStyle w:val="Emphasis"/>
        </w:rPr>
        <w:t xml:space="preserve">centre </w:t>
      </w:r>
      <w:r>
        <w:rPr>
          <w:rStyle w:val="Emphasis"/>
        </w:rPr>
        <w:t xml:space="preserve">and </w:t>
      </w:r>
      <w:r w:rsidR="007B5261">
        <w:rPr>
          <w:rStyle w:val="Emphasis"/>
        </w:rPr>
        <w:t xml:space="preserve">Preston </w:t>
      </w:r>
      <w:r>
        <w:rPr>
          <w:rStyle w:val="Emphasis"/>
        </w:rPr>
        <w:t xml:space="preserve">district centre </w:t>
      </w:r>
      <w:r w:rsidR="007B5261">
        <w:rPr>
          <w:rStyle w:val="Emphasis"/>
        </w:rPr>
        <w:t>(2</w:t>
      </w:r>
      <w:r>
        <w:rPr>
          <w:rStyle w:val="Emphasis"/>
        </w:rPr>
        <w:t>013 and 2022 retail studies)</w:t>
      </w:r>
    </w:p>
    <w:tbl>
      <w:tblPr>
        <w:tblStyle w:val="CustomTable2"/>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2"/>
        <w:gridCol w:w="632"/>
        <w:gridCol w:w="632"/>
        <w:gridCol w:w="632"/>
        <w:gridCol w:w="631"/>
        <w:gridCol w:w="631"/>
        <w:gridCol w:w="631"/>
        <w:gridCol w:w="631"/>
        <w:gridCol w:w="631"/>
        <w:gridCol w:w="631"/>
        <w:gridCol w:w="632"/>
        <w:gridCol w:w="632"/>
        <w:gridCol w:w="632"/>
        <w:gridCol w:w="632"/>
      </w:tblGrid>
      <w:tr w:rsidR="00917082" w:rsidRPr="003640BF" w14:paraId="618EE49E" w14:textId="77777777" w:rsidTr="00364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shd w:val="clear" w:color="auto" w:fill="D9D9D9" w:themeFill="background1" w:themeFillShade="D9"/>
          </w:tcPr>
          <w:p w14:paraId="429AA47C" w14:textId="77777777" w:rsidR="00917082" w:rsidRPr="003640BF" w:rsidRDefault="00917082" w:rsidP="008630CB">
            <w:pPr>
              <w:pStyle w:val="Level1"/>
              <w:numPr>
                <w:ilvl w:val="0"/>
                <w:numId w:val="0"/>
              </w:numPr>
              <w:spacing w:before="0" w:after="0" w:line="240" w:lineRule="auto"/>
              <w:jc w:val="both"/>
              <w:rPr>
                <w:rFonts w:cs="Open Sans"/>
                <w:color w:val="auto"/>
                <w:sz w:val="18"/>
                <w:szCs w:val="18"/>
              </w:rPr>
            </w:pPr>
            <w:r w:rsidRPr="003640BF">
              <w:rPr>
                <w:rFonts w:cs="Open Sans"/>
                <w:color w:val="auto"/>
                <w:sz w:val="18"/>
                <w:szCs w:val="18"/>
              </w:rPr>
              <w:t>CENTRE</w:t>
            </w:r>
          </w:p>
        </w:tc>
        <w:tc>
          <w:tcPr>
            <w:tcW w:w="4421" w:type="dxa"/>
            <w:gridSpan w:val="7"/>
            <w:tcBorders>
              <w:bottom w:val="single" w:sz="4" w:space="0" w:color="auto"/>
            </w:tcBorders>
            <w:shd w:val="clear" w:color="auto" w:fill="D9D9D9" w:themeFill="background1" w:themeFillShade="D9"/>
          </w:tcPr>
          <w:p w14:paraId="41A5012A" w14:textId="77777777" w:rsidR="00917082" w:rsidRPr="003640BF" w:rsidRDefault="00917082" w:rsidP="008630CB">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Open Sans"/>
                <w:color w:val="auto"/>
                <w:sz w:val="18"/>
                <w:szCs w:val="18"/>
              </w:rPr>
            </w:pPr>
            <w:r w:rsidRPr="003640BF">
              <w:rPr>
                <w:rFonts w:cs="Open Sans"/>
                <w:color w:val="auto"/>
                <w:sz w:val="18"/>
                <w:szCs w:val="18"/>
              </w:rPr>
              <w:t>First Choice Main Food</w:t>
            </w:r>
          </w:p>
        </w:tc>
        <w:tc>
          <w:tcPr>
            <w:tcW w:w="4421" w:type="dxa"/>
            <w:gridSpan w:val="7"/>
            <w:tcBorders>
              <w:bottom w:val="single" w:sz="4" w:space="0" w:color="auto"/>
            </w:tcBorders>
            <w:shd w:val="clear" w:color="auto" w:fill="D9D9D9" w:themeFill="background1" w:themeFillShade="D9"/>
          </w:tcPr>
          <w:p w14:paraId="722A731C" w14:textId="77777777" w:rsidR="00917082" w:rsidRPr="003640BF" w:rsidRDefault="00917082" w:rsidP="008630CB">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Open Sans"/>
                <w:color w:val="auto"/>
                <w:sz w:val="18"/>
                <w:szCs w:val="18"/>
              </w:rPr>
            </w:pPr>
            <w:r w:rsidRPr="003640BF">
              <w:rPr>
                <w:rFonts w:cs="Open Sans"/>
                <w:color w:val="auto"/>
                <w:sz w:val="18"/>
                <w:szCs w:val="18"/>
              </w:rPr>
              <w:t>Second Choice Main Food</w:t>
            </w:r>
          </w:p>
        </w:tc>
      </w:tr>
      <w:tr w:rsidR="00917082" w:rsidRPr="003640BF" w14:paraId="2C40DEC1" w14:textId="77777777" w:rsidTr="008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D9D9D9" w:themeFill="background1" w:themeFillShade="D9"/>
          </w:tcPr>
          <w:p w14:paraId="41E56D85" w14:textId="77777777" w:rsidR="00917082" w:rsidRPr="003640BF" w:rsidRDefault="00917082" w:rsidP="008630CB">
            <w:pPr>
              <w:pStyle w:val="Level1"/>
              <w:numPr>
                <w:ilvl w:val="0"/>
                <w:numId w:val="0"/>
              </w:numPr>
              <w:spacing w:before="0" w:after="0" w:line="240" w:lineRule="auto"/>
              <w:jc w:val="both"/>
              <w:rPr>
                <w:rFonts w:cs="Open Sans"/>
                <w:b/>
                <w:color w:val="auto"/>
                <w:sz w:val="18"/>
                <w:szCs w:val="18"/>
              </w:rPr>
            </w:pPr>
          </w:p>
        </w:tc>
        <w:tc>
          <w:tcPr>
            <w:tcW w:w="632" w:type="dxa"/>
            <w:shd w:val="clear" w:color="auto" w:fill="D9D9D9" w:themeFill="background1" w:themeFillShade="D9"/>
          </w:tcPr>
          <w:p w14:paraId="19A76547"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2</w:t>
            </w:r>
          </w:p>
        </w:tc>
        <w:tc>
          <w:tcPr>
            <w:tcW w:w="632" w:type="dxa"/>
            <w:shd w:val="clear" w:color="auto" w:fill="D9D9D9" w:themeFill="background1" w:themeFillShade="D9"/>
          </w:tcPr>
          <w:p w14:paraId="45E52617"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3</w:t>
            </w:r>
          </w:p>
        </w:tc>
        <w:tc>
          <w:tcPr>
            <w:tcW w:w="632" w:type="dxa"/>
            <w:shd w:val="clear" w:color="auto" w:fill="D9D9D9" w:themeFill="background1" w:themeFillShade="D9"/>
          </w:tcPr>
          <w:p w14:paraId="02F31D45"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4</w:t>
            </w:r>
          </w:p>
        </w:tc>
        <w:tc>
          <w:tcPr>
            <w:tcW w:w="632" w:type="dxa"/>
            <w:shd w:val="clear" w:color="auto" w:fill="D9D9D9" w:themeFill="background1" w:themeFillShade="D9"/>
          </w:tcPr>
          <w:p w14:paraId="43B69C89"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5</w:t>
            </w:r>
          </w:p>
        </w:tc>
        <w:tc>
          <w:tcPr>
            <w:tcW w:w="631" w:type="dxa"/>
            <w:shd w:val="clear" w:color="auto" w:fill="D9D9D9" w:themeFill="background1" w:themeFillShade="D9"/>
          </w:tcPr>
          <w:p w14:paraId="4F9FFDA7"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6</w:t>
            </w:r>
          </w:p>
        </w:tc>
        <w:tc>
          <w:tcPr>
            <w:tcW w:w="631" w:type="dxa"/>
            <w:shd w:val="clear" w:color="auto" w:fill="D9D9D9" w:themeFill="background1" w:themeFillShade="D9"/>
          </w:tcPr>
          <w:p w14:paraId="47D2BDE5"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7</w:t>
            </w:r>
          </w:p>
        </w:tc>
        <w:tc>
          <w:tcPr>
            <w:tcW w:w="631" w:type="dxa"/>
            <w:shd w:val="clear" w:color="auto" w:fill="D9D9D9" w:themeFill="background1" w:themeFillShade="D9"/>
          </w:tcPr>
          <w:p w14:paraId="7ACBC5F1"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8</w:t>
            </w:r>
          </w:p>
        </w:tc>
        <w:tc>
          <w:tcPr>
            <w:tcW w:w="631" w:type="dxa"/>
            <w:shd w:val="clear" w:color="auto" w:fill="D9D9D9" w:themeFill="background1" w:themeFillShade="D9"/>
          </w:tcPr>
          <w:p w14:paraId="7675A0E3"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2</w:t>
            </w:r>
          </w:p>
        </w:tc>
        <w:tc>
          <w:tcPr>
            <w:tcW w:w="631" w:type="dxa"/>
            <w:shd w:val="clear" w:color="auto" w:fill="D9D9D9" w:themeFill="background1" w:themeFillShade="D9"/>
          </w:tcPr>
          <w:p w14:paraId="19AA2BDD"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3</w:t>
            </w:r>
          </w:p>
        </w:tc>
        <w:tc>
          <w:tcPr>
            <w:tcW w:w="631" w:type="dxa"/>
            <w:shd w:val="clear" w:color="auto" w:fill="D9D9D9" w:themeFill="background1" w:themeFillShade="D9"/>
          </w:tcPr>
          <w:p w14:paraId="30617974"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4</w:t>
            </w:r>
          </w:p>
        </w:tc>
        <w:tc>
          <w:tcPr>
            <w:tcW w:w="632" w:type="dxa"/>
            <w:shd w:val="clear" w:color="auto" w:fill="D9D9D9" w:themeFill="background1" w:themeFillShade="D9"/>
          </w:tcPr>
          <w:p w14:paraId="267D2B83"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5</w:t>
            </w:r>
          </w:p>
        </w:tc>
        <w:tc>
          <w:tcPr>
            <w:tcW w:w="632" w:type="dxa"/>
            <w:shd w:val="clear" w:color="auto" w:fill="D9D9D9" w:themeFill="background1" w:themeFillShade="D9"/>
          </w:tcPr>
          <w:p w14:paraId="2AFB084C"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6</w:t>
            </w:r>
          </w:p>
        </w:tc>
        <w:tc>
          <w:tcPr>
            <w:tcW w:w="632" w:type="dxa"/>
            <w:shd w:val="clear" w:color="auto" w:fill="D9D9D9" w:themeFill="background1" w:themeFillShade="D9"/>
          </w:tcPr>
          <w:p w14:paraId="7B7A1EED"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7</w:t>
            </w:r>
          </w:p>
        </w:tc>
        <w:tc>
          <w:tcPr>
            <w:tcW w:w="632" w:type="dxa"/>
            <w:shd w:val="clear" w:color="auto" w:fill="D9D9D9" w:themeFill="background1" w:themeFillShade="D9"/>
          </w:tcPr>
          <w:p w14:paraId="170169B4" w14:textId="77777777" w:rsidR="00917082" w:rsidRPr="003640BF" w:rsidRDefault="00917082"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8</w:t>
            </w:r>
          </w:p>
        </w:tc>
      </w:tr>
      <w:tr w:rsidR="00917082" w:rsidRPr="003640BF" w14:paraId="719B5F5F" w14:textId="77777777" w:rsidTr="004937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tcBorders>
              <w:bottom w:val="single" w:sz="4" w:space="0" w:color="auto"/>
            </w:tcBorders>
            <w:shd w:val="clear" w:color="auto" w:fill="auto"/>
          </w:tcPr>
          <w:p w14:paraId="4FAE6D13" w14:textId="77777777" w:rsidR="00917082" w:rsidRPr="003640BF" w:rsidRDefault="00917082" w:rsidP="008630CB">
            <w:pPr>
              <w:pStyle w:val="Level1"/>
              <w:numPr>
                <w:ilvl w:val="0"/>
                <w:numId w:val="0"/>
              </w:numPr>
              <w:spacing w:before="0" w:after="0" w:line="240" w:lineRule="auto"/>
              <w:jc w:val="center"/>
              <w:rPr>
                <w:rFonts w:cs="Open Sans"/>
                <w:b/>
                <w:color w:val="auto"/>
                <w:sz w:val="18"/>
                <w:szCs w:val="18"/>
              </w:rPr>
            </w:pPr>
            <w:r w:rsidRPr="003E7679">
              <w:rPr>
                <w:rFonts w:cs="Open Sans"/>
                <w:b/>
                <w:color w:val="C00000"/>
                <w:sz w:val="18"/>
                <w:szCs w:val="18"/>
              </w:rPr>
              <w:t>2013 Retail Study</w:t>
            </w:r>
          </w:p>
        </w:tc>
      </w:tr>
      <w:tr w:rsidR="003640BF" w:rsidRPr="003640BF" w14:paraId="2B24478A" w14:textId="77777777" w:rsidTr="0036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right w:val="single" w:sz="4" w:space="0" w:color="auto"/>
            </w:tcBorders>
            <w:shd w:val="clear" w:color="auto" w:fill="auto"/>
          </w:tcPr>
          <w:p w14:paraId="70A6A7CF" w14:textId="5CB555CF" w:rsidR="003640BF" w:rsidRPr="003640BF" w:rsidRDefault="003640BF" w:rsidP="003640BF">
            <w:pPr>
              <w:pStyle w:val="Level1"/>
              <w:numPr>
                <w:ilvl w:val="0"/>
                <w:numId w:val="0"/>
              </w:numPr>
              <w:spacing w:before="0" w:after="0" w:line="240" w:lineRule="auto"/>
              <w:jc w:val="both"/>
              <w:rPr>
                <w:rFonts w:cs="Open Sans"/>
                <w:bCs/>
                <w:color w:val="auto"/>
                <w:sz w:val="18"/>
                <w:szCs w:val="18"/>
              </w:rPr>
            </w:pPr>
            <w:r w:rsidRPr="003640BF">
              <w:rPr>
                <w:rFonts w:cs="Open Sans"/>
                <w:bCs/>
                <w:color w:val="auto"/>
                <w:sz w:val="18"/>
                <w:szCs w:val="18"/>
              </w:rPr>
              <w:t>Paignton town centre</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4480AA68" w14:textId="7E0B9039"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17163B83" w14:textId="1CA8CDA6"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1%</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4AF5E15D" w14:textId="12E6255C"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10%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55D37F48" w14:textId="2233FBE9"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2DC6C679" w14:textId="3F53EA0B"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3DB8D737" w14:textId="11467E04"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772528DA" w14:textId="585D2702"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679D2529" w14:textId="08AE637A"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12A77A60" w14:textId="252AFA71"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3E0E7E9B" w14:textId="7CD68096"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29%</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4D1BCFF5" w14:textId="4C0FFBE5"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3F05C711" w14:textId="1C3F4E58"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5BB2A194" w14:textId="43AD4AC1"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6EED92C3" w14:textId="6A199E36"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r>
      <w:tr w:rsidR="003640BF" w:rsidRPr="003640BF" w14:paraId="627DD16A" w14:textId="77777777" w:rsidTr="003640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right w:val="single" w:sz="4" w:space="0" w:color="auto"/>
            </w:tcBorders>
            <w:shd w:val="clear" w:color="auto" w:fill="auto"/>
          </w:tcPr>
          <w:p w14:paraId="29D946FC" w14:textId="477114EE" w:rsidR="003640BF" w:rsidRPr="003640BF" w:rsidRDefault="003640BF" w:rsidP="003640BF">
            <w:pPr>
              <w:pStyle w:val="Level1"/>
              <w:numPr>
                <w:ilvl w:val="0"/>
                <w:numId w:val="0"/>
              </w:numPr>
              <w:spacing w:before="0" w:after="0" w:line="240" w:lineRule="auto"/>
              <w:jc w:val="both"/>
              <w:rPr>
                <w:rFonts w:cs="Open Sans"/>
                <w:bCs/>
                <w:color w:val="auto"/>
                <w:sz w:val="18"/>
                <w:szCs w:val="18"/>
              </w:rPr>
            </w:pPr>
            <w:r w:rsidRPr="003640BF">
              <w:rPr>
                <w:rFonts w:cs="Open Sans"/>
                <w:bCs/>
                <w:color w:val="auto"/>
                <w:sz w:val="18"/>
                <w:szCs w:val="18"/>
              </w:rPr>
              <w:t>Preston district centre</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0F8500D3" w14:textId="29D0FFF0"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7C7D58DE" w14:textId="51F769FC"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4%</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6FC74205" w14:textId="1BA9D38C"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6%</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4A3C9FF2" w14:textId="5D256405"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12D0D092" w14:textId="7E7AFC90"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6FDE39B8" w14:textId="4F381DF7"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3B592907" w14:textId="36E27E19"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6687BBA5" w14:textId="2A0C581B"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00369B70" w14:textId="369CC12D"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4%</w:t>
            </w:r>
          </w:p>
        </w:tc>
        <w:tc>
          <w:tcPr>
            <w:tcW w:w="631" w:type="dxa"/>
            <w:tcBorders>
              <w:top w:val="single" w:sz="4" w:space="0" w:color="auto"/>
              <w:left w:val="single" w:sz="4" w:space="0" w:color="auto"/>
              <w:bottom w:val="single" w:sz="4" w:space="0" w:color="auto"/>
              <w:right w:val="single" w:sz="4" w:space="0" w:color="auto"/>
            </w:tcBorders>
            <w:shd w:val="clear" w:color="auto" w:fill="auto"/>
            <w:vAlign w:val="bottom"/>
          </w:tcPr>
          <w:p w14:paraId="49F5B9C8" w14:textId="36ABAC1F"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9%</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72E4F9EF" w14:textId="72F6F3C1"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1%</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55552A9A" w14:textId="06F232CB"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3F503BA0" w14:textId="14935D02"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040C2F43" w14:textId="7463BF3C"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r>
      <w:tr w:rsidR="003640BF" w:rsidRPr="003640BF" w14:paraId="6960E44E" w14:textId="77777777" w:rsidTr="008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5A5426C9" w14:textId="77777777" w:rsidR="003640BF" w:rsidRPr="003640BF" w:rsidRDefault="003640BF" w:rsidP="003640BF">
            <w:pPr>
              <w:pStyle w:val="Level1"/>
              <w:numPr>
                <w:ilvl w:val="0"/>
                <w:numId w:val="0"/>
              </w:numPr>
              <w:spacing w:before="0" w:after="0" w:line="240" w:lineRule="auto"/>
              <w:jc w:val="center"/>
              <w:rPr>
                <w:rFonts w:cs="Open Sans"/>
                <w:b/>
                <w:color w:val="auto"/>
                <w:sz w:val="18"/>
                <w:szCs w:val="18"/>
              </w:rPr>
            </w:pPr>
            <w:r w:rsidRPr="003E7679">
              <w:rPr>
                <w:rFonts w:cs="Open Sans"/>
                <w:b/>
                <w:color w:val="C00000"/>
                <w:sz w:val="18"/>
                <w:szCs w:val="18"/>
              </w:rPr>
              <w:t>2022 Retail Study</w:t>
            </w:r>
          </w:p>
        </w:tc>
      </w:tr>
      <w:tr w:rsidR="003640BF" w:rsidRPr="003640BF" w14:paraId="2483C73A" w14:textId="77777777" w:rsidTr="004937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shd w:val="clear" w:color="auto" w:fill="auto"/>
          </w:tcPr>
          <w:p w14:paraId="452364C5" w14:textId="35BB57E7" w:rsidR="003640BF" w:rsidRPr="003640BF" w:rsidRDefault="003640BF" w:rsidP="003640BF">
            <w:pPr>
              <w:pStyle w:val="Level1"/>
              <w:numPr>
                <w:ilvl w:val="0"/>
                <w:numId w:val="0"/>
              </w:numPr>
              <w:spacing w:before="0" w:after="0" w:line="240" w:lineRule="auto"/>
              <w:jc w:val="both"/>
              <w:rPr>
                <w:rFonts w:cs="Open Sans"/>
                <w:bCs/>
                <w:color w:val="auto"/>
                <w:sz w:val="18"/>
                <w:szCs w:val="18"/>
              </w:rPr>
            </w:pPr>
            <w:r w:rsidRPr="003640BF">
              <w:rPr>
                <w:rFonts w:cs="Open Sans"/>
                <w:bCs/>
                <w:color w:val="auto"/>
                <w:sz w:val="18"/>
                <w:szCs w:val="18"/>
              </w:rPr>
              <w:t>Paignton town centre</w:t>
            </w:r>
          </w:p>
        </w:tc>
        <w:tc>
          <w:tcPr>
            <w:tcW w:w="632" w:type="dxa"/>
            <w:tcBorders>
              <w:top w:val="single" w:sz="4" w:space="0" w:color="auto"/>
              <w:left w:val="single" w:sz="4" w:space="0" w:color="auto"/>
              <w:bottom w:val="single" w:sz="4" w:space="0" w:color="auto"/>
              <w:right w:val="nil"/>
            </w:tcBorders>
            <w:shd w:val="clear" w:color="auto" w:fill="auto"/>
            <w:vAlign w:val="bottom"/>
          </w:tcPr>
          <w:p w14:paraId="79DDAAA3" w14:textId="54132EB4"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2%</w:t>
            </w:r>
          </w:p>
        </w:tc>
        <w:tc>
          <w:tcPr>
            <w:tcW w:w="632" w:type="dxa"/>
            <w:tcBorders>
              <w:top w:val="single" w:sz="4" w:space="0" w:color="auto"/>
              <w:left w:val="single" w:sz="4" w:space="0" w:color="auto"/>
              <w:bottom w:val="single" w:sz="4" w:space="0" w:color="auto"/>
              <w:right w:val="nil"/>
            </w:tcBorders>
            <w:shd w:val="clear" w:color="auto" w:fill="auto"/>
            <w:vAlign w:val="bottom"/>
          </w:tcPr>
          <w:p w14:paraId="47E81D96" w14:textId="6E7A255F"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4%</w:t>
            </w:r>
          </w:p>
        </w:tc>
        <w:tc>
          <w:tcPr>
            <w:tcW w:w="632" w:type="dxa"/>
            <w:tcBorders>
              <w:top w:val="single" w:sz="4" w:space="0" w:color="auto"/>
              <w:left w:val="single" w:sz="4" w:space="0" w:color="auto"/>
              <w:bottom w:val="single" w:sz="4" w:space="0" w:color="auto"/>
              <w:right w:val="nil"/>
            </w:tcBorders>
            <w:shd w:val="clear" w:color="auto" w:fill="auto"/>
            <w:vAlign w:val="bottom"/>
          </w:tcPr>
          <w:p w14:paraId="2EC3CC66" w14:textId="6D4DB196"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8%</w:t>
            </w:r>
          </w:p>
        </w:tc>
        <w:tc>
          <w:tcPr>
            <w:tcW w:w="632" w:type="dxa"/>
            <w:tcBorders>
              <w:top w:val="single" w:sz="4" w:space="0" w:color="auto"/>
              <w:left w:val="single" w:sz="4" w:space="0" w:color="auto"/>
              <w:bottom w:val="single" w:sz="4" w:space="0" w:color="auto"/>
              <w:right w:val="nil"/>
            </w:tcBorders>
            <w:shd w:val="clear" w:color="auto" w:fill="auto"/>
            <w:vAlign w:val="bottom"/>
          </w:tcPr>
          <w:p w14:paraId="288534C8" w14:textId="4627A763"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tcBorders>
              <w:top w:val="single" w:sz="4" w:space="0" w:color="auto"/>
              <w:left w:val="single" w:sz="4" w:space="0" w:color="auto"/>
              <w:bottom w:val="single" w:sz="4" w:space="0" w:color="auto"/>
              <w:right w:val="nil"/>
            </w:tcBorders>
            <w:shd w:val="clear" w:color="auto" w:fill="auto"/>
            <w:vAlign w:val="bottom"/>
          </w:tcPr>
          <w:p w14:paraId="19469A53" w14:textId="28E4ADA3"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tcBorders>
              <w:top w:val="single" w:sz="4" w:space="0" w:color="auto"/>
              <w:left w:val="single" w:sz="4" w:space="0" w:color="auto"/>
              <w:bottom w:val="single" w:sz="4" w:space="0" w:color="auto"/>
              <w:right w:val="nil"/>
            </w:tcBorders>
            <w:shd w:val="clear" w:color="auto" w:fill="auto"/>
            <w:vAlign w:val="bottom"/>
          </w:tcPr>
          <w:p w14:paraId="449B286F" w14:textId="7F63DB23"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tcBorders>
              <w:top w:val="single" w:sz="4" w:space="0" w:color="auto"/>
              <w:left w:val="single" w:sz="4" w:space="0" w:color="auto"/>
              <w:bottom w:val="single" w:sz="4" w:space="0" w:color="auto"/>
              <w:right w:val="nil"/>
            </w:tcBorders>
            <w:shd w:val="clear" w:color="auto" w:fill="auto"/>
            <w:vAlign w:val="bottom"/>
          </w:tcPr>
          <w:p w14:paraId="0F6B12B4" w14:textId="1A590E27"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tcBorders>
              <w:top w:val="single" w:sz="4" w:space="0" w:color="auto"/>
              <w:left w:val="single" w:sz="4" w:space="0" w:color="auto"/>
              <w:bottom w:val="single" w:sz="4" w:space="0" w:color="auto"/>
              <w:right w:val="nil"/>
            </w:tcBorders>
            <w:shd w:val="clear" w:color="auto" w:fill="auto"/>
            <w:vAlign w:val="bottom"/>
          </w:tcPr>
          <w:p w14:paraId="19B937D8" w14:textId="3E85B125"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tcBorders>
              <w:top w:val="single" w:sz="4" w:space="0" w:color="auto"/>
              <w:left w:val="single" w:sz="4" w:space="0" w:color="auto"/>
              <w:bottom w:val="single" w:sz="4" w:space="0" w:color="auto"/>
              <w:right w:val="nil"/>
            </w:tcBorders>
            <w:shd w:val="clear" w:color="auto" w:fill="auto"/>
            <w:vAlign w:val="bottom"/>
          </w:tcPr>
          <w:p w14:paraId="71A012A3" w14:textId="0B489DF5"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4%</w:t>
            </w:r>
          </w:p>
        </w:tc>
        <w:tc>
          <w:tcPr>
            <w:tcW w:w="631" w:type="dxa"/>
            <w:tcBorders>
              <w:top w:val="single" w:sz="4" w:space="0" w:color="auto"/>
              <w:left w:val="single" w:sz="4" w:space="0" w:color="auto"/>
              <w:bottom w:val="single" w:sz="4" w:space="0" w:color="auto"/>
              <w:right w:val="nil"/>
            </w:tcBorders>
            <w:shd w:val="clear" w:color="auto" w:fill="auto"/>
            <w:vAlign w:val="bottom"/>
          </w:tcPr>
          <w:p w14:paraId="24F7E7C2" w14:textId="54939347"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9%</w:t>
            </w:r>
          </w:p>
        </w:tc>
        <w:tc>
          <w:tcPr>
            <w:tcW w:w="632" w:type="dxa"/>
            <w:tcBorders>
              <w:top w:val="single" w:sz="4" w:space="0" w:color="auto"/>
              <w:left w:val="single" w:sz="4" w:space="0" w:color="auto"/>
              <w:bottom w:val="single" w:sz="4" w:space="0" w:color="auto"/>
              <w:right w:val="nil"/>
            </w:tcBorders>
            <w:shd w:val="clear" w:color="auto" w:fill="auto"/>
            <w:vAlign w:val="bottom"/>
          </w:tcPr>
          <w:p w14:paraId="5582D0B9" w14:textId="3840C71F"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2" w:type="dxa"/>
            <w:tcBorders>
              <w:top w:val="single" w:sz="4" w:space="0" w:color="auto"/>
              <w:left w:val="single" w:sz="4" w:space="0" w:color="auto"/>
              <w:bottom w:val="single" w:sz="4" w:space="0" w:color="auto"/>
              <w:right w:val="nil"/>
            </w:tcBorders>
            <w:shd w:val="clear" w:color="auto" w:fill="auto"/>
            <w:vAlign w:val="bottom"/>
          </w:tcPr>
          <w:p w14:paraId="168E1B7B" w14:textId="173E197B"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2" w:type="dxa"/>
            <w:tcBorders>
              <w:top w:val="single" w:sz="4" w:space="0" w:color="auto"/>
              <w:left w:val="single" w:sz="4" w:space="0" w:color="auto"/>
              <w:bottom w:val="single" w:sz="4" w:space="0" w:color="auto"/>
              <w:right w:val="nil"/>
            </w:tcBorders>
            <w:shd w:val="clear" w:color="auto" w:fill="auto"/>
            <w:vAlign w:val="bottom"/>
          </w:tcPr>
          <w:p w14:paraId="64C10217" w14:textId="53729D28"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781DA65A" w14:textId="4A650C2F"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r>
      <w:tr w:rsidR="003640BF" w:rsidRPr="003640BF" w14:paraId="693E0AA3" w14:textId="77777777" w:rsidTr="0049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bottom w:val="single" w:sz="4" w:space="0" w:color="auto"/>
            </w:tcBorders>
            <w:shd w:val="clear" w:color="auto" w:fill="auto"/>
          </w:tcPr>
          <w:p w14:paraId="6E7ED1B6" w14:textId="035BC1AA" w:rsidR="003640BF" w:rsidRPr="003640BF" w:rsidRDefault="003640BF" w:rsidP="003640BF">
            <w:pPr>
              <w:pStyle w:val="Level1"/>
              <w:numPr>
                <w:ilvl w:val="0"/>
                <w:numId w:val="0"/>
              </w:numPr>
              <w:spacing w:before="0" w:after="0" w:line="240" w:lineRule="auto"/>
              <w:jc w:val="both"/>
              <w:rPr>
                <w:rFonts w:cs="Open Sans"/>
                <w:bCs/>
                <w:color w:val="auto"/>
                <w:sz w:val="18"/>
                <w:szCs w:val="18"/>
              </w:rPr>
            </w:pPr>
            <w:r w:rsidRPr="003640BF">
              <w:rPr>
                <w:rFonts w:cs="Open Sans"/>
                <w:bCs/>
                <w:color w:val="auto"/>
                <w:sz w:val="18"/>
                <w:szCs w:val="18"/>
              </w:rPr>
              <w:t>Preston district centre</w:t>
            </w:r>
          </w:p>
        </w:tc>
        <w:tc>
          <w:tcPr>
            <w:tcW w:w="632" w:type="dxa"/>
            <w:tcBorders>
              <w:top w:val="single" w:sz="4" w:space="0" w:color="auto"/>
              <w:left w:val="single" w:sz="4" w:space="0" w:color="auto"/>
              <w:bottom w:val="single" w:sz="4" w:space="0" w:color="auto"/>
              <w:right w:val="nil"/>
            </w:tcBorders>
            <w:shd w:val="clear" w:color="auto" w:fill="auto"/>
            <w:vAlign w:val="bottom"/>
          </w:tcPr>
          <w:p w14:paraId="12402490" w14:textId="79A60045"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2" w:type="dxa"/>
            <w:tcBorders>
              <w:top w:val="single" w:sz="4" w:space="0" w:color="auto"/>
              <w:left w:val="single" w:sz="4" w:space="0" w:color="auto"/>
              <w:bottom w:val="single" w:sz="4" w:space="0" w:color="auto"/>
              <w:right w:val="nil"/>
            </w:tcBorders>
            <w:shd w:val="clear" w:color="auto" w:fill="auto"/>
            <w:vAlign w:val="bottom"/>
          </w:tcPr>
          <w:p w14:paraId="41C75C17" w14:textId="46B289B5"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7%</w:t>
            </w:r>
          </w:p>
        </w:tc>
        <w:tc>
          <w:tcPr>
            <w:tcW w:w="632" w:type="dxa"/>
            <w:tcBorders>
              <w:top w:val="single" w:sz="4" w:space="0" w:color="auto"/>
              <w:left w:val="single" w:sz="4" w:space="0" w:color="auto"/>
              <w:bottom w:val="single" w:sz="4" w:space="0" w:color="auto"/>
              <w:right w:val="nil"/>
            </w:tcBorders>
            <w:shd w:val="clear" w:color="auto" w:fill="auto"/>
            <w:vAlign w:val="bottom"/>
          </w:tcPr>
          <w:p w14:paraId="1824A58A" w14:textId="68FD7F8F"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4%</w:t>
            </w:r>
          </w:p>
        </w:tc>
        <w:tc>
          <w:tcPr>
            <w:tcW w:w="632" w:type="dxa"/>
            <w:tcBorders>
              <w:top w:val="single" w:sz="4" w:space="0" w:color="auto"/>
              <w:left w:val="single" w:sz="4" w:space="0" w:color="auto"/>
              <w:bottom w:val="single" w:sz="4" w:space="0" w:color="auto"/>
              <w:right w:val="nil"/>
            </w:tcBorders>
            <w:shd w:val="clear" w:color="auto" w:fill="auto"/>
            <w:vAlign w:val="bottom"/>
          </w:tcPr>
          <w:p w14:paraId="50EF680A" w14:textId="52C57C19"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tcBorders>
              <w:top w:val="single" w:sz="4" w:space="0" w:color="auto"/>
              <w:left w:val="single" w:sz="4" w:space="0" w:color="auto"/>
              <w:bottom w:val="single" w:sz="4" w:space="0" w:color="auto"/>
              <w:right w:val="nil"/>
            </w:tcBorders>
            <w:shd w:val="clear" w:color="auto" w:fill="auto"/>
            <w:vAlign w:val="bottom"/>
          </w:tcPr>
          <w:p w14:paraId="0B77175C" w14:textId="0620BBBA"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tcBorders>
              <w:top w:val="single" w:sz="4" w:space="0" w:color="auto"/>
              <w:left w:val="single" w:sz="4" w:space="0" w:color="auto"/>
              <w:bottom w:val="single" w:sz="4" w:space="0" w:color="auto"/>
              <w:right w:val="nil"/>
            </w:tcBorders>
            <w:shd w:val="clear" w:color="auto" w:fill="auto"/>
            <w:vAlign w:val="bottom"/>
          </w:tcPr>
          <w:p w14:paraId="72C7E216" w14:textId="77F11F48"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tcBorders>
              <w:top w:val="single" w:sz="4" w:space="0" w:color="auto"/>
              <w:left w:val="single" w:sz="4" w:space="0" w:color="auto"/>
              <w:bottom w:val="single" w:sz="4" w:space="0" w:color="auto"/>
              <w:right w:val="nil"/>
            </w:tcBorders>
            <w:shd w:val="clear" w:color="auto" w:fill="auto"/>
            <w:vAlign w:val="bottom"/>
          </w:tcPr>
          <w:p w14:paraId="793952A3" w14:textId="174217BB"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tcBorders>
              <w:top w:val="single" w:sz="4" w:space="0" w:color="auto"/>
              <w:left w:val="single" w:sz="4" w:space="0" w:color="auto"/>
              <w:bottom w:val="single" w:sz="4" w:space="0" w:color="auto"/>
              <w:right w:val="nil"/>
            </w:tcBorders>
            <w:shd w:val="clear" w:color="auto" w:fill="auto"/>
            <w:vAlign w:val="bottom"/>
          </w:tcPr>
          <w:p w14:paraId="27241FBE" w14:textId="1818B3B0"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tcBorders>
              <w:top w:val="single" w:sz="4" w:space="0" w:color="auto"/>
              <w:left w:val="single" w:sz="4" w:space="0" w:color="auto"/>
              <w:bottom w:val="single" w:sz="4" w:space="0" w:color="auto"/>
              <w:right w:val="nil"/>
            </w:tcBorders>
            <w:shd w:val="clear" w:color="auto" w:fill="auto"/>
            <w:vAlign w:val="bottom"/>
          </w:tcPr>
          <w:p w14:paraId="2FE27E7C" w14:textId="42E98674"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5%</w:t>
            </w:r>
          </w:p>
        </w:tc>
        <w:tc>
          <w:tcPr>
            <w:tcW w:w="631" w:type="dxa"/>
            <w:tcBorders>
              <w:top w:val="single" w:sz="4" w:space="0" w:color="auto"/>
              <w:left w:val="single" w:sz="4" w:space="0" w:color="auto"/>
              <w:bottom w:val="single" w:sz="4" w:space="0" w:color="auto"/>
              <w:right w:val="nil"/>
            </w:tcBorders>
            <w:shd w:val="clear" w:color="auto" w:fill="auto"/>
            <w:vAlign w:val="bottom"/>
          </w:tcPr>
          <w:p w14:paraId="1F1B394F" w14:textId="4F5ADC08"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4%</w:t>
            </w:r>
          </w:p>
        </w:tc>
        <w:tc>
          <w:tcPr>
            <w:tcW w:w="632" w:type="dxa"/>
            <w:tcBorders>
              <w:top w:val="single" w:sz="4" w:space="0" w:color="auto"/>
              <w:left w:val="single" w:sz="4" w:space="0" w:color="auto"/>
              <w:bottom w:val="single" w:sz="4" w:space="0" w:color="auto"/>
              <w:right w:val="nil"/>
            </w:tcBorders>
            <w:shd w:val="clear" w:color="auto" w:fill="auto"/>
            <w:vAlign w:val="bottom"/>
          </w:tcPr>
          <w:p w14:paraId="72725281" w14:textId="0C76435D"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2" w:type="dxa"/>
            <w:tcBorders>
              <w:top w:val="single" w:sz="4" w:space="0" w:color="auto"/>
              <w:left w:val="single" w:sz="4" w:space="0" w:color="auto"/>
              <w:bottom w:val="single" w:sz="4" w:space="0" w:color="auto"/>
              <w:right w:val="nil"/>
            </w:tcBorders>
            <w:shd w:val="clear" w:color="auto" w:fill="auto"/>
            <w:vAlign w:val="bottom"/>
          </w:tcPr>
          <w:p w14:paraId="26D411A8" w14:textId="0A7FE9FF"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2" w:type="dxa"/>
            <w:tcBorders>
              <w:top w:val="single" w:sz="4" w:space="0" w:color="auto"/>
              <w:left w:val="single" w:sz="4" w:space="0" w:color="auto"/>
              <w:bottom w:val="single" w:sz="4" w:space="0" w:color="auto"/>
              <w:right w:val="nil"/>
            </w:tcBorders>
            <w:shd w:val="clear" w:color="auto" w:fill="auto"/>
            <w:vAlign w:val="bottom"/>
          </w:tcPr>
          <w:p w14:paraId="30B61800" w14:textId="2E6FDD63"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2" w:type="dxa"/>
            <w:tcBorders>
              <w:top w:val="single" w:sz="4" w:space="0" w:color="auto"/>
              <w:left w:val="single" w:sz="4" w:space="0" w:color="auto"/>
              <w:bottom w:val="single" w:sz="4" w:space="0" w:color="auto"/>
              <w:right w:val="single" w:sz="4" w:space="0" w:color="auto"/>
            </w:tcBorders>
            <w:shd w:val="clear" w:color="auto" w:fill="auto"/>
            <w:vAlign w:val="bottom"/>
          </w:tcPr>
          <w:p w14:paraId="54C373CB" w14:textId="4A75AD72"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r>
    </w:tbl>
    <w:p w14:paraId="39A16D4E" w14:textId="77777777" w:rsidR="00BA4C0C" w:rsidRDefault="00917082" w:rsidP="00917082">
      <w:pPr>
        <w:pStyle w:val="Level1"/>
        <w:numPr>
          <w:ilvl w:val="0"/>
          <w:numId w:val="0"/>
        </w:numPr>
        <w:ind w:left="720"/>
      </w:pPr>
      <w:r>
        <w:t xml:space="preserve">    </w:t>
      </w:r>
    </w:p>
    <w:p w14:paraId="00EB16F7" w14:textId="340B2B7D" w:rsidR="00BA4C0C" w:rsidRPr="00EA138F" w:rsidRDefault="00BA4C0C" w:rsidP="00BA4C0C">
      <w:pPr>
        <w:pStyle w:val="Level1"/>
        <w:numPr>
          <w:ilvl w:val="0"/>
          <w:numId w:val="0"/>
        </w:numPr>
        <w:ind w:left="720"/>
        <w:jc w:val="both"/>
        <w:rPr>
          <w:rStyle w:val="Emphasis"/>
        </w:rPr>
      </w:pPr>
      <w:r>
        <w:rPr>
          <w:rStyle w:val="Emphasis"/>
        </w:rPr>
        <w:t>Table 4.11: first and second choice top-up food shopping market shares associated with Paignton town centre and Preston district centre (2013 and 2022 retail studies)</w:t>
      </w:r>
    </w:p>
    <w:tbl>
      <w:tblPr>
        <w:tblStyle w:val="CustomTable2"/>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32"/>
        <w:gridCol w:w="631"/>
        <w:gridCol w:w="743"/>
        <w:gridCol w:w="631"/>
        <w:gridCol w:w="630"/>
        <w:gridCol w:w="630"/>
        <w:gridCol w:w="630"/>
        <w:gridCol w:w="630"/>
        <w:gridCol w:w="630"/>
        <w:gridCol w:w="743"/>
        <w:gridCol w:w="631"/>
        <w:gridCol w:w="631"/>
        <w:gridCol w:w="631"/>
        <w:gridCol w:w="630"/>
      </w:tblGrid>
      <w:tr w:rsidR="00BA4C0C" w:rsidRPr="003640BF" w14:paraId="78E1CC80" w14:textId="77777777" w:rsidTr="00BA69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shd w:val="clear" w:color="auto" w:fill="D9D9D9" w:themeFill="background1" w:themeFillShade="D9"/>
          </w:tcPr>
          <w:p w14:paraId="55DCBC19" w14:textId="77777777" w:rsidR="00BA4C0C" w:rsidRPr="003640BF" w:rsidRDefault="00BA4C0C" w:rsidP="008630CB">
            <w:pPr>
              <w:pStyle w:val="Level1"/>
              <w:numPr>
                <w:ilvl w:val="0"/>
                <w:numId w:val="0"/>
              </w:numPr>
              <w:spacing w:before="0" w:after="0" w:line="240" w:lineRule="auto"/>
              <w:jc w:val="both"/>
              <w:rPr>
                <w:rFonts w:cs="Open Sans"/>
                <w:color w:val="auto"/>
                <w:sz w:val="18"/>
                <w:szCs w:val="18"/>
              </w:rPr>
            </w:pPr>
            <w:r w:rsidRPr="003640BF">
              <w:rPr>
                <w:rFonts w:cs="Open Sans"/>
                <w:color w:val="auto"/>
                <w:sz w:val="18"/>
                <w:szCs w:val="18"/>
              </w:rPr>
              <w:t>CENTRE</w:t>
            </w:r>
          </w:p>
        </w:tc>
        <w:tc>
          <w:tcPr>
            <w:tcW w:w="4527" w:type="dxa"/>
            <w:gridSpan w:val="7"/>
            <w:shd w:val="clear" w:color="auto" w:fill="D9D9D9" w:themeFill="background1" w:themeFillShade="D9"/>
          </w:tcPr>
          <w:p w14:paraId="1028F808" w14:textId="1251D13A" w:rsidR="00BA4C0C" w:rsidRPr="003640BF" w:rsidRDefault="00BA4C0C" w:rsidP="008630CB">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Open Sans"/>
                <w:color w:val="auto"/>
                <w:sz w:val="18"/>
                <w:szCs w:val="18"/>
              </w:rPr>
            </w:pPr>
            <w:r w:rsidRPr="003640BF">
              <w:rPr>
                <w:rFonts w:cs="Open Sans"/>
                <w:color w:val="auto"/>
                <w:sz w:val="18"/>
                <w:szCs w:val="18"/>
              </w:rPr>
              <w:t xml:space="preserve">First Choice </w:t>
            </w:r>
            <w:r w:rsidR="00155F90">
              <w:rPr>
                <w:rFonts w:cs="Open Sans"/>
                <w:color w:val="auto"/>
                <w:sz w:val="18"/>
                <w:szCs w:val="18"/>
              </w:rPr>
              <w:t>Top-Up</w:t>
            </w:r>
            <w:r w:rsidRPr="003640BF">
              <w:rPr>
                <w:rFonts w:cs="Open Sans"/>
                <w:color w:val="auto"/>
                <w:sz w:val="18"/>
                <w:szCs w:val="18"/>
              </w:rPr>
              <w:t xml:space="preserve"> Food</w:t>
            </w:r>
          </w:p>
        </w:tc>
        <w:tc>
          <w:tcPr>
            <w:tcW w:w="4526" w:type="dxa"/>
            <w:gridSpan w:val="7"/>
            <w:shd w:val="clear" w:color="auto" w:fill="D9D9D9" w:themeFill="background1" w:themeFillShade="D9"/>
          </w:tcPr>
          <w:p w14:paraId="0EC00DE5" w14:textId="0481F5B5" w:rsidR="00BA4C0C" w:rsidRPr="003640BF" w:rsidRDefault="00BA4C0C" w:rsidP="008630CB">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Open Sans"/>
                <w:color w:val="auto"/>
                <w:sz w:val="18"/>
                <w:szCs w:val="18"/>
              </w:rPr>
            </w:pPr>
            <w:r w:rsidRPr="003640BF">
              <w:rPr>
                <w:rFonts w:cs="Open Sans"/>
                <w:color w:val="auto"/>
                <w:sz w:val="18"/>
                <w:szCs w:val="18"/>
              </w:rPr>
              <w:t xml:space="preserve">Second Choice </w:t>
            </w:r>
            <w:r w:rsidR="00155F90">
              <w:rPr>
                <w:rFonts w:cs="Open Sans"/>
                <w:color w:val="auto"/>
                <w:sz w:val="18"/>
                <w:szCs w:val="18"/>
              </w:rPr>
              <w:t>Top-Up</w:t>
            </w:r>
            <w:r w:rsidRPr="003640BF">
              <w:rPr>
                <w:rFonts w:cs="Open Sans"/>
                <w:color w:val="auto"/>
                <w:sz w:val="18"/>
                <w:szCs w:val="18"/>
              </w:rPr>
              <w:t xml:space="preserve"> Food</w:t>
            </w:r>
          </w:p>
        </w:tc>
      </w:tr>
      <w:tr w:rsidR="00BA69CF" w:rsidRPr="003640BF" w14:paraId="360B0105" w14:textId="77777777" w:rsidTr="00BA69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shd w:val="clear" w:color="auto" w:fill="D9D9D9" w:themeFill="background1" w:themeFillShade="D9"/>
          </w:tcPr>
          <w:p w14:paraId="096F4131" w14:textId="77777777" w:rsidR="00BA4C0C" w:rsidRPr="003640BF" w:rsidRDefault="00BA4C0C" w:rsidP="008630CB">
            <w:pPr>
              <w:pStyle w:val="Level1"/>
              <w:numPr>
                <w:ilvl w:val="0"/>
                <w:numId w:val="0"/>
              </w:numPr>
              <w:spacing w:before="0" w:after="0" w:line="240" w:lineRule="auto"/>
              <w:jc w:val="both"/>
              <w:rPr>
                <w:rFonts w:cs="Open Sans"/>
                <w:b/>
                <w:color w:val="auto"/>
                <w:sz w:val="18"/>
                <w:szCs w:val="18"/>
              </w:rPr>
            </w:pPr>
          </w:p>
        </w:tc>
        <w:tc>
          <w:tcPr>
            <w:tcW w:w="632" w:type="dxa"/>
            <w:shd w:val="clear" w:color="auto" w:fill="D9D9D9" w:themeFill="background1" w:themeFillShade="D9"/>
          </w:tcPr>
          <w:p w14:paraId="0C249D7E"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2</w:t>
            </w:r>
          </w:p>
        </w:tc>
        <w:tc>
          <w:tcPr>
            <w:tcW w:w="631" w:type="dxa"/>
            <w:shd w:val="clear" w:color="auto" w:fill="D9D9D9" w:themeFill="background1" w:themeFillShade="D9"/>
          </w:tcPr>
          <w:p w14:paraId="73BA9016"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3</w:t>
            </w:r>
          </w:p>
        </w:tc>
        <w:tc>
          <w:tcPr>
            <w:tcW w:w="743" w:type="dxa"/>
            <w:shd w:val="clear" w:color="auto" w:fill="D9D9D9" w:themeFill="background1" w:themeFillShade="D9"/>
          </w:tcPr>
          <w:p w14:paraId="5736875D"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4</w:t>
            </w:r>
          </w:p>
        </w:tc>
        <w:tc>
          <w:tcPr>
            <w:tcW w:w="631" w:type="dxa"/>
            <w:shd w:val="clear" w:color="auto" w:fill="D9D9D9" w:themeFill="background1" w:themeFillShade="D9"/>
          </w:tcPr>
          <w:p w14:paraId="61F3DFDD"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5</w:t>
            </w:r>
          </w:p>
        </w:tc>
        <w:tc>
          <w:tcPr>
            <w:tcW w:w="630" w:type="dxa"/>
            <w:shd w:val="clear" w:color="auto" w:fill="D9D9D9" w:themeFill="background1" w:themeFillShade="D9"/>
          </w:tcPr>
          <w:p w14:paraId="63DFFC65"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6</w:t>
            </w:r>
          </w:p>
        </w:tc>
        <w:tc>
          <w:tcPr>
            <w:tcW w:w="630" w:type="dxa"/>
            <w:shd w:val="clear" w:color="auto" w:fill="D9D9D9" w:themeFill="background1" w:themeFillShade="D9"/>
          </w:tcPr>
          <w:p w14:paraId="22E2AA1A"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7</w:t>
            </w:r>
          </w:p>
        </w:tc>
        <w:tc>
          <w:tcPr>
            <w:tcW w:w="630" w:type="dxa"/>
            <w:shd w:val="clear" w:color="auto" w:fill="D9D9D9" w:themeFill="background1" w:themeFillShade="D9"/>
          </w:tcPr>
          <w:p w14:paraId="6CA46123"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8</w:t>
            </w:r>
          </w:p>
        </w:tc>
        <w:tc>
          <w:tcPr>
            <w:tcW w:w="630" w:type="dxa"/>
            <w:shd w:val="clear" w:color="auto" w:fill="D9D9D9" w:themeFill="background1" w:themeFillShade="D9"/>
          </w:tcPr>
          <w:p w14:paraId="792F76AB"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2</w:t>
            </w:r>
          </w:p>
        </w:tc>
        <w:tc>
          <w:tcPr>
            <w:tcW w:w="630" w:type="dxa"/>
            <w:shd w:val="clear" w:color="auto" w:fill="D9D9D9" w:themeFill="background1" w:themeFillShade="D9"/>
          </w:tcPr>
          <w:p w14:paraId="2CE8812C"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3</w:t>
            </w:r>
          </w:p>
        </w:tc>
        <w:tc>
          <w:tcPr>
            <w:tcW w:w="743" w:type="dxa"/>
            <w:shd w:val="clear" w:color="auto" w:fill="D9D9D9" w:themeFill="background1" w:themeFillShade="D9"/>
          </w:tcPr>
          <w:p w14:paraId="6EB042FB"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4</w:t>
            </w:r>
          </w:p>
        </w:tc>
        <w:tc>
          <w:tcPr>
            <w:tcW w:w="631" w:type="dxa"/>
            <w:shd w:val="clear" w:color="auto" w:fill="D9D9D9" w:themeFill="background1" w:themeFillShade="D9"/>
          </w:tcPr>
          <w:p w14:paraId="7B069AC1"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5</w:t>
            </w:r>
          </w:p>
        </w:tc>
        <w:tc>
          <w:tcPr>
            <w:tcW w:w="631" w:type="dxa"/>
            <w:shd w:val="clear" w:color="auto" w:fill="D9D9D9" w:themeFill="background1" w:themeFillShade="D9"/>
          </w:tcPr>
          <w:p w14:paraId="476BDCD1"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6</w:t>
            </w:r>
          </w:p>
        </w:tc>
        <w:tc>
          <w:tcPr>
            <w:tcW w:w="631" w:type="dxa"/>
            <w:shd w:val="clear" w:color="auto" w:fill="D9D9D9" w:themeFill="background1" w:themeFillShade="D9"/>
          </w:tcPr>
          <w:p w14:paraId="10031DC3"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7</w:t>
            </w:r>
          </w:p>
        </w:tc>
        <w:tc>
          <w:tcPr>
            <w:tcW w:w="630" w:type="dxa"/>
            <w:shd w:val="clear" w:color="auto" w:fill="D9D9D9" w:themeFill="background1" w:themeFillShade="D9"/>
          </w:tcPr>
          <w:p w14:paraId="62998187" w14:textId="77777777" w:rsidR="00BA4C0C" w:rsidRPr="003640BF" w:rsidRDefault="00BA4C0C" w:rsidP="008630CB">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3640BF">
              <w:rPr>
                <w:rFonts w:cs="Open Sans"/>
                <w:b/>
                <w:color w:val="auto"/>
                <w:sz w:val="18"/>
                <w:szCs w:val="18"/>
              </w:rPr>
              <w:t>8</w:t>
            </w:r>
          </w:p>
        </w:tc>
      </w:tr>
      <w:tr w:rsidR="00BA4C0C" w:rsidRPr="003640BF" w14:paraId="3E2DDF3C" w14:textId="77777777" w:rsidTr="003640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5F32E2A6" w14:textId="77777777" w:rsidR="00BA4C0C" w:rsidRPr="003640BF" w:rsidRDefault="00BA4C0C" w:rsidP="008630CB">
            <w:pPr>
              <w:pStyle w:val="Level1"/>
              <w:numPr>
                <w:ilvl w:val="0"/>
                <w:numId w:val="0"/>
              </w:numPr>
              <w:spacing w:before="0" w:after="0" w:line="240" w:lineRule="auto"/>
              <w:jc w:val="center"/>
              <w:rPr>
                <w:rFonts w:cs="Open Sans"/>
                <w:b/>
                <w:color w:val="auto"/>
                <w:sz w:val="18"/>
                <w:szCs w:val="18"/>
              </w:rPr>
            </w:pPr>
            <w:r w:rsidRPr="003E7679">
              <w:rPr>
                <w:rFonts w:cs="Open Sans"/>
                <w:b/>
                <w:color w:val="C00000"/>
                <w:sz w:val="18"/>
                <w:szCs w:val="18"/>
              </w:rPr>
              <w:t>2013 Retail Study</w:t>
            </w:r>
          </w:p>
        </w:tc>
      </w:tr>
      <w:tr w:rsidR="003640BF" w:rsidRPr="003640BF" w14:paraId="0C4CBEF6" w14:textId="77777777" w:rsidTr="0036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shd w:val="clear" w:color="auto" w:fill="auto"/>
          </w:tcPr>
          <w:p w14:paraId="00D9CDFA" w14:textId="6F28062B" w:rsidR="003640BF" w:rsidRPr="003640BF" w:rsidRDefault="003640BF" w:rsidP="003640BF">
            <w:pPr>
              <w:pStyle w:val="Level1"/>
              <w:numPr>
                <w:ilvl w:val="0"/>
                <w:numId w:val="0"/>
              </w:numPr>
              <w:spacing w:before="0" w:after="0" w:line="240" w:lineRule="auto"/>
              <w:jc w:val="both"/>
              <w:rPr>
                <w:rFonts w:cs="Open Sans"/>
                <w:bCs/>
                <w:color w:val="auto"/>
                <w:sz w:val="18"/>
                <w:szCs w:val="18"/>
              </w:rPr>
            </w:pPr>
            <w:r w:rsidRPr="003640BF">
              <w:rPr>
                <w:rFonts w:cs="Open Sans"/>
                <w:bCs/>
                <w:color w:val="auto"/>
                <w:sz w:val="18"/>
                <w:szCs w:val="18"/>
              </w:rPr>
              <w:t>P</w:t>
            </w:r>
            <w:r w:rsidRPr="003640BF">
              <w:rPr>
                <w:rFonts w:cs="Open Sans"/>
                <w:bCs/>
                <w:sz w:val="18"/>
                <w:szCs w:val="18"/>
              </w:rPr>
              <w:t>aignton town centre</w:t>
            </w:r>
          </w:p>
        </w:tc>
        <w:tc>
          <w:tcPr>
            <w:tcW w:w="632" w:type="dxa"/>
            <w:shd w:val="clear" w:color="auto" w:fill="auto"/>
            <w:vAlign w:val="bottom"/>
          </w:tcPr>
          <w:p w14:paraId="3EBFA6BE" w14:textId="5C0A08E1"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1" w:type="dxa"/>
            <w:shd w:val="clear" w:color="auto" w:fill="auto"/>
            <w:vAlign w:val="bottom"/>
          </w:tcPr>
          <w:p w14:paraId="596CA655" w14:textId="08037FBA"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1%</w:t>
            </w:r>
          </w:p>
        </w:tc>
        <w:tc>
          <w:tcPr>
            <w:tcW w:w="743" w:type="dxa"/>
            <w:shd w:val="clear" w:color="auto" w:fill="auto"/>
            <w:vAlign w:val="bottom"/>
          </w:tcPr>
          <w:p w14:paraId="3835F1FB" w14:textId="0947A9D6"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30%</w:t>
            </w:r>
          </w:p>
        </w:tc>
        <w:tc>
          <w:tcPr>
            <w:tcW w:w="631" w:type="dxa"/>
            <w:shd w:val="clear" w:color="auto" w:fill="auto"/>
            <w:vAlign w:val="bottom"/>
          </w:tcPr>
          <w:p w14:paraId="089101A1" w14:textId="1D4B311D"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1%</w:t>
            </w:r>
          </w:p>
        </w:tc>
        <w:tc>
          <w:tcPr>
            <w:tcW w:w="630" w:type="dxa"/>
            <w:shd w:val="clear" w:color="auto" w:fill="auto"/>
            <w:vAlign w:val="bottom"/>
          </w:tcPr>
          <w:p w14:paraId="3DF82FFE" w14:textId="68A7EC1E"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0" w:type="dxa"/>
            <w:shd w:val="clear" w:color="auto" w:fill="auto"/>
            <w:vAlign w:val="bottom"/>
          </w:tcPr>
          <w:p w14:paraId="7555E715" w14:textId="0D1A18C9"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0" w:type="dxa"/>
            <w:shd w:val="clear" w:color="auto" w:fill="auto"/>
            <w:vAlign w:val="bottom"/>
          </w:tcPr>
          <w:p w14:paraId="7B8EF93A" w14:textId="3D35A159"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0" w:type="dxa"/>
            <w:shd w:val="clear" w:color="auto" w:fill="auto"/>
            <w:vAlign w:val="bottom"/>
          </w:tcPr>
          <w:p w14:paraId="36FC15CA" w14:textId="4D7BB45D"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0" w:type="dxa"/>
            <w:shd w:val="clear" w:color="auto" w:fill="auto"/>
            <w:vAlign w:val="bottom"/>
          </w:tcPr>
          <w:p w14:paraId="7FDCB9A0" w14:textId="1DC3363E"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3%</w:t>
            </w:r>
          </w:p>
        </w:tc>
        <w:tc>
          <w:tcPr>
            <w:tcW w:w="743" w:type="dxa"/>
            <w:shd w:val="clear" w:color="auto" w:fill="auto"/>
            <w:vAlign w:val="bottom"/>
          </w:tcPr>
          <w:p w14:paraId="51CA27C2" w14:textId="6504B5EC"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37%</w:t>
            </w:r>
          </w:p>
        </w:tc>
        <w:tc>
          <w:tcPr>
            <w:tcW w:w="631" w:type="dxa"/>
            <w:shd w:val="clear" w:color="auto" w:fill="auto"/>
            <w:vAlign w:val="bottom"/>
          </w:tcPr>
          <w:p w14:paraId="53642866" w14:textId="00C410EE"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1%</w:t>
            </w:r>
          </w:p>
        </w:tc>
        <w:tc>
          <w:tcPr>
            <w:tcW w:w="631" w:type="dxa"/>
            <w:shd w:val="clear" w:color="auto" w:fill="auto"/>
            <w:vAlign w:val="bottom"/>
          </w:tcPr>
          <w:p w14:paraId="446EB29D" w14:textId="7CCA270A"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1" w:type="dxa"/>
            <w:shd w:val="clear" w:color="auto" w:fill="auto"/>
            <w:vAlign w:val="bottom"/>
          </w:tcPr>
          <w:p w14:paraId="65C6F78A" w14:textId="7248ADC1"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c>
          <w:tcPr>
            <w:tcW w:w="630" w:type="dxa"/>
            <w:shd w:val="clear" w:color="auto" w:fill="auto"/>
            <w:vAlign w:val="bottom"/>
          </w:tcPr>
          <w:p w14:paraId="1D13666A" w14:textId="693ECBE8"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sz w:val="18"/>
                <w:szCs w:val="18"/>
              </w:rPr>
              <w:t>0%</w:t>
            </w:r>
          </w:p>
        </w:tc>
      </w:tr>
      <w:tr w:rsidR="003640BF" w:rsidRPr="003640BF" w14:paraId="794549A4" w14:textId="77777777" w:rsidTr="003640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shd w:val="clear" w:color="auto" w:fill="auto"/>
          </w:tcPr>
          <w:p w14:paraId="77469DA9" w14:textId="77777777" w:rsidR="003640BF" w:rsidRPr="003640BF" w:rsidRDefault="003640BF" w:rsidP="003640BF">
            <w:pPr>
              <w:pStyle w:val="Level1"/>
              <w:numPr>
                <w:ilvl w:val="0"/>
                <w:numId w:val="0"/>
              </w:numPr>
              <w:spacing w:before="0" w:after="0" w:line="240" w:lineRule="auto"/>
              <w:jc w:val="both"/>
              <w:rPr>
                <w:rFonts w:cs="Open Sans"/>
                <w:bCs/>
                <w:color w:val="auto"/>
                <w:sz w:val="18"/>
                <w:szCs w:val="18"/>
              </w:rPr>
            </w:pPr>
            <w:r w:rsidRPr="003640BF">
              <w:rPr>
                <w:rFonts w:cs="Open Sans"/>
                <w:bCs/>
                <w:color w:val="auto"/>
                <w:sz w:val="18"/>
                <w:szCs w:val="18"/>
              </w:rPr>
              <w:t>Preston district centre</w:t>
            </w:r>
          </w:p>
        </w:tc>
        <w:tc>
          <w:tcPr>
            <w:tcW w:w="632" w:type="dxa"/>
            <w:shd w:val="clear" w:color="auto" w:fill="auto"/>
            <w:vAlign w:val="bottom"/>
          </w:tcPr>
          <w:p w14:paraId="6B1B425F" w14:textId="3FC42419"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1" w:type="dxa"/>
            <w:shd w:val="clear" w:color="auto" w:fill="auto"/>
            <w:vAlign w:val="bottom"/>
          </w:tcPr>
          <w:p w14:paraId="0FCE1899" w14:textId="62A9A56D"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743" w:type="dxa"/>
            <w:shd w:val="clear" w:color="auto" w:fill="auto"/>
            <w:vAlign w:val="bottom"/>
          </w:tcPr>
          <w:p w14:paraId="70925037" w14:textId="213C3857"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19%</w:t>
            </w:r>
          </w:p>
        </w:tc>
        <w:tc>
          <w:tcPr>
            <w:tcW w:w="631" w:type="dxa"/>
            <w:shd w:val="clear" w:color="auto" w:fill="auto"/>
            <w:vAlign w:val="bottom"/>
          </w:tcPr>
          <w:p w14:paraId="381C3562" w14:textId="1E4A311B"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1%</w:t>
            </w:r>
          </w:p>
        </w:tc>
        <w:tc>
          <w:tcPr>
            <w:tcW w:w="630" w:type="dxa"/>
            <w:shd w:val="clear" w:color="auto" w:fill="auto"/>
            <w:vAlign w:val="bottom"/>
          </w:tcPr>
          <w:p w14:paraId="2D38BD8E" w14:textId="1F4AA7EF"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0" w:type="dxa"/>
            <w:shd w:val="clear" w:color="auto" w:fill="auto"/>
            <w:vAlign w:val="bottom"/>
          </w:tcPr>
          <w:p w14:paraId="74CCB8F7" w14:textId="0E194E79"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0" w:type="dxa"/>
            <w:shd w:val="clear" w:color="auto" w:fill="auto"/>
            <w:vAlign w:val="bottom"/>
          </w:tcPr>
          <w:p w14:paraId="6CE0C766" w14:textId="7BE438D7"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0" w:type="dxa"/>
            <w:shd w:val="clear" w:color="auto" w:fill="auto"/>
            <w:vAlign w:val="bottom"/>
          </w:tcPr>
          <w:p w14:paraId="064E9503" w14:textId="7D659BD8"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0" w:type="dxa"/>
            <w:shd w:val="clear" w:color="auto" w:fill="auto"/>
            <w:vAlign w:val="bottom"/>
          </w:tcPr>
          <w:p w14:paraId="0FB7386F" w14:textId="3E18A488"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743" w:type="dxa"/>
            <w:shd w:val="clear" w:color="auto" w:fill="auto"/>
            <w:vAlign w:val="bottom"/>
          </w:tcPr>
          <w:p w14:paraId="02FCB17A" w14:textId="526CC102"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23%</w:t>
            </w:r>
          </w:p>
        </w:tc>
        <w:tc>
          <w:tcPr>
            <w:tcW w:w="631" w:type="dxa"/>
            <w:shd w:val="clear" w:color="auto" w:fill="auto"/>
            <w:vAlign w:val="bottom"/>
          </w:tcPr>
          <w:p w14:paraId="33313CCF" w14:textId="31354E22"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4%</w:t>
            </w:r>
          </w:p>
        </w:tc>
        <w:tc>
          <w:tcPr>
            <w:tcW w:w="631" w:type="dxa"/>
            <w:shd w:val="clear" w:color="auto" w:fill="auto"/>
            <w:vAlign w:val="bottom"/>
          </w:tcPr>
          <w:p w14:paraId="02F6A07B" w14:textId="6503311C"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1" w:type="dxa"/>
            <w:shd w:val="clear" w:color="auto" w:fill="auto"/>
            <w:vAlign w:val="bottom"/>
          </w:tcPr>
          <w:p w14:paraId="4A77398B" w14:textId="467FF94E"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c>
          <w:tcPr>
            <w:tcW w:w="630" w:type="dxa"/>
            <w:shd w:val="clear" w:color="auto" w:fill="auto"/>
            <w:vAlign w:val="bottom"/>
          </w:tcPr>
          <w:p w14:paraId="5AE75F71" w14:textId="368C0206"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sz w:val="18"/>
                <w:szCs w:val="18"/>
              </w:rPr>
              <w:t>0%</w:t>
            </w:r>
          </w:p>
        </w:tc>
      </w:tr>
      <w:tr w:rsidR="003640BF" w:rsidRPr="003640BF" w14:paraId="5D200E2B" w14:textId="77777777" w:rsidTr="008630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7226FF61" w14:textId="77777777" w:rsidR="003640BF" w:rsidRPr="003640BF" w:rsidRDefault="003640BF" w:rsidP="003640BF">
            <w:pPr>
              <w:pStyle w:val="Level1"/>
              <w:numPr>
                <w:ilvl w:val="0"/>
                <w:numId w:val="0"/>
              </w:numPr>
              <w:spacing w:before="0" w:after="0" w:line="240" w:lineRule="auto"/>
              <w:jc w:val="center"/>
              <w:rPr>
                <w:rFonts w:cs="Open Sans"/>
                <w:b/>
                <w:color w:val="auto"/>
                <w:sz w:val="18"/>
                <w:szCs w:val="18"/>
              </w:rPr>
            </w:pPr>
            <w:r w:rsidRPr="003E7679">
              <w:rPr>
                <w:rFonts w:cs="Open Sans"/>
                <w:b/>
                <w:color w:val="C00000"/>
                <w:sz w:val="18"/>
                <w:szCs w:val="18"/>
              </w:rPr>
              <w:t>2022 Retail Study</w:t>
            </w:r>
          </w:p>
        </w:tc>
      </w:tr>
      <w:tr w:rsidR="003640BF" w:rsidRPr="003640BF" w14:paraId="30BA5DD2" w14:textId="77777777" w:rsidTr="003640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shd w:val="clear" w:color="auto" w:fill="auto"/>
          </w:tcPr>
          <w:p w14:paraId="31CC710C" w14:textId="4CE30E48" w:rsidR="003640BF" w:rsidRPr="003640BF" w:rsidRDefault="003640BF" w:rsidP="003640BF">
            <w:pPr>
              <w:pStyle w:val="Level1"/>
              <w:numPr>
                <w:ilvl w:val="0"/>
                <w:numId w:val="0"/>
              </w:numPr>
              <w:spacing w:before="0" w:after="0" w:line="240" w:lineRule="auto"/>
              <w:jc w:val="both"/>
              <w:rPr>
                <w:rFonts w:cs="Open Sans"/>
                <w:bCs/>
                <w:color w:val="auto"/>
                <w:sz w:val="18"/>
                <w:szCs w:val="18"/>
              </w:rPr>
            </w:pPr>
            <w:r w:rsidRPr="003640BF">
              <w:rPr>
                <w:rFonts w:cs="Open Sans"/>
                <w:bCs/>
                <w:color w:val="auto"/>
                <w:sz w:val="18"/>
                <w:szCs w:val="18"/>
              </w:rPr>
              <w:t>Paignton town centre</w:t>
            </w:r>
          </w:p>
        </w:tc>
        <w:tc>
          <w:tcPr>
            <w:tcW w:w="632" w:type="dxa"/>
            <w:shd w:val="clear" w:color="auto" w:fill="auto"/>
            <w:vAlign w:val="bottom"/>
          </w:tcPr>
          <w:p w14:paraId="0B19A2A5" w14:textId="5C12DBB9"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2%</w:t>
            </w:r>
          </w:p>
        </w:tc>
        <w:tc>
          <w:tcPr>
            <w:tcW w:w="631" w:type="dxa"/>
            <w:shd w:val="clear" w:color="auto" w:fill="auto"/>
            <w:vAlign w:val="bottom"/>
          </w:tcPr>
          <w:p w14:paraId="718139C7" w14:textId="39366C74"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1%</w:t>
            </w:r>
          </w:p>
        </w:tc>
        <w:tc>
          <w:tcPr>
            <w:tcW w:w="743" w:type="dxa"/>
            <w:shd w:val="clear" w:color="auto" w:fill="auto"/>
            <w:vAlign w:val="bottom"/>
          </w:tcPr>
          <w:p w14:paraId="05927D16" w14:textId="493B6B34"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18%</w:t>
            </w:r>
          </w:p>
        </w:tc>
        <w:tc>
          <w:tcPr>
            <w:tcW w:w="631" w:type="dxa"/>
            <w:shd w:val="clear" w:color="auto" w:fill="auto"/>
            <w:vAlign w:val="bottom"/>
          </w:tcPr>
          <w:p w14:paraId="5FD556C9" w14:textId="2B0DB26F"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0" w:type="dxa"/>
            <w:shd w:val="clear" w:color="auto" w:fill="auto"/>
            <w:vAlign w:val="bottom"/>
          </w:tcPr>
          <w:p w14:paraId="166F33CA" w14:textId="7D4CB476"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0" w:type="dxa"/>
            <w:shd w:val="clear" w:color="auto" w:fill="auto"/>
            <w:vAlign w:val="bottom"/>
          </w:tcPr>
          <w:p w14:paraId="43228CE5" w14:textId="4C7FF416"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0" w:type="dxa"/>
            <w:shd w:val="clear" w:color="auto" w:fill="auto"/>
            <w:vAlign w:val="bottom"/>
          </w:tcPr>
          <w:p w14:paraId="1F841618" w14:textId="0328D9E2"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0" w:type="dxa"/>
            <w:shd w:val="clear" w:color="auto" w:fill="auto"/>
            <w:vAlign w:val="bottom"/>
          </w:tcPr>
          <w:p w14:paraId="29505596" w14:textId="646137DD"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0" w:type="dxa"/>
            <w:shd w:val="clear" w:color="auto" w:fill="auto"/>
            <w:vAlign w:val="bottom"/>
          </w:tcPr>
          <w:p w14:paraId="09F01E2F" w14:textId="560E8A85"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2%</w:t>
            </w:r>
          </w:p>
        </w:tc>
        <w:tc>
          <w:tcPr>
            <w:tcW w:w="743" w:type="dxa"/>
            <w:shd w:val="clear" w:color="auto" w:fill="auto"/>
            <w:vAlign w:val="bottom"/>
          </w:tcPr>
          <w:p w14:paraId="5BC29783" w14:textId="6BBCB625"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29%</w:t>
            </w:r>
          </w:p>
        </w:tc>
        <w:tc>
          <w:tcPr>
            <w:tcW w:w="631" w:type="dxa"/>
            <w:shd w:val="clear" w:color="auto" w:fill="auto"/>
            <w:vAlign w:val="bottom"/>
          </w:tcPr>
          <w:p w14:paraId="533B5D65" w14:textId="58B24373"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shd w:val="clear" w:color="auto" w:fill="auto"/>
            <w:vAlign w:val="bottom"/>
          </w:tcPr>
          <w:p w14:paraId="277ADF9B" w14:textId="5F92BE66"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shd w:val="clear" w:color="auto" w:fill="auto"/>
            <w:vAlign w:val="bottom"/>
          </w:tcPr>
          <w:p w14:paraId="2FE11713" w14:textId="3D7AEDFB"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0" w:type="dxa"/>
            <w:shd w:val="clear" w:color="auto" w:fill="auto"/>
            <w:vAlign w:val="bottom"/>
          </w:tcPr>
          <w:p w14:paraId="693EFE9B" w14:textId="38426806" w:rsidR="003640BF" w:rsidRPr="003640BF" w:rsidRDefault="003640BF" w:rsidP="003640BF">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3640BF">
              <w:rPr>
                <w:rFonts w:cs="Open Sans"/>
                <w:color w:val="auto"/>
                <w:sz w:val="18"/>
                <w:szCs w:val="18"/>
              </w:rPr>
              <w:t>0%</w:t>
            </w:r>
          </w:p>
        </w:tc>
      </w:tr>
      <w:tr w:rsidR="003640BF" w:rsidRPr="003640BF" w14:paraId="7B53530F" w14:textId="77777777" w:rsidTr="00364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shd w:val="clear" w:color="auto" w:fill="auto"/>
          </w:tcPr>
          <w:p w14:paraId="78AE0F23" w14:textId="77777777" w:rsidR="003640BF" w:rsidRPr="003640BF" w:rsidRDefault="003640BF" w:rsidP="003640BF">
            <w:pPr>
              <w:pStyle w:val="Level1"/>
              <w:numPr>
                <w:ilvl w:val="0"/>
                <w:numId w:val="0"/>
              </w:numPr>
              <w:spacing w:before="0" w:after="0" w:line="240" w:lineRule="auto"/>
              <w:jc w:val="both"/>
              <w:rPr>
                <w:rFonts w:cs="Open Sans"/>
                <w:bCs/>
                <w:color w:val="auto"/>
                <w:sz w:val="18"/>
                <w:szCs w:val="18"/>
              </w:rPr>
            </w:pPr>
            <w:r w:rsidRPr="003640BF">
              <w:rPr>
                <w:rFonts w:cs="Open Sans"/>
                <w:bCs/>
                <w:color w:val="auto"/>
                <w:sz w:val="18"/>
                <w:szCs w:val="18"/>
              </w:rPr>
              <w:t>Preston district centre</w:t>
            </w:r>
          </w:p>
        </w:tc>
        <w:tc>
          <w:tcPr>
            <w:tcW w:w="632" w:type="dxa"/>
            <w:shd w:val="clear" w:color="auto" w:fill="auto"/>
            <w:vAlign w:val="bottom"/>
          </w:tcPr>
          <w:p w14:paraId="4887A75A" w14:textId="6788A6EE"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shd w:val="clear" w:color="auto" w:fill="auto"/>
            <w:vAlign w:val="bottom"/>
          </w:tcPr>
          <w:p w14:paraId="172C086E" w14:textId="4794D102"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2%</w:t>
            </w:r>
          </w:p>
        </w:tc>
        <w:tc>
          <w:tcPr>
            <w:tcW w:w="743" w:type="dxa"/>
            <w:shd w:val="clear" w:color="auto" w:fill="auto"/>
            <w:vAlign w:val="bottom"/>
          </w:tcPr>
          <w:p w14:paraId="0F4C2A8C" w14:textId="7B5BB344"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16%</w:t>
            </w:r>
          </w:p>
        </w:tc>
        <w:tc>
          <w:tcPr>
            <w:tcW w:w="631" w:type="dxa"/>
            <w:shd w:val="clear" w:color="auto" w:fill="auto"/>
            <w:vAlign w:val="bottom"/>
          </w:tcPr>
          <w:p w14:paraId="7808F461" w14:textId="51FCCB7C"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1%</w:t>
            </w:r>
          </w:p>
        </w:tc>
        <w:tc>
          <w:tcPr>
            <w:tcW w:w="630" w:type="dxa"/>
            <w:shd w:val="clear" w:color="auto" w:fill="auto"/>
            <w:vAlign w:val="bottom"/>
          </w:tcPr>
          <w:p w14:paraId="0A941DEF" w14:textId="73E6BC87"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0" w:type="dxa"/>
            <w:shd w:val="clear" w:color="auto" w:fill="auto"/>
            <w:vAlign w:val="bottom"/>
          </w:tcPr>
          <w:p w14:paraId="6F4D147E" w14:textId="73C11257"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0" w:type="dxa"/>
            <w:shd w:val="clear" w:color="auto" w:fill="auto"/>
            <w:vAlign w:val="bottom"/>
          </w:tcPr>
          <w:p w14:paraId="7B18083A" w14:textId="23A43698"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0" w:type="dxa"/>
            <w:shd w:val="clear" w:color="auto" w:fill="auto"/>
            <w:vAlign w:val="bottom"/>
          </w:tcPr>
          <w:p w14:paraId="64008CFC" w14:textId="6EA2618C"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0" w:type="dxa"/>
            <w:shd w:val="clear" w:color="auto" w:fill="auto"/>
            <w:vAlign w:val="bottom"/>
          </w:tcPr>
          <w:p w14:paraId="042D7964" w14:textId="517BCEA6"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5%</w:t>
            </w:r>
          </w:p>
        </w:tc>
        <w:tc>
          <w:tcPr>
            <w:tcW w:w="743" w:type="dxa"/>
            <w:shd w:val="clear" w:color="auto" w:fill="auto"/>
            <w:vAlign w:val="bottom"/>
          </w:tcPr>
          <w:p w14:paraId="5F969CA3" w14:textId="3BC9F155"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19%</w:t>
            </w:r>
          </w:p>
        </w:tc>
        <w:tc>
          <w:tcPr>
            <w:tcW w:w="631" w:type="dxa"/>
            <w:shd w:val="clear" w:color="auto" w:fill="auto"/>
            <w:vAlign w:val="bottom"/>
          </w:tcPr>
          <w:p w14:paraId="3003F29B" w14:textId="77CFD350"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shd w:val="clear" w:color="auto" w:fill="auto"/>
            <w:vAlign w:val="bottom"/>
          </w:tcPr>
          <w:p w14:paraId="227EF289" w14:textId="157BC417"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1" w:type="dxa"/>
            <w:shd w:val="clear" w:color="auto" w:fill="auto"/>
            <w:vAlign w:val="bottom"/>
          </w:tcPr>
          <w:p w14:paraId="7B2B3D85" w14:textId="43BBC24A"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c>
          <w:tcPr>
            <w:tcW w:w="630" w:type="dxa"/>
            <w:shd w:val="clear" w:color="auto" w:fill="auto"/>
            <w:vAlign w:val="bottom"/>
          </w:tcPr>
          <w:p w14:paraId="44E409A8" w14:textId="285024F3" w:rsidR="003640BF" w:rsidRPr="003640BF" w:rsidRDefault="003640BF" w:rsidP="003640BF">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3640BF">
              <w:rPr>
                <w:rFonts w:cs="Open Sans"/>
                <w:color w:val="auto"/>
                <w:sz w:val="18"/>
                <w:szCs w:val="18"/>
              </w:rPr>
              <w:t>0%</w:t>
            </w:r>
          </w:p>
        </w:tc>
      </w:tr>
    </w:tbl>
    <w:p w14:paraId="7055FE45" w14:textId="46A66F45" w:rsidR="00917082" w:rsidRDefault="00917082" w:rsidP="00917082">
      <w:pPr>
        <w:pStyle w:val="Level1"/>
        <w:numPr>
          <w:ilvl w:val="0"/>
          <w:numId w:val="0"/>
        </w:numPr>
        <w:ind w:left="720"/>
      </w:pPr>
      <w:r>
        <w:t xml:space="preserve">                                                                                                                                                                                              </w:t>
      </w:r>
    </w:p>
    <w:p w14:paraId="2D318353" w14:textId="77777777" w:rsidR="00925745" w:rsidRDefault="008536E5" w:rsidP="00816E95">
      <w:pPr>
        <w:pStyle w:val="Level1"/>
      </w:pPr>
      <w:r>
        <w:t xml:space="preserve">The above data shows that </w:t>
      </w:r>
      <w:r w:rsidR="003640BF">
        <w:t>the core main</w:t>
      </w:r>
      <w:r w:rsidR="007C16E1">
        <w:t xml:space="preserve"> food shopping catchment of Paignton town centre comprises Zone 4 of the study area.  Based upon the results of the 2022 household survey, convenience goods stores in the town centre attract 8% of first choice main food trips from Zone 4, which is a small fall from a 10% market share recorded in the 2013 retail study.  Of the overall 8% market share amongst Zone 4 residents, circa 6% is assigned to the Lidl store in the Victoria shopping centre.  This is a change from the previous household survey </w:t>
      </w:r>
      <w:proofErr w:type="gramStart"/>
      <w:r w:rsidR="007C16E1">
        <w:t>results, when</w:t>
      </w:r>
      <w:proofErr w:type="gramEnd"/>
      <w:r w:rsidR="007C16E1">
        <w:t xml:space="preserve"> the Tesco store was the most popular first choice </w:t>
      </w:r>
      <w:r w:rsidR="00925745">
        <w:t xml:space="preserve">destination in the town centre.  </w:t>
      </w:r>
    </w:p>
    <w:p w14:paraId="2D223616" w14:textId="269A47BA" w:rsidR="004E511E" w:rsidRDefault="00925745" w:rsidP="00816E95">
      <w:pPr>
        <w:pStyle w:val="Level1"/>
      </w:pPr>
      <w:r>
        <w:t>The secondary catchment for first choice main food trips associated with Paignton town centre comprises Zone 3 and, to a lesser extent, Zone 2.  The market shares in these two zones are small, at 4% and 2% respectively, although the market penetration in these two areas has grown slightly since the 2013 retail study.</w:t>
      </w:r>
    </w:p>
    <w:p w14:paraId="07BE8144" w14:textId="21A0109E" w:rsidR="00925745" w:rsidRDefault="00925745" w:rsidP="00816E95">
      <w:pPr>
        <w:pStyle w:val="Level1"/>
      </w:pPr>
      <w:r>
        <w:t>A similar, but not identical</w:t>
      </w:r>
      <w:r w:rsidR="00FC7ADB">
        <w:t>,</w:t>
      </w:r>
      <w:r>
        <w:t xml:space="preserve"> situation occurs in relation to </w:t>
      </w:r>
      <w:r w:rsidR="00FC7ADB">
        <w:t>second choice main food shopping trips</w:t>
      </w:r>
      <w:r w:rsidR="002B7CE2">
        <w:t>.</w:t>
      </w:r>
      <w:r w:rsidR="00FC7ADB">
        <w:t xml:space="preserve"> Zone 4 comprises the primary catchment, with Zone 3 comprising the secondary catchment.  A comparison between the two sets of household shopping patterns data reveals a sharp drop in the town centre’s market share amongst Zone 4 residents </w:t>
      </w:r>
      <w:r w:rsidR="001D6813">
        <w:t>(from 29% to 9%)</w:t>
      </w:r>
      <w:r w:rsidR="0061771C">
        <w:t>.  In contrast, the (smaller) market share amongst Zone 3 residents has not dropped over the past several years.</w:t>
      </w:r>
    </w:p>
    <w:p w14:paraId="18155B14" w14:textId="0154BC58" w:rsidR="0061771C" w:rsidRDefault="0061771C" w:rsidP="00816E95">
      <w:pPr>
        <w:pStyle w:val="Level1"/>
      </w:pPr>
      <w:r>
        <w:t>In relation to top-up food shopping trips</w:t>
      </w:r>
      <w:r w:rsidR="00FF6606">
        <w:t>, the same picture emerges again with Zone 4 comprising the primary catchment and Zone 3 comprising the secondary catchment.  T</w:t>
      </w:r>
      <w:r w:rsidR="00155F90">
        <w:t xml:space="preserve">able 4.11 indicates that, in </w:t>
      </w:r>
      <w:r w:rsidR="00155F90">
        <w:lastRenderedPageBreak/>
        <w:t xml:space="preserve">2013, Paignton town centre attracted around one third of all </w:t>
      </w:r>
      <w:proofErr w:type="gramStart"/>
      <w:r w:rsidR="00155F90">
        <w:t>first choice</w:t>
      </w:r>
      <w:proofErr w:type="gramEnd"/>
      <w:r w:rsidR="00155F90">
        <w:t xml:space="preserve"> top-up food shopping trips from Zone 4 residents, although this has fallen to 18% in the 2022 household survey.  There has also been a drop, albeit smaller, in second choice top-up food shopping trips between 2013 and 2022.  The secondary catchment of Paignton town centre amongst Zone 3 residents is much weaker and has not altered significantly over the past several years.</w:t>
      </w:r>
    </w:p>
    <w:p w14:paraId="2ACA246F" w14:textId="6F5DEC68" w:rsidR="00155F90" w:rsidRDefault="00155F90" w:rsidP="00816E95">
      <w:pPr>
        <w:pStyle w:val="Level1"/>
      </w:pPr>
      <w:r>
        <w:t xml:space="preserve">Table 4.12 below outlines </w:t>
      </w:r>
      <w:r w:rsidR="00221572">
        <w:t>the market share of Paignton town centre across the various types of comparison goods categories, across each of the study area zones.  The data has been taken from the quantitative need assessments informing the 2013 and 2022 retail studies and has been split into first and second choice shopping destinations.</w:t>
      </w:r>
    </w:p>
    <w:p w14:paraId="63A15FC9" w14:textId="7A3CA8EB" w:rsidR="00155F90" w:rsidRPr="00862EC4" w:rsidRDefault="00155F90" w:rsidP="00155F90">
      <w:pPr>
        <w:pStyle w:val="Level1"/>
        <w:numPr>
          <w:ilvl w:val="0"/>
          <w:numId w:val="0"/>
        </w:numPr>
        <w:ind w:left="720"/>
        <w:jc w:val="both"/>
        <w:rPr>
          <w:i/>
          <w:iCs/>
        </w:rPr>
      </w:pPr>
      <w:bookmarkStart w:id="11" w:name="_Hlk112606006"/>
      <w:r w:rsidRPr="00862EC4">
        <w:rPr>
          <w:i/>
          <w:iCs/>
        </w:rPr>
        <w:t>Table 4.</w:t>
      </w:r>
      <w:r>
        <w:rPr>
          <w:i/>
          <w:iCs/>
        </w:rPr>
        <w:t>12</w:t>
      </w:r>
      <w:r w:rsidRPr="00862EC4">
        <w:rPr>
          <w:i/>
          <w:iCs/>
        </w:rPr>
        <w:t xml:space="preserve">: first and second choice </w:t>
      </w:r>
      <w:r>
        <w:rPr>
          <w:i/>
          <w:iCs/>
        </w:rPr>
        <w:t xml:space="preserve">comparison goods </w:t>
      </w:r>
      <w:r w:rsidRPr="00862EC4">
        <w:rPr>
          <w:i/>
          <w:iCs/>
        </w:rPr>
        <w:t xml:space="preserve">market shares associated with </w:t>
      </w:r>
      <w:r>
        <w:rPr>
          <w:i/>
          <w:iCs/>
        </w:rPr>
        <w:t xml:space="preserve">Paignton </w:t>
      </w:r>
      <w:r w:rsidRPr="00862EC4">
        <w:rPr>
          <w:i/>
          <w:iCs/>
        </w:rPr>
        <w:t xml:space="preserve">town </w:t>
      </w:r>
      <w:r>
        <w:rPr>
          <w:i/>
          <w:iCs/>
        </w:rPr>
        <w:t xml:space="preserve">centre </w:t>
      </w:r>
      <w:r w:rsidRPr="00862EC4">
        <w:rPr>
          <w:i/>
          <w:iCs/>
        </w:rPr>
        <w:t>(2013 and 2022 retail studies)</w:t>
      </w:r>
    </w:p>
    <w:tbl>
      <w:tblPr>
        <w:tblStyle w:val="CustomTable2"/>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613"/>
        <w:gridCol w:w="676"/>
        <w:gridCol w:w="675"/>
        <w:gridCol w:w="668"/>
        <w:gridCol w:w="611"/>
        <w:gridCol w:w="611"/>
        <w:gridCol w:w="612"/>
        <w:gridCol w:w="673"/>
        <w:gridCol w:w="675"/>
        <w:gridCol w:w="675"/>
        <w:gridCol w:w="673"/>
        <w:gridCol w:w="611"/>
        <w:gridCol w:w="611"/>
        <w:gridCol w:w="612"/>
      </w:tblGrid>
      <w:tr w:rsidR="00155F90" w:rsidRPr="006B3FD7" w14:paraId="075D7E12" w14:textId="77777777" w:rsidTr="006B3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D9D9D9" w:themeFill="background1" w:themeFillShade="D9"/>
          </w:tcPr>
          <w:p w14:paraId="40E49629" w14:textId="77777777" w:rsidR="00155F90" w:rsidRPr="006B3FD7" w:rsidRDefault="00155F90" w:rsidP="00F0711D">
            <w:pPr>
              <w:spacing w:before="0"/>
              <w:ind w:left="0" w:right="0"/>
              <w:jc w:val="both"/>
              <w:rPr>
                <w:rFonts w:cs="Open Sans"/>
                <w:color w:val="auto"/>
                <w:sz w:val="18"/>
                <w:szCs w:val="18"/>
              </w:rPr>
            </w:pPr>
            <w:r w:rsidRPr="006B3FD7">
              <w:rPr>
                <w:rFonts w:cs="Open Sans"/>
                <w:b w:val="0"/>
                <w:color w:val="auto"/>
                <w:sz w:val="18"/>
                <w:szCs w:val="18"/>
              </w:rPr>
              <w:t>CENTRE</w:t>
            </w:r>
          </w:p>
        </w:tc>
        <w:tc>
          <w:tcPr>
            <w:tcW w:w="4466" w:type="dxa"/>
            <w:gridSpan w:val="7"/>
            <w:shd w:val="clear" w:color="auto" w:fill="D9D9D9" w:themeFill="background1" w:themeFillShade="D9"/>
          </w:tcPr>
          <w:p w14:paraId="1C616B34" w14:textId="77777777" w:rsidR="00155F90" w:rsidRPr="006B3FD7" w:rsidRDefault="00155F90" w:rsidP="00F0711D">
            <w:pPr>
              <w:spacing w:before="0"/>
              <w:ind w:left="0" w:right="0"/>
              <w:jc w:val="center"/>
              <w:cnfStyle w:val="100000000000" w:firstRow="1" w:lastRow="0" w:firstColumn="0" w:lastColumn="0" w:oddVBand="0" w:evenVBand="0" w:oddHBand="0" w:evenHBand="0" w:firstRowFirstColumn="0" w:firstRowLastColumn="0" w:lastRowFirstColumn="0" w:lastRowLastColumn="0"/>
              <w:rPr>
                <w:rFonts w:cs="Open Sans"/>
                <w:color w:val="auto"/>
                <w:sz w:val="18"/>
                <w:szCs w:val="18"/>
              </w:rPr>
            </w:pPr>
            <w:r w:rsidRPr="006B3FD7">
              <w:rPr>
                <w:rFonts w:cs="Open Sans"/>
                <w:b w:val="0"/>
                <w:color w:val="auto"/>
                <w:sz w:val="18"/>
                <w:szCs w:val="18"/>
              </w:rPr>
              <w:t>First Choice Destination</w:t>
            </w:r>
          </w:p>
        </w:tc>
        <w:tc>
          <w:tcPr>
            <w:tcW w:w="4530" w:type="dxa"/>
            <w:gridSpan w:val="7"/>
            <w:shd w:val="clear" w:color="auto" w:fill="D9D9D9" w:themeFill="background1" w:themeFillShade="D9"/>
          </w:tcPr>
          <w:p w14:paraId="605A683B" w14:textId="77777777" w:rsidR="00155F90" w:rsidRPr="006B3FD7" w:rsidRDefault="00155F90" w:rsidP="00F0711D">
            <w:pPr>
              <w:spacing w:before="0"/>
              <w:ind w:left="0" w:right="0"/>
              <w:jc w:val="center"/>
              <w:cnfStyle w:val="100000000000" w:firstRow="1" w:lastRow="0" w:firstColumn="0" w:lastColumn="0" w:oddVBand="0" w:evenVBand="0" w:oddHBand="0" w:evenHBand="0" w:firstRowFirstColumn="0" w:firstRowLastColumn="0" w:lastRowFirstColumn="0" w:lastRowLastColumn="0"/>
              <w:rPr>
                <w:rFonts w:cs="Open Sans"/>
                <w:color w:val="auto"/>
                <w:sz w:val="18"/>
                <w:szCs w:val="18"/>
              </w:rPr>
            </w:pPr>
            <w:r w:rsidRPr="006B3FD7">
              <w:rPr>
                <w:rFonts w:cs="Open Sans"/>
                <w:b w:val="0"/>
                <w:color w:val="auto"/>
                <w:sz w:val="18"/>
                <w:szCs w:val="18"/>
              </w:rPr>
              <w:t>Second Choice Destination</w:t>
            </w:r>
          </w:p>
        </w:tc>
      </w:tr>
      <w:tr w:rsidR="00155F90" w:rsidRPr="006B3FD7" w14:paraId="7BD4A29D" w14:textId="77777777" w:rsidTr="006B3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D9D9D9" w:themeFill="background1" w:themeFillShade="D9"/>
          </w:tcPr>
          <w:p w14:paraId="28BA3BD4" w14:textId="77777777" w:rsidR="00155F90" w:rsidRPr="006B3FD7" w:rsidRDefault="00155F90" w:rsidP="00F0711D">
            <w:pPr>
              <w:spacing w:before="0"/>
              <w:ind w:left="0" w:right="0"/>
              <w:jc w:val="both"/>
              <w:rPr>
                <w:rFonts w:cs="Open Sans"/>
                <w:b/>
                <w:color w:val="auto"/>
                <w:sz w:val="18"/>
                <w:szCs w:val="18"/>
              </w:rPr>
            </w:pPr>
          </w:p>
        </w:tc>
        <w:tc>
          <w:tcPr>
            <w:tcW w:w="613" w:type="dxa"/>
            <w:shd w:val="clear" w:color="auto" w:fill="D9D9D9" w:themeFill="background1" w:themeFillShade="D9"/>
          </w:tcPr>
          <w:p w14:paraId="0B95EBD7"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2</w:t>
            </w:r>
          </w:p>
        </w:tc>
        <w:tc>
          <w:tcPr>
            <w:tcW w:w="676" w:type="dxa"/>
            <w:shd w:val="clear" w:color="auto" w:fill="D9D9D9" w:themeFill="background1" w:themeFillShade="D9"/>
          </w:tcPr>
          <w:p w14:paraId="118556F3"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3</w:t>
            </w:r>
          </w:p>
        </w:tc>
        <w:tc>
          <w:tcPr>
            <w:tcW w:w="675" w:type="dxa"/>
            <w:shd w:val="clear" w:color="auto" w:fill="D9D9D9" w:themeFill="background1" w:themeFillShade="D9"/>
          </w:tcPr>
          <w:p w14:paraId="43655276"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4</w:t>
            </w:r>
          </w:p>
        </w:tc>
        <w:tc>
          <w:tcPr>
            <w:tcW w:w="668" w:type="dxa"/>
            <w:shd w:val="clear" w:color="auto" w:fill="D9D9D9" w:themeFill="background1" w:themeFillShade="D9"/>
          </w:tcPr>
          <w:p w14:paraId="21195CD3"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5</w:t>
            </w:r>
          </w:p>
        </w:tc>
        <w:tc>
          <w:tcPr>
            <w:tcW w:w="611" w:type="dxa"/>
            <w:shd w:val="clear" w:color="auto" w:fill="D9D9D9" w:themeFill="background1" w:themeFillShade="D9"/>
          </w:tcPr>
          <w:p w14:paraId="650AC9F7"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6</w:t>
            </w:r>
          </w:p>
        </w:tc>
        <w:tc>
          <w:tcPr>
            <w:tcW w:w="611" w:type="dxa"/>
            <w:shd w:val="clear" w:color="auto" w:fill="D9D9D9" w:themeFill="background1" w:themeFillShade="D9"/>
          </w:tcPr>
          <w:p w14:paraId="69F2F539"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7</w:t>
            </w:r>
          </w:p>
        </w:tc>
        <w:tc>
          <w:tcPr>
            <w:tcW w:w="612" w:type="dxa"/>
            <w:shd w:val="clear" w:color="auto" w:fill="D9D9D9" w:themeFill="background1" w:themeFillShade="D9"/>
          </w:tcPr>
          <w:p w14:paraId="28B68C83"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8</w:t>
            </w:r>
          </w:p>
        </w:tc>
        <w:tc>
          <w:tcPr>
            <w:tcW w:w="673" w:type="dxa"/>
            <w:shd w:val="clear" w:color="auto" w:fill="D9D9D9" w:themeFill="background1" w:themeFillShade="D9"/>
          </w:tcPr>
          <w:p w14:paraId="7E393A47"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2</w:t>
            </w:r>
          </w:p>
        </w:tc>
        <w:tc>
          <w:tcPr>
            <w:tcW w:w="675" w:type="dxa"/>
            <w:shd w:val="clear" w:color="auto" w:fill="D9D9D9" w:themeFill="background1" w:themeFillShade="D9"/>
          </w:tcPr>
          <w:p w14:paraId="747DBAF0"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3</w:t>
            </w:r>
          </w:p>
        </w:tc>
        <w:tc>
          <w:tcPr>
            <w:tcW w:w="675" w:type="dxa"/>
            <w:shd w:val="clear" w:color="auto" w:fill="D9D9D9" w:themeFill="background1" w:themeFillShade="D9"/>
          </w:tcPr>
          <w:p w14:paraId="167980DA"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4</w:t>
            </w:r>
          </w:p>
        </w:tc>
        <w:tc>
          <w:tcPr>
            <w:tcW w:w="673" w:type="dxa"/>
            <w:shd w:val="clear" w:color="auto" w:fill="D9D9D9" w:themeFill="background1" w:themeFillShade="D9"/>
          </w:tcPr>
          <w:p w14:paraId="4E50E1D1"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5</w:t>
            </w:r>
          </w:p>
        </w:tc>
        <w:tc>
          <w:tcPr>
            <w:tcW w:w="611" w:type="dxa"/>
            <w:shd w:val="clear" w:color="auto" w:fill="D9D9D9" w:themeFill="background1" w:themeFillShade="D9"/>
          </w:tcPr>
          <w:p w14:paraId="0FF3F8BA"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6</w:t>
            </w:r>
          </w:p>
        </w:tc>
        <w:tc>
          <w:tcPr>
            <w:tcW w:w="611" w:type="dxa"/>
            <w:shd w:val="clear" w:color="auto" w:fill="D9D9D9" w:themeFill="background1" w:themeFillShade="D9"/>
          </w:tcPr>
          <w:p w14:paraId="1D99BD55"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7</w:t>
            </w:r>
          </w:p>
        </w:tc>
        <w:tc>
          <w:tcPr>
            <w:tcW w:w="612" w:type="dxa"/>
            <w:shd w:val="clear" w:color="auto" w:fill="D9D9D9" w:themeFill="background1" w:themeFillShade="D9"/>
          </w:tcPr>
          <w:p w14:paraId="2E011D7A" w14:textId="77777777" w:rsidR="00155F90" w:rsidRPr="006B3FD7" w:rsidRDefault="00155F90" w:rsidP="00F0711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
                <w:color w:val="auto"/>
                <w:sz w:val="18"/>
                <w:szCs w:val="18"/>
              </w:rPr>
            </w:pPr>
            <w:r w:rsidRPr="006B3FD7">
              <w:rPr>
                <w:rFonts w:cs="Open Sans"/>
                <w:b/>
                <w:color w:val="auto"/>
                <w:sz w:val="18"/>
                <w:szCs w:val="18"/>
              </w:rPr>
              <w:t>8</w:t>
            </w:r>
          </w:p>
        </w:tc>
      </w:tr>
      <w:tr w:rsidR="00155F90" w:rsidRPr="006B3FD7" w14:paraId="77680D87" w14:textId="77777777" w:rsidTr="00F071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276F6450" w14:textId="77777777" w:rsidR="00155F90" w:rsidRPr="006B3FD7" w:rsidRDefault="00155F90" w:rsidP="00F0711D">
            <w:pPr>
              <w:spacing w:before="0"/>
              <w:ind w:left="0" w:right="0"/>
              <w:jc w:val="center"/>
              <w:rPr>
                <w:rFonts w:cs="Open Sans"/>
                <w:b/>
                <w:color w:val="auto"/>
                <w:sz w:val="18"/>
                <w:szCs w:val="18"/>
              </w:rPr>
            </w:pPr>
            <w:r w:rsidRPr="003E7679">
              <w:rPr>
                <w:rFonts w:cs="Open Sans"/>
                <w:b/>
                <w:color w:val="C00000"/>
                <w:sz w:val="18"/>
                <w:szCs w:val="18"/>
              </w:rPr>
              <w:t>2013 Retail Study</w:t>
            </w:r>
          </w:p>
        </w:tc>
      </w:tr>
      <w:tr w:rsidR="00AD4CED" w:rsidRPr="006B3FD7" w14:paraId="4C70972C" w14:textId="77777777" w:rsidTr="006B3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6DDBE448" w14:textId="77777777" w:rsidR="00AD4CED" w:rsidRPr="006B3FD7" w:rsidRDefault="00AD4CED" w:rsidP="00AD4CED">
            <w:pPr>
              <w:spacing w:before="0"/>
              <w:ind w:left="0" w:right="0"/>
              <w:rPr>
                <w:rFonts w:cs="Open Sans"/>
                <w:bCs/>
                <w:color w:val="auto"/>
                <w:sz w:val="18"/>
                <w:szCs w:val="18"/>
              </w:rPr>
            </w:pPr>
            <w:r w:rsidRPr="006B3FD7">
              <w:rPr>
                <w:rFonts w:cs="Open Sans"/>
                <w:bCs/>
                <w:color w:val="auto"/>
                <w:sz w:val="18"/>
                <w:szCs w:val="18"/>
              </w:rPr>
              <w:t>Clothes / footwear</w:t>
            </w:r>
          </w:p>
        </w:tc>
        <w:tc>
          <w:tcPr>
            <w:tcW w:w="613" w:type="dxa"/>
            <w:shd w:val="clear" w:color="auto" w:fill="auto"/>
            <w:vAlign w:val="bottom"/>
          </w:tcPr>
          <w:p w14:paraId="27D1A242" w14:textId="03EF2048"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4%</w:t>
            </w:r>
          </w:p>
        </w:tc>
        <w:tc>
          <w:tcPr>
            <w:tcW w:w="676" w:type="dxa"/>
            <w:shd w:val="clear" w:color="auto" w:fill="auto"/>
            <w:vAlign w:val="bottom"/>
          </w:tcPr>
          <w:p w14:paraId="304A7A72" w14:textId="07B622E1"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9%</w:t>
            </w:r>
          </w:p>
        </w:tc>
        <w:tc>
          <w:tcPr>
            <w:tcW w:w="675" w:type="dxa"/>
            <w:shd w:val="clear" w:color="auto" w:fill="auto"/>
            <w:vAlign w:val="bottom"/>
          </w:tcPr>
          <w:p w14:paraId="3448314B" w14:textId="7164D878"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12%</w:t>
            </w:r>
          </w:p>
        </w:tc>
        <w:tc>
          <w:tcPr>
            <w:tcW w:w="668" w:type="dxa"/>
            <w:shd w:val="clear" w:color="auto" w:fill="auto"/>
            <w:vAlign w:val="bottom"/>
          </w:tcPr>
          <w:p w14:paraId="5097E7D5" w14:textId="44D15F6A"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1%</w:t>
            </w:r>
          </w:p>
        </w:tc>
        <w:tc>
          <w:tcPr>
            <w:tcW w:w="611" w:type="dxa"/>
            <w:shd w:val="clear" w:color="auto" w:fill="auto"/>
            <w:vAlign w:val="bottom"/>
          </w:tcPr>
          <w:p w14:paraId="6EA5AB32" w14:textId="2F464E09"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0%</w:t>
            </w:r>
          </w:p>
        </w:tc>
        <w:tc>
          <w:tcPr>
            <w:tcW w:w="611" w:type="dxa"/>
            <w:shd w:val="clear" w:color="auto" w:fill="auto"/>
            <w:vAlign w:val="bottom"/>
          </w:tcPr>
          <w:p w14:paraId="64A58EAE" w14:textId="372C71A8"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0%</w:t>
            </w:r>
          </w:p>
        </w:tc>
        <w:tc>
          <w:tcPr>
            <w:tcW w:w="612" w:type="dxa"/>
            <w:shd w:val="clear" w:color="auto" w:fill="auto"/>
            <w:vAlign w:val="bottom"/>
          </w:tcPr>
          <w:p w14:paraId="3E5F8A3E" w14:textId="3F111153"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0%</w:t>
            </w:r>
          </w:p>
        </w:tc>
        <w:tc>
          <w:tcPr>
            <w:tcW w:w="673" w:type="dxa"/>
            <w:shd w:val="clear" w:color="auto" w:fill="auto"/>
            <w:vAlign w:val="bottom"/>
          </w:tcPr>
          <w:p w14:paraId="72474EFA" w14:textId="0CD26816"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2%</w:t>
            </w:r>
          </w:p>
        </w:tc>
        <w:tc>
          <w:tcPr>
            <w:tcW w:w="675" w:type="dxa"/>
            <w:shd w:val="clear" w:color="auto" w:fill="auto"/>
            <w:vAlign w:val="bottom"/>
          </w:tcPr>
          <w:p w14:paraId="34ADC096" w14:textId="7EEFB9AD"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8%</w:t>
            </w:r>
          </w:p>
        </w:tc>
        <w:tc>
          <w:tcPr>
            <w:tcW w:w="675" w:type="dxa"/>
            <w:shd w:val="clear" w:color="auto" w:fill="auto"/>
            <w:vAlign w:val="bottom"/>
          </w:tcPr>
          <w:p w14:paraId="08C20666" w14:textId="4DB33010"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11%</w:t>
            </w:r>
          </w:p>
        </w:tc>
        <w:tc>
          <w:tcPr>
            <w:tcW w:w="673" w:type="dxa"/>
            <w:shd w:val="clear" w:color="auto" w:fill="auto"/>
            <w:vAlign w:val="bottom"/>
          </w:tcPr>
          <w:p w14:paraId="167C2A9C" w14:textId="6E47A65C"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2%</w:t>
            </w:r>
          </w:p>
        </w:tc>
        <w:tc>
          <w:tcPr>
            <w:tcW w:w="611" w:type="dxa"/>
            <w:shd w:val="clear" w:color="auto" w:fill="auto"/>
            <w:vAlign w:val="bottom"/>
          </w:tcPr>
          <w:p w14:paraId="347B54F3" w14:textId="4DC5FB60"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0%</w:t>
            </w:r>
          </w:p>
        </w:tc>
        <w:tc>
          <w:tcPr>
            <w:tcW w:w="611" w:type="dxa"/>
            <w:shd w:val="clear" w:color="auto" w:fill="auto"/>
            <w:vAlign w:val="bottom"/>
          </w:tcPr>
          <w:p w14:paraId="7A76C38B" w14:textId="3F4977B4"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0%</w:t>
            </w:r>
          </w:p>
        </w:tc>
        <w:tc>
          <w:tcPr>
            <w:tcW w:w="612" w:type="dxa"/>
            <w:shd w:val="clear" w:color="auto" w:fill="auto"/>
            <w:vAlign w:val="bottom"/>
          </w:tcPr>
          <w:p w14:paraId="3938A076" w14:textId="00820877" w:rsidR="00AD4CED" w:rsidRPr="006B3FD7" w:rsidRDefault="00AD4CED" w:rsidP="00AD4CED">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0%</w:t>
            </w:r>
          </w:p>
        </w:tc>
      </w:tr>
      <w:tr w:rsidR="00AD4CED" w:rsidRPr="006B3FD7" w14:paraId="21B17A55" w14:textId="77777777" w:rsidTr="006B3F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166457B1" w14:textId="77777777" w:rsidR="00AD4CED" w:rsidRPr="006B3FD7" w:rsidRDefault="00AD4CED" w:rsidP="00AD4CED">
            <w:pPr>
              <w:spacing w:before="0"/>
              <w:ind w:left="0" w:right="0"/>
              <w:rPr>
                <w:rFonts w:cs="Open Sans"/>
                <w:bCs/>
                <w:color w:val="auto"/>
                <w:sz w:val="18"/>
                <w:szCs w:val="18"/>
              </w:rPr>
            </w:pPr>
            <w:r w:rsidRPr="006B3FD7">
              <w:rPr>
                <w:rFonts w:cs="Open Sans"/>
                <w:bCs/>
                <w:color w:val="auto"/>
                <w:sz w:val="18"/>
                <w:szCs w:val="18"/>
              </w:rPr>
              <w:t>Furniture / floorcoverings / textiles</w:t>
            </w:r>
          </w:p>
        </w:tc>
        <w:tc>
          <w:tcPr>
            <w:tcW w:w="613" w:type="dxa"/>
            <w:shd w:val="clear" w:color="auto" w:fill="auto"/>
            <w:vAlign w:val="bottom"/>
          </w:tcPr>
          <w:p w14:paraId="2284D993" w14:textId="419E43AF"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3%</w:t>
            </w:r>
          </w:p>
        </w:tc>
        <w:tc>
          <w:tcPr>
            <w:tcW w:w="676" w:type="dxa"/>
            <w:shd w:val="clear" w:color="auto" w:fill="auto"/>
            <w:vAlign w:val="bottom"/>
          </w:tcPr>
          <w:p w14:paraId="5D9B9FB0" w14:textId="6F975B0D"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8%</w:t>
            </w:r>
          </w:p>
        </w:tc>
        <w:tc>
          <w:tcPr>
            <w:tcW w:w="675" w:type="dxa"/>
            <w:shd w:val="clear" w:color="auto" w:fill="auto"/>
            <w:vAlign w:val="bottom"/>
          </w:tcPr>
          <w:p w14:paraId="364A0120" w14:textId="1C8CF0B2"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15%</w:t>
            </w:r>
          </w:p>
        </w:tc>
        <w:tc>
          <w:tcPr>
            <w:tcW w:w="668" w:type="dxa"/>
            <w:shd w:val="clear" w:color="auto" w:fill="auto"/>
            <w:vAlign w:val="bottom"/>
          </w:tcPr>
          <w:p w14:paraId="5019E877" w14:textId="65FA9096"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2%</w:t>
            </w:r>
          </w:p>
        </w:tc>
        <w:tc>
          <w:tcPr>
            <w:tcW w:w="611" w:type="dxa"/>
            <w:shd w:val="clear" w:color="auto" w:fill="auto"/>
            <w:vAlign w:val="bottom"/>
          </w:tcPr>
          <w:p w14:paraId="0CF7EDC8" w14:textId="5889C5F9"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0%</w:t>
            </w:r>
          </w:p>
        </w:tc>
        <w:tc>
          <w:tcPr>
            <w:tcW w:w="611" w:type="dxa"/>
            <w:shd w:val="clear" w:color="auto" w:fill="auto"/>
            <w:vAlign w:val="bottom"/>
          </w:tcPr>
          <w:p w14:paraId="1E69CF40" w14:textId="387CC87C"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2%</w:t>
            </w:r>
          </w:p>
        </w:tc>
        <w:tc>
          <w:tcPr>
            <w:tcW w:w="612" w:type="dxa"/>
            <w:shd w:val="clear" w:color="auto" w:fill="auto"/>
            <w:vAlign w:val="bottom"/>
          </w:tcPr>
          <w:p w14:paraId="5C408990" w14:textId="26240D86"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0%</w:t>
            </w:r>
          </w:p>
        </w:tc>
        <w:tc>
          <w:tcPr>
            <w:tcW w:w="673" w:type="dxa"/>
            <w:shd w:val="clear" w:color="auto" w:fill="auto"/>
            <w:vAlign w:val="bottom"/>
          </w:tcPr>
          <w:p w14:paraId="32EA45CF" w14:textId="5027844D"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3%</w:t>
            </w:r>
          </w:p>
        </w:tc>
        <w:tc>
          <w:tcPr>
            <w:tcW w:w="675" w:type="dxa"/>
            <w:shd w:val="clear" w:color="auto" w:fill="auto"/>
            <w:vAlign w:val="bottom"/>
          </w:tcPr>
          <w:p w14:paraId="6084F0A3" w14:textId="170B67C6"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15%</w:t>
            </w:r>
          </w:p>
        </w:tc>
        <w:tc>
          <w:tcPr>
            <w:tcW w:w="675" w:type="dxa"/>
            <w:shd w:val="clear" w:color="auto" w:fill="auto"/>
            <w:vAlign w:val="bottom"/>
          </w:tcPr>
          <w:p w14:paraId="67108045" w14:textId="2B98DCB1"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6%</w:t>
            </w:r>
          </w:p>
        </w:tc>
        <w:tc>
          <w:tcPr>
            <w:tcW w:w="673" w:type="dxa"/>
            <w:shd w:val="clear" w:color="auto" w:fill="auto"/>
            <w:vAlign w:val="bottom"/>
          </w:tcPr>
          <w:p w14:paraId="7F15B5D9" w14:textId="225729E6"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2%</w:t>
            </w:r>
          </w:p>
        </w:tc>
        <w:tc>
          <w:tcPr>
            <w:tcW w:w="611" w:type="dxa"/>
            <w:shd w:val="clear" w:color="auto" w:fill="auto"/>
            <w:vAlign w:val="bottom"/>
          </w:tcPr>
          <w:p w14:paraId="7EEE3D6A" w14:textId="04EF2DDB"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0%</w:t>
            </w:r>
          </w:p>
        </w:tc>
        <w:tc>
          <w:tcPr>
            <w:tcW w:w="611" w:type="dxa"/>
            <w:shd w:val="clear" w:color="auto" w:fill="auto"/>
            <w:vAlign w:val="bottom"/>
          </w:tcPr>
          <w:p w14:paraId="14B707D1" w14:textId="66BEE11B"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0%</w:t>
            </w:r>
          </w:p>
        </w:tc>
        <w:tc>
          <w:tcPr>
            <w:tcW w:w="612" w:type="dxa"/>
            <w:shd w:val="clear" w:color="auto" w:fill="auto"/>
            <w:vAlign w:val="bottom"/>
          </w:tcPr>
          <w:p w14:paraId="4CB39D97" w14:textId="43CEABA4" w:rsidR="00AD4CED" w:rsidRPr="006B3FD7" w:rsidRDefault="00AD4CED" w:rsidP="00AD4CED">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sz w:val="18"/>
                <w:szCs w:val="18"/>
              </w:rPr>
              <w:t>0%</w:t>
            </w:r>
          </w:p>
        </w:tc>
      </w:tr>
      <w:tr w:rsidR="00B66F0E" w:rsidRPr="006B3FD7" w14:paraId="3434A6B7" w14:textId="77777777" w:rsidTr="006B3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30AEC581" w14:textId="77777777" w:rsidR="00B66F0E" w:rsidRPr="006B3FD7" w:rsidRDefault="00B66F0E" w:rsidP="00B66F0E">
            <w:pPr>
              <w:spacing w:before="0"/>
              <w:ind w:left="0" w:right="0"/>
              <w:rPr>
                <w:rFonts w:cs="Open Sans"/>
                <w:bCs/>
                <w:color w:val="auto"/>
                <w:sz w:val="18"/>
                <w:szCs w:val="18"/>
              </w:rPr>
            </w:pPr>
            <w:r w:rsidRPr="006B3FD7">
              <w:rPr>
                <w:rFonts w:cs="Open Sans"/>
                <w:bCs/>
                <w:color w:val="auto"/>
                <w:sz w:val="18"/>
                <w:szCs w:val="18"/>
              </w:rPr>
              <w:t>DIY goods</w:t>
            </w:r>
          </w:p>
        </w:tc>
        <w:tc>
          <w:tcPr>
            <w:tcW w:w="613" w:type="dxa"/>
            <w:shd w:val="clear" w:color="auto" w:fill="auto"/>
            <w:vAlign w:val="bottom"/>
          </w:tcPr>
          <w:p w14:paraId="3BDBA94D" w14:textId="3C58509F"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4%</w:t>
            </w:r>
          </w:p>
        </w:tc>
        <w:tc>
          <w:tcPr>
            <w:tcW w:w="676" w:type="dxa"/>
            <w:shd w:val="clear" w:color="auto" w:fill="auto"/>
            <w:vAlign w:val="bottom"/>
          </w:tcPr>
          <w:p w14:paraId="74FAB4BA" w14:textId="2319C8D8"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1%</w:t>
            </w:r>
          </w:p>
        </w:tc>
        <w:tc>
          <w:tcPr>
            <w:tcW w:w="675" w:type="dxa"/>
            <w:shd w:val="clear" w:color="auto" w:fill="auto"/>
            <w:vAlign w:val="bottom"/>
          </w:tcPr>
          <w:p w14:paraId="50F447E5" w14:textId="2F3ABB38"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10%</w:t>
            </w:r>
          </w:p>
        </w:tc>
        <w:tc>
          <w:tcPr>
            <w:tcW w:w="668" w:type="dxa"/>
            <w:shd w:val="clear" w:color="auto" w:fill="auto"/>
            <w:vAlign w:val="bottom"/>
          </w:tcPr>
          <w:p w14:paraId="4676EDA3" w14:textId="7B2D2862"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1%</w:t>
            </w:r>
          </w:p>
        </w:tc>
        <w:tc>
          <w:tcPr>
            <w:tcW w:w="611" w:type="dxa"/>
            <w:shd w:val="clear" w:color="auto" w:fill="auto"/>
            <w:vAlign w:val="bottom"/>
          </w:tcPr>
          <w:p w14:paraId="5B877110" w14:textId="0E733E07"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0%</w:t>
            </w:r>
          </w:p>
        </w:tc>
        <w:tc>
          <w:tcPr>
            <w:tcW w:w="611" w:type="dxa"/>
            <w:shd w:val="clear" w:color="auto" w:fill="auto"/>
            <w:vAlign w:val="bottom"/>
          </w:tcPr>
          <w:p w14:paraId="76094D66" w14:textId="761F40EC"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0%</w:t>
            </w:r>
          </w:p>
        </w:tc>
        <w:tc>
          <w:tcPr>
            <w:tcW w:w="612" w:type="dxa"/>
            <w:shd w:val="clear" w:color="auto" w:fill="auto"/>
            <w:vAlign w:val="bottom"/>
          </w:tcPr>
          <w:p w14:paraId="5DEB330C" w14:textId="280A8849"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0%</w:t>
            </w:r>
          </w:p>
        </w:tc>
        <w:tc>
          <w:tcPr>
            <w:tcW w:w="673" w:type="dxa"/>
            <w:shd w:val="clear" w:color="auto" w:fill="auto"/>
            <w:vAlign w:val="bottom"/>
          </w:tcPr>
          <w:p w14:paraId="231229E7" w14:textId="371B1763"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6%</w:t>
            </w:r>
          </w:p>
        </w:tc>
        <w:tc>
          <w:tcPr>
            <w:tcW w:w="675" w:type="dxa"/>
            <w:shd w:val="clear" w:color="auto" w:fill="auto"/>
            <w:vAlign w:val="bottom"/>
          </w:tcPr>
          <w:p w14:paraId="0ADE54E5" w14:textId="255CF3A7"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3%</w:t>
            </w:r>
          </w:p>
        </w:tc>
        <w:tc>
          <w:tcPr>
            <w:tcW w:w="675" w:type="dxa"/>
            <w:shd w:val="clear" w:color="auto" w:fill="auto"/>
            <w:vAlign w:val="bottom"/>
          </w:tcPr>
          <w:p w14:paraId="0E6B7DBB" w14:textId="79FC1A77"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13%</w:t>
            </w:r>
          </w:p>
        </w:tc>
        <w:tc>
          <w:tcPr>
            <w:tcW w:w="673" w:type="dxa"/>
            <w:shd w:val="clear" w:color="auto" w:fill="auto"/>
            <w:vAlign w:val="bottom"/>
          </w:tcPr>
          <w:p w14:paraId="4CC32CAD" w14:textId="57904E66"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1%</w:t>
            </w:r>
          </w:p>
        </w:tc>
        <w:tc>
          <w:tcPr>
            <w:tcW w:w="611" w:type="dxa"/>
            <w:shd w:val="clear" w:color="auto" w:fill="auto"/>
            <w:vAlign w:val="bottom"/>
          </w:tcPr>
          <w:p w14:paraId="7695B619" w14:textId="561C92F8"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0%</w:t>
            </w:r>
          </w:p>
        </w:tc>
        <w:tc>
          <w:tcPr>
            <w:tcW w:w="611" w:type="dxa"/>
            <w:shd w:val="clear" w:color="auto" w:fill="auto"/>
            <w:vAlign w:val="bottom"/>
          </w:tcPr>
          <w:p w14:paraId="6877C155" w14:textId="213F0DDC"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0%</w:t>
            </w:r>
          </w:p>
        </w:tc>
        <w:tc>
          <w:tcPr>
            <w:tcW w:w="612" w:type="dxa"/>
            <w:shd w:val="clear" w:color="auto" w:fill="auto"/>
            <w:vAlign w:val="bottom"/>
          </w:tcPr>
          <w:p w14:paraId="5540DB94" w14:textId="0B037BA1" w:rsidR="00B66F0E" w:rsidRPr="006B3FD7" w:rsidRDefault="00B66F0E" w:rsidP="00B66F0E">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sz w:val="18"/>
                <w:szCs w:val="18"/>
              </w:rPr>
              <w:t>0%</w:t>
            </w:r>
          </w:p>
        </w:tc>
      </w:tr>
      <w:tr w:rsidR="00B66F0E" w:rsidRPr="006B3FD7" w14:paraId="42462754" w14:textId="77777777" w:rsidTr="006B3F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62EC8E2C" w14:textId="77777777" w:rsidR="00B66F0E" w:rsidRPr="006B3FD7" w:rsidRDefault="00B66F0E" w:rsidP="00B66F0E">
            <w:pPr>
              <w:ind w:left="0"/>
              <w:rPr>
                <w:rFonts w:cs="Open Sans"/>
                <w:bCs/>
                <w:sz w:val="18"/>
                <w:szCs w:val="18"/>
              </w:rPr>
            </w:pPr>
            <w:r w:rsidRPr="006B3FD7">
              <w:rPr>
                <w:rFonts w:cs="Open Sans"/>
                <w:bCs/>
                <w:sz w:val="18"/>
                <w:szCs w:val="18"/>
              </w:rPr>
              <w:t>Domestic appliances</w:t>
            </w:r>
          </w:p>
        </w:tc>
        <w:tc>
          <w:tcPr>
            <w:tcW w:w="613" w:type="dxa"/>
            <w:shd w:val="clear" w:color="auto" w:fill="auto"/>
            <w:vAlign w:val="bottom"/>
          </w:tcPr>
          <w:p w14:paraId="28172A11" w14:textId="3C5B0B0C"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1%</w:t>
            </w:r>
          </w:p>
        </w:tc>
        <w:tc>
          <w:tcPr>
            <w:tcW w:w="676" w:type="dxa"/>
            <w:shd w:val="clear" w:color="auto" w:fill="auto"/>
            <w:vAlign w:val="bottom"/>
          </w:tcPr>
          <w:p w14:paraId="1BB5A03A" w14:textId="0BC3AD25"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5%</w:t>
            </w:r>
          </w:p>
        </w:tc>
        <w:tc>
          <w:tcPr>
            <w:tcW w:w="675" w:type="dxa"/>
            <w:shd w:val="clear" w:color="auto" w:fill="auto"/>
            <w:vAlign w:val="bottom"/>
          </w:tcPr>
          <w:p w14:paraId="21D08094" w14:textId="6CD6197D"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15%</w:t>
            </w:r>
          </w:p>
        </w:tc>
        <w:tc>
          <w:tcPr>
            <w:tcW w:w="668" w:type="dxa"/>
            <w:shd w:val="clear" w:color="auto" w:fill="auto"/>
            <w:vAlign w:val="bottom"/>
          </w:tcPr>
          <w:p w14:paraId="56E16762" w14:textId="6C9CC153"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1%</w:t>
            </w:r>
          </w:p>
        </w:tc>
        <w:tc>
          <w:tcPr>
            <w:tcW w:w="611" w:type="dxa"/>
            <w:shd w:val="clear" w:color="auto" w:fill="auto"/>
            <w:vAlign w:val="bottom"/>
          </w:tcPr>
          <w:p w14:paraId="20480E98" w14:textId="54B1832A"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1%</w:t>
            </w:r>
          </w:p>
        </w:tc>
        <w:tc>
          <w:tcPr>
            <w:tcW w:w="611" w:type="dxa"/>
            <w:shd w:val="clear" w:color="auto" w:fill="auto"/>
            <w:vAlign w:val="bottom"/>
          </w:tcPr>
          <w:p w14:paraId="07649797" w14:textId="3901BF65"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0%</w:t>
            </w:r>
          </w:p>
        </w:tc>
        <w:tc>
          <w:tcPr>
            <w:tcW w:w="612" w:type="dxa"/>
            <w:shd w:val="clear" w:color="auto" w:fill="auto"/>
            <w:vAlign w:val="bottom"/>
          </w:tcPr>
          <w:p w14:paraId="39184270" w14:textId="13185711"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0%</w:t>
            </w:r>
          </w:p>
        </w:tc>
        <w:tc>
          <w:tcPr>
            <w:tcW w:w="673" w:type="dxa"/>
            <w:shd w:val="clear" w:color="auto" w:fill="auto"/>
            <w:vAlign w:val="bottom"/>
          </w:tcPr>
          <w:p w14:paraId="72B9A092" w14:textId="27D0E4B2"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2%</w:t>
            </w:r>
          </w:p>
        </w:tc>
        <w:tc>
          <w:tcPr>
            <w:tcW w:w="675" w:type="dxa"/>
            <w:shd w:val="clear" w:color="auto" w:fill="auto"/>
            <w:vAlign w:val="bottom"/>
          </w:tcPr>
          <w:p w14:paraId="5651F1BB" w14:textId="13E23903"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4%</w:t>
            </w:r>
          </w:p>
        </w:tc>
        <w:tc>
          <w:tcPr>
            <w:tcW w:w="675" w:type="dxa"/>
            <w:shd w:val="clear" w:color="auto" w:fill="auto"/>
            <w:vAlign w:val="bottom"/>
          </w:tcPr>
          <w:p w14:paraId="20B373F8" w14:textId="68B1F257"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8%</w:t>
            </w:r>
          </w:p>
        </w:tc>
        <w:tc>
          <w:tcPr>
            <w:tcW w:w="673" w:type="dxa"/>
            <w:shd w:val="clear" w:color="auto" w:fill="auto"/>
            <w:vAlign w:val="bottom"/>
          </w:tcPr>
          <w:p w14:paraId="1F74AD30" w14:textId="0DAAF409"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0%</w:t>
            </w:r>
          </w:p>
        </w:tc>
        <w:tc>
          <w:tcPr>
            <w:tcW w:w="611" w:type="dxa"/>
            <w:shd w:val="clear" w:color="auto" w:fill="auto"/>
            <w:vAlign w:val="bottom"/>
          </w:tcPr>
          <w:p w14:paraId="5A24D7D6" w14:textId="7260BD7B"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0%</w:t>
            </w:r>
          </w:p>
        </w:tc>
        <w:tc>
          <w:tcPr>
            <w:tcW w:w="611" w:type="dxa"/>
            <w:shd w:val="clear" w:color="auto" w:fill="auto"/>
            <w:vAlign w:val="bottom"/>
          </w:tcPr>
          <w:p w14:paraId="52791EEF" w14:textId="04520B14"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0%</w:t>
            </w:r>
          </w:p>
        </w:tc>
        <w:tc>
          <w:tcPr>
            <w:tcW w:w="612" w:type="dxa"/>
            <w:shd w:val="clear" w:color="auto" w:fill="auto"/>
            <w:vAlign w:val="bottom"/>
          </w:tcPr>
          <w:p w14:paraId="0BA489C6" w14:textId="5A7FA740"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0%</w:t>
            </w:r>
          </w:p>
        </w:tc>
      </w:tr>
      <w:tr w:rsidR="00B66F0E" w:rsidRPr="006B3FD7" w14:paraId="6C28EDA4" w14:textId="77777777" w:rsidTr="006B3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185F966A" w14:textId="77777777" w:rsidR="00B66F0E" w:rsidRPr="006B3FD7" w:rsidRDefault="00B66F0E" w:rsidP="00B66F0E">
            <w:pPr>
              <w:ind w:left="0"/>
              <w:rPr>
                <w:rFonts w:cs="Open Sans"/>
                <w:bCs/>
                <w:sz w:val="18"/>
                <w:szCs w:val="18"/>
              </w:rPr>
            </w:pPr>
            <w:r w:rsidRPr="006B3FD7">
              <w:rPr>
                <w:rFonts w:cs="Open Sans"/>
                <w:bCs/>
                <w:sz w:val="18"/>
                <w:szCs w:val="18"/>
              </w:rPr>
              <w:t>Small electrical goods</w:t>
            </w:r>
          </w:p>
        </w:tc>
        <w:tc>
          <w:tcPr>
            <w:tcW w:w="613" w:type="dxa"/>
            <w:shd w:val="clear" w:color="auto" w:fill="auto"/>
            <w:vAlign w:val="bottom"/>
          </w:tcPr>
          <w:p w14:paraId="261A0C45" w14:textId="235EB82F"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3%</w:t>
            </w:r>
          </w:p>
        </w:tc>
        <w:tc>
          <w:tcPr>
            <w:tcW w:w="676" w:type="dxa"/>
            <w:shd w:val="clear" w:color="auto" w:fill="auto"/>
            <w:vAlign w:val="bottom"/>
          </w:tcPr>
          <w:p w14:paraId="5055698A" w14:textId="03CCB666"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3%</w:t>
            </w:r>
          </w:p>
        </w:tc>
        <w:tc>
          <w:tcPr>
            <w:tcW w:w="675" w:type="dxa"/>
            <w:shd w:val="clear" w:color="auto" w:fill="auto"/>
            <w:vAlign w:val="bottom"/>
          </w:tcPr>
          <w:p w14:paraId="77BEAEFE" w14:textId="5F7E19EE"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17%</w:t>
            </w:r>
          </w:p>
        </w:tc>
        <w:tc>
          <w:tcPr>
            <w:tcW w:w="668" w:type="dxa"/>
            <w:shd w:val="clear" w:color="auto" w:fill="auto"/>
            <w:vAlign w:val="bottom"/>
          </w:tcPr>
          <w:p w14:paraId="694C3AA3" w14:textId="03B5A61E"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1%</w:t>
            </w:r>
          </w:p>
        </w:tc>
        <w:tc>
          <w:tcPr>
            <w:tcW w:w="611" w:type="dxa"/>
            <w:shd w:val="clear" w:color="auto" w:fill="auto"/>
            <w:vAlign w:val="bottom"/>
          </w:tcPr>
          <w:p w14:paraId="2C725C81" w14:textId="6AB27A87"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c>
          <w:tcPr>
            <w:tcW w:w="611" w:type="dxa"/>
            <w:shd w:val="clear" w:color="auto" w:fill="auto"/>
            <w:vAlign w:val="bottom"/>
          </w:tcPr>
          <w:p w14:paraId="3A5379CF" w14:textId="5C137EA2"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c>
          <w:tcPr>
            <w:tcW w:w="612" w:type="dxa"/>
            <w:shd w:val="clear" w:color="auto" w:fill="auto"/>
            <w:vAlign w:val="bottom"/>
          </w:tcPr>
          <w:p w14:paraId="2F74D5D6" w14:textId="72EDF4C6"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c>
          <w:tcPr>
            <w:tcW w:w="673" w:type="dxa"/>
            <w:shd w:val="clear" w:color="auto" w:fill="auto"/>
            <w:vAlign w:val="bottom"/>
          </w:tcPr>
          <w:p w14:paraId="303C5234" w14:textId="2DD44DA9"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c>
          <w:tcPr>
            <w:tcW w:w="675" w:type="dxa"/>
            <w:shd w:val="clear" w:color="auto" w:fill="auto"/>
            <w:vAlign w:val="bottom"/>
          </w:tcPr>
          <w:p w14:paraId="152A581B" w14:textId="44B41E71"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2%</w:t>
            </w:r>
          </w:p>
        </w:tc>
        <w:tc>
          <w:tcPr>
            <w:tcW w:w="675" w:type="dxa"/>
            <w:shd w:val="clear" w:color="auto" w:fill="auto"/>
            <w:vAlign w:val="bottom"/>
          </w:tcPr>
          <w:p w14:paraId="1482B4AA" w14:textId="4D00AAEB"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7%</w:t>
            </w:r>
          </w:p>
        </w:tc>
        <w:tc>
          <w:tcPr>
            <w:tcW w:w="673" w:type="dxa"/>
            <w:shd w:val="clear" w:color="auto" w:fill="auto"/>
            <w:vAlign w:val="bottom"/>
          </w:tcPr>
          <w:p w14:paraId="7559A1B7" w14:textId="2DA9D95B"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c>
          <w:tcPr>
            <w:tcW w:w="611" w:type="dxa"/>
            <w:shd w:val="clear" w:color="auto" w:fill="auto"/>
            <w:vAlign w:val="bottom"/>
          </w:tcPr>
          <w:p w14:paraId="0A9DE005" w14:textId="680445AF"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c>
          <w:tcPr>
            <w:tcW w:w="611" w:type="dxa"/>
            <w:shd w:val="clear" w:color="auto" w:fill="auto"/>
            <w:vAlign w:val="bottom"/>
          </w:tcPr>
          <w:p w14:paraId="65A7E114" w14:textId="06F22B4F"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c>
          <w:tcPr>
            <w:tcW w:w="612" w:type="dxa"/>
            <w:shd w:val="clear" w:color="auto" w:fill="auto"/>
            <w:vAlign w:val="bottom"/>
          </w:tcPr>
          <w:p w14:paraId="74729E1E" w14:textId="13743C49" w:rsidR="00B66F0E" w:rsidRPr="006B3FD7" w:rsidRDefault="00B66F0E" w:rsidP="00B66F0E">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r>
      <w:tr w:rsidR="00B66F0E" w:rsidRPr="006B3FD7" w14:paraId="33E4446D" w14:textId="77777777" w:rsidTr="006B3F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79319972" w14:textId="77777777" w:rsidR="00B66F0E" w:rsidRPr="006B3FD7" w:rsidRDefault="00B66F0E" w:rsidP="00B66F0E">
            <w:pPr>
              <w:ind w:left="0"/>
              <w:rPr>
                <w:rFonts w:cs="Open Sans"/>
                <w:bCs/>
                <w:sz w:val="18"/>
                <w:szCs w:val="18"/>
              </w:rPr>
            </w:pPr>
            <w:r w:rsidRPr="006B3FD7">
              <w:rPr>
                <w:rFonts w:cs="Open Sans"/>
                <w:bCs/>
                <w:sz w:val="18"/>
                <w:szCs w:val="18"/>
              </w:rPr>
              <w:t>Personal / luxury goods</w:t>
            </w:r>
          </w:p>
        </w:tc>
        <w:tc>
          <w:tcPr>
            <w:tcW w:w="613" w:type="dxa"/>
            <w:shd w:val="clear" w:color="auto" w:fill="auto"/>
            <w:vAlign w:val="bottom"/>
          </w:tcPr>
          <w:p w14:paraId="7ED8A7C4" w14:textId="612B74BE"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4%</w:t>
            </w:r>
          </w:p>
        </w:tc>
        <w:tc>
          <w:tcPr>
            <w:tcW w:w="676" w:type="dxa"/>
            <w:shd w:val="clear" w:color="auto" w:fill="auto"/>
            <w:vAlign w:val="bottom"/>
          </w:tcPr>
          <w:p w14:paraId="58A9060F" w14:textId="5B2A8459"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6%</w:t>
            </w:r>
          </w:p>
        </w:tc>
        <w:tc>
          <w:tcPr>
            <w:tcW w:w="675" w:type="dxa"/>
            <w:shd w:val="clear" w:color="auto" w:fill="auto"/>
            <w:vAlign w:val="bottom"/>
          </w:tcPr>
          <w:p w14:paraId="675A5107" w14:textId="092436AF"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47%</w:t>
            </w:r>
          </w:p>
        </w:tc>
        <w:tc>
          <w:tcPr>
            <w:tcW w:w="668" w:type="dxa"/>
            <w:shd w:val="clear" w:color="auto" w:fill="auto"/>
            <w:vAlign w:val="bottom"/>
          </w:tcPr>
          <w:p w14:paraId="0EE362BF" w14:textId="4D527DB6"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1%</w:t>
            </w:r>
          </w:p>
        </w:tc>
        <w:tc>
          <w:tcPr>
            <w:tcW w:w="611" w:type="dxa"/>
            <w:shd w:val="clear" w:color="auto" w:fill="auto"/>
            <w:vAlign w:val="bottom"/>
          </w:tcPr>
          <w:p w14:paraId="444FEDC3" w14:textId="70AD9A69"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0%</w:t>
            </w:r>
          </w:p>
        </w:tc>
        <w:tc>
          <w:tcPr>
            <w:tcW w:w="611" w:type="dxa"/>
            <w:shd w:val="clear" w:color="auto" w:fill="auto"/>
            <w:vAlign w:val="bottom"/>
          </w:tcPr>
          <w:p w14:paraId="49612A68" w14:textId="4F09B28B"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1%</w:t>
            </w:r>
          </w:p>
        </w:tc>
        <w:tc>
          <w:tcPr>
            <w:tcW w:w="612" w:type="dxa"/>
            <w:shd w:val="clear" w:color="auto" w:fill="auto"/>
            <w:vAlign w:val="bottom"/>
          </w:tcPr>
          <w:p w14:paraId="2FA4A615" w14:textId="421356D6"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0%</w:t>
            </w:r>
          </w:p>
        </w:tc>
        <w:tc>
          <w:tcPr>
            <w:tcW w:w="673" w:type="dxa"/>
            <w:shd w:val="clear" w:color="auto" w:fill="auto"/>
            <w:vAlign w:val="bottom"/>
          </w:tcPr>
          <w:p w14:paraId="5A844659" w14:textId="7AF72F7F"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0%</w:t>
            </w:r>
          </w:p>
        </w:tc>
        <w:tc>
          <w:tcPr>
            <w:tcW w:w="675" w:type="dxa"/>
            <w:shd w:val="clear" w:color="auto" w:fill="auto"/>
            <w:vAlign w:val="bottom"/>
          </w:tcPr>
          <w:p w14:paraId="1F8BB28E" w14:textId="77E62095"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8%</w:t>
            </w:r>
          </w:p>
        </w:tc>
        <w:tc>
          <w:tcPr>
            <w:tcW w:w="675" w:type="dxa"/>
            <w:shd w:val="clear" w:color="auto" w:fill="auto"/>
            <w:vAlign w:val="bottom"/>
          </w:tcPr>
          <w:p w14:paraId="4D4DAC7B" w14:textId="527CE14C"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26%</w:t>
            </w:r>
          </w:p>
        </w:tc>
        <w:tc>
          <w:tcPr>
            <w:tcW w:w="673" w:type="dxa"/>
            <w:shd w:val="clear" w:color="auto" w:fill="auto"/>
            <w:vAlign w:val="bottom"/>
          </w:tcPr>
          <w:p w14:paraId="37DEBBAF" w14:textId="1BDC137A"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0%</w:t>
            </w:r>
          </w:p>
        </w:tc>
        <w:tc>
          <w:tcPr>
            <w:tcW w:w="611" w:type="dxa"/>
            <w:shd w:val="clear" w:color="auto" w:fill="auto"/>
            <w:vAlign w:val="bottom"/>
          </w:tcPr>
          <w:p w14:paraId="76D2E99C" w14:textId="64E3F441"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0%</w:t>
            </w:r>
          </w:p>
        </w:tc>
        <w:tc>
          <w:tcPr>
            <w:tcW w:w="611" w:type="dxa"/>
            <w:shd w:val="clear" w:color="auto" w:fill="auto"/>
            <w:vAlign w:val="bottom"/>
          </w:tcPr>
          <w:p w14:paraId="1458F8FD" w14:textId="181E3FA7"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0%</w:t>
            </w:r>
          </w:p>
        </w:tc>
        <w:tc>
          <w:tcPr>
            <w:tcW w:w="612" w:type="dxa"/>
            <w:shd w:val="clear" w:color="auto" w:fill="auto"/>
            <w:vAlign w:val="bottom"/>
          </w:tcPr>
          <w:p w14:paraId="3454CA5E" w14:textId="5B7C9B92" w:rsidR="00B66F0E" w:rsidRPr="006B3FD7" w:rsidRDefault="00B66F0E" w:rsidP="00B66F0E">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sz w:val="18"/>
                <w:szCs w:val="18"/>
              </w:rPr>
              <w:t>0%</w:t>
            </w:r>
          </w:p>
        </w:tc>
      </w:tr>
      <w:tr w:rsidR="006B3FD7" w:rsidRPr="006B3FD7" w14:paraId="6AF71B3F" w14:textId="77777777" w:rsidTr="006B3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5721DFFD" w14:textId="77777777" w:rsidR="006B3FD7" w:rsidRPr="006B3FD7" w:rsidRDefault="006B3FD7" w:rsidP="006B3FD7">
            <w:pPr>
              <w:ind w:left="0"/>
              <w:rPr>
                <w:rFonts w:cs="Open Sans"/>
                <w:bCs/>
                <w:sz w:val="18"/>
                <w:szCs w:val="18"/>
              </w:rPr>
            </w:pPr>
            <w:r w:rsidRPr="006B3FD7">
              <w:rPr>
                <w:rFonts w:cs="Open Sans"/>
                <w:bCs/>
                <w:sz w:val="18"/>
                <w:szCs w:val="18"/>
              </w:rPr>
              <w:t>Recreational goods</w:t>
            </w:r>
          </w:p>
        </w:tc>
        <w:tc>
          <w:tcPr>
            <w:tcW w:w="613" w:type="dxa"/>
            <w:shd w:val="clear" w:color="auto" w:fill="auto"/>
            <w:vAlign w:val="bottom"/>
          </w:tcPr>
          <w:p w14:paraId="499AD74F" w14:textId="0962AF4B"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3%</w:t>
            </w:r>
          </w:p>
        </w:tc>
        <w:tc>
          <w:tcPr>
            <w:tcW w:w="676" w:type="dxa"/>
            <w:shd w:val="clear" w:color="auto" w:fill="auto"/>
            <w:vAlign w:val="bottom"/>
          </w:tcPr>
          <w:p w14:paraId="5442C8D7" w14:textId="29EB90E9"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9%</w:t>
            </w:r>
          </w:p>
        </w:tc>
        <w:tc>
          <w:tcPr>
            <w:tcW w:w="675" w:type="dxa"/>
            <w:shd w:val="clear" w:color="auto" w:fill="auto"/>
            <w:vAlign w:val="bottom"/>
          </w:tcPr>
          <w:p w14:paraId="211FC376" w14:textId="4D230B1E"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25%</w:t>
            </w:r>
          </w:p>
        </w:tc>
        <w:tc>
          <w:tcPr>
            <w:tcW w:w="668" w:type="dxa"/>
            <w:shd w:val="clear" w:color="auto" w:fill="auto"/>
            <w:vAlign w:val="bottom"/>
          </w:tcPr>
          <w:p w14:paraId="5A9A5A29" w14:textId="546E5AE2"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1%</w:t>
            </w:r>
          </w:p>
        </w:tc>
        <w:tc>
          <w:tcPr>
            <w:tcW w:w="611" w:type="dxa"/>
            <w:shd w:val="clear" w:color="auto" w:fill="auto"/>
            <w:vAlign w:val="bottom"/>
          </w:tcPr>
          <w:p w14:paraId="6E81BDFE" w14:textId="28A179E7"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c>
          <w:tcPr>
            <w:tcW w:w="611" w:type="dxa"/>
            <w:shd w:val="clear" w:color="auto" w:fill="auto"/>
            <w:vAlign w:val="bottom"/>
          </w:tcPr>
          <w:p w14:paraId="0262B715" w14:textId="55CE58AD"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c>
          <w:tcPr>
            <w:tcW w:w="612" w:type="dxa"/>
            <w:shd w:val="clear" w:color="auto" w:fill="auto"/>
            <w:vAlign w:val="bottom"/>
          </w:tcPr>
          <w:p w14:paraId="20165335" w14:textId="682CC2CE"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c>
          <w:tcPr>
            <w:tcW w:w="673" w:type="dxa"/>
            <w:shd w:val="clear" w:color="auto" w:fill="auto"/>
            <w:vAlign w:val="bottom"/>
          </w:tcPr>
          <w:p w14:paraId="1382E30A" w14:textId="183A5080"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c>
          <w:tcPr>
            <w:tcW w:w="675" w:type="dxa"/>
            <w:shd w:val="clear" w:color="auto" w:fill="auto"/>
            <w:vAlign w:val="bottom"/>
          </w:tcPr>
          <w:p w14:paraId="1F4CA564" w14:textId="102EF50D"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8%</w:t>
            </w:r>
          </w:p>
        </w:tc>
        <w:tc>
          <w:tcPr>
            <w:tcW w:w="675" w:type="dxa"/>
            <w:shd w:val="clear" w:color="auto" w:fill="auto"/>
            <w:vAlign w:val="bottom"/>
          </w:tcPr>
          <w:p w14:paraId="5A71ADFD" w14:textId="747BB030"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15%</w:t>
            </w:r>
          </w:p>
        </w:tc>
        <w:tc>
          <w:tcPr>
            <w:tcW w:w="673" w:type="dxa"/>
            <w:shd w:val="clear" w:color="auto" w:fill="auto"/>
            <w:vAlign w:val="bottom"/>
          </w:tcPr>
          <w:p w14:paraId="562CB9BF" w14:textId="482311AE"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3%</w:t>
            </w:r>
          </w:p>
        </w:tc>
        <w:tc>
          <w:tcPr>
            <w:tcW w:w="611" w:type="dxa"/>
            <w:shd w:val="clear" w:color="auto" w:fill="auto"/>
            <w:vAlign w:val="bottom"/>
          </w:tcPr>
          <w:p w14:paraId="0CDEB160" w14:textId="046A1DF3"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c>
          <w:tcPr>
            <w:tcW w:w="611" w:type="dxa"/>
            <w:shd w:val="clear" w:color="auto" w:fill="auto"/>
            <w:vAlign w:val="bottom"/>
          </w:tcPr>
          <w:p w14:paraId="5647734F" w14:textId="760BAFAB"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c>
          <w:tcPr>
            <w:tcW w:w="612" w:type="dxa"/>
            <w:shd w:val="clear" w:color="auto" w:fill="auto"/>
            <w:vAlign w:val="bottom"/>
          </w:tcPr>
          <w:p w14:paraId="0E1F89D3" w14:textId="395F1C65"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sz w:val="18"/>
                <w:szCs w:val="18"/>
              </w:rPr>
              <w:t>0%</w:t>
            </w:r>
          </w:p>
        </w:tc>
      </w:tr>
      <w:tr w:rsidR="006B3FD7" w:rsidRPr="006B3FD7" w14:paraId="55A8D2D8" w14:textId="77777777" w:rsidTr="006B3F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24DD378D" w14:textId="77777777" w:rsidR="006B3FD7" w:rsidRPr="006B3FD7" w:rsidRDefault="006B3FD7" w:rsidP="006B3FD7">
            <w:pPr>
              <w:spacing w:before="0"/>
              <w:ind w:left="0" w:right="0"/>
              <w:jc w:val="center"/>
              <w:rPr>
                <w:rFonts w:cs="Open Sans"/>
                <w:b/>
                <w:color w:val="auto"/>
                <w:sz w:val="18"/>
                <w:szCs w:val="18"/>
              </w:rPr>
            </w:pPr>
            <w:r w:rsidRPr="003E7679">
              <w:rPr>
                <w:rFonts w:cs="Open Sans"/>
                <w:b/>
                <w:color w:val="C00000"/>
                <w:sz w:val="18"/>
                <w:szCs w:val="18"/>
              </w:rPr>
              <w:t>2022 Retail Study</w:t>
            </w:r>
          </w:p>
        </w:tc>
      </w:tr>
      <w:tr w:rsidR="006B3FD7" w:rsidRPr="006B3FD7" w14:paraId="62CC4354" w14:textId="77777777" w:rsidTr="006B3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48AD9244" w14:textId="77777777" w:rsidR="006B3FD7" w:rsidRPr="006B3FD7" w:rsidRDefault="006B3FD7" w:rsidP="006B3FD7">
            <w:pPr>
              <w:spacing w:before="0"/>
              <w:ind w:left="0" w:right="0"/>
              <w:rPr>
                <w:rFonts w:cs="Open Sans"/>
                <w:bCs/>
                <w:color w:val="auto"/>
                <w:sz w:val="18"/>
                <w:szCs w:val="18"/>
              </w:rPr>
            </w:pPr>
            <w:r w:rsidRPr="006B3FD7">
              <w:rPr>
                <w:rFonts w:cs="Open Sans"/>
                <w:bCs/>
                <w:color w:val="auto"/>
                <w:sz w:val="18"/>
                <w:szCs w:val="18"/>
              </w:rPr>
              <w:t>Clothes / footwear</w:t>
            </w:r>
          </w:p>
        </w:tc>
        <w:tc>
          <w:tcPr>
            <w:tcW w:w="613" w:type="dxa"/>
            <w:shd w:val="clear" w:color="auto" w:fill="auto"/>
            <w:vAlign w:val="bottom"/>
          </w:tcPr>
          <w:p w14:paraId="45D126D3" w14:textId="2604F42F"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76" w:type="dxa"/>
            <w:shd w:val="clear" w:color="auto" w:fill="auto"/>
            <w:vAlign w:val="bottom"/>
          </w:tcPr>
          <w:p w14:paraId="03CB4A9E" w14:textId="1507B8EE"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1</w:t>
            </w:r>
            <w:r w:rsidR="00204128">
              <w:rPr>
                <w:rFonts w:cs="Open Sans"/>
                <w:color w:val="000000"/>
                <w:sz w:val="18"/>
                <w:szCs w:val="18"/>
              </w:rPr>
              <w:t>5</w:t>
            </w:r>
            <w:r w:rsidRPr="006B3FD7">
              <w:rPr>
                <w:rFonts w:cs="Open Sans"/>
                <w:color w:val="000000"/>
                <w:sz w:val="18"/>
                <w:szCs w:val="18"/>
              </w:rPr>
              <w:t>%</w:t>
            </w:r>
          </w:p>
        </w:tc>
        <w:tc>
          <w:tcPr>
            <w:tcW w:w="675" w:type="dxa"/>
            <w:shd w:val="clear" w:color="auto" w:fill="auto"/>
            <w:vAlign w:val="bottom"/>
          </w:tcPr>
          <w:p w14:paraId="28FA3A56" w14:textId="423B8BB9"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1</w:t>
            </w:r>
            <w:r w:rsidR="00204128">
              <w:rPr>
                <w:rFonts w:cs="Open Sans"/>
                <w:color w:val="000000"/>
                <w:sz w:val="18"/>
                <w:szCs w:val="18"/>
              </w:rPr>
              <w:t>5</w:t>
            </w:r>
            <w:r w:rsidRPr="006B3FD7">
              <w:rPr>
                <w:rFonts w:cs="Open Sans"/>
                <w:color w:val="000000"/>
                <w:sz w:val="18"/>
                <w:szCs w:val="18"/>
              </w:rPr>
              <w:t>%</w:t>
            </w:r>
          </w:p>
        </w:tc>
        <w:tc>
          <w:tcPr>
            <w:tcW w:w="668" w:type="dxa"/>
            <w:shd w:val="clear" w:color="auto" w:fill="auto"/>
            <w:vAlign w:val="bottom"/>
          </w:tcPr>
          <w:p w14:paraId="229CABCB" w14:textId="23BBD0AD" w:rsidR="006B3FD7" w:rsidRPr="006B3FD7" w:rsidRDefault="00204128"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color w:val="000000"/>
                <w:sz w:val="18"/>
                <w:szCs w:val="18"/>
              </w:rPr>
              <w:t>1</w:t>
            </w:r>
            <w:r w:rsidR="006B3FD7" w:rsidRPr="006B3FD7">
              <w:rPr>
                <w:rFonts w:cs="Open Sans"/>
                <w:color w:val="000000"/>
                <w:sz w:val="18"/>
                <w:szCs w:val="18"/>
              </w:rPr>
              <w:t>%</w:t>
            </w:r>
          </w:p>
        </w:tc>
        <w:tc>
          <w:tcPr>
            <w:tcW w:w="611" w:type="dxa"/>
            <w:shd w:val="clear" w:color="auto" w:fill="auto"/>
            <w:vAlign w:val="bottom"/>
          </w:tcPr>
          <w:p w14:paraId="6F774736" w14:textId="1B2B3ECA"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11" w:type="dxa"/>
            <w:shd w:val="clear" w:color="auto" w:fill="auto"/>
            <w:vAlign w:val="bottom"/>
          </w:tcPr>
          <w:p w14:paraId="4DF3D2DC" w14:textId="5E1FD1EC"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12" w:type="dxa"/>
            <w:shd w:val="clear" w:color="auto" w:fill="auto"/>
            <w:vAlign w:val="bottom"/>
          </w:tcPr>
          <w:p w14:paraId="1DED1FA9" w14:textId="76A5F23F"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73" w:type="dxa"/>
            <w:shd w:val="clear" w:color="auto" w:fill="auto"/>
            <w:vAlign w:val="bottom"/>
          </w:tcPr>
          <w:p w14:paraId="2CE452CA" w14:textId="48F0BABA" w:rsidR="006B3FD7" w:rsidRPr="006B3FD7" w:rsidRDefault="00204128"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color w:val="000000"/>
                <w:sz w:val="18"/>
                <w:szCs w:val="18"/>
              </w:rPr>
              <w:t>4</w:t>
            </w:r>
            <w:r w:rsidR="006B3FD7" w:rsidRPr="006B3FD7">
              <w:rPr>
                <w:rFonts w:cs="Open Sans"/>
                <w:color w:val="000000"/>
                <w:sz w:val="18"/>
                <w:szCs w:val="18"/>
              </w:rPr>
              <w:t>%</w:t>
            </w:r>
          </w:p>
        </w:tc>
        <w:tc>
          <w:tcPr>
            <w:tcW w:w="675" w:type="dxa"/>
            <w:shd w:val="clear" w:color="auto" w:fill="auto"/>
            <w:vAlign w:val="bottom"/>
          </w:tcPr>
          <w:p w14:paraId="4E48D24B" w14:textId="538898CE" w:rsidR="006B3FD7" w:rsidRPr="006B3FD7" w:rsidRDefault="00204128"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color w:val="000000"/>
                <w:sz w:val="18"/>
                <w:szCs w:val="18"/>
              </w:rPr>
              <w:t>10</w:t>
            </w:r>
            <w:r w:rsidR="006B3FD7" w:rsidRPr="006B3FD7">
              <w:rPr>
                <w:rFonts w:cs="Open Sans"/>
                <w:color w:val="000000"/>
                <w:sz w:val="18"/>
                <w:szCs w:val="18"/>
              </w:rPr>
              <w:t>%</w:t>
            </w:r>
          </w:p>
        </w:tc>
        <w:tc>
          <w:tcPr>
            <w:tcW w:w="675" w:type="dxa"/>
            <w:shd w:val="clear" w:color="auto" w:fill="auto"/>
            <w:vAlign w:val="bottom"/>
          </w:tcPr>
          <w:p w14:paraId="5AB868F4" w14:textId="511D087F"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14%</w:t>
            </w:r>
          </w:p>
        </w:tc>
        <w:tc>
          <w:tcPr>
            <w:tcW w:w="673" w:type="dxa"/>
            <w:shd w:val="clear" w:color="auto" w:fill="auto"/>
            <w:vAlign w:val="bottom"/>
          </w:tcPr>
          <w:p w14:paraId="6F9F2D15" w14:textId="4A363298"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1%</w:t>
            </w:r>
          </w:p>
        </w:tc>
        <w:tc>
          <w:tcPr>
            <w:tcW w:w="611" w:type="dxa"/>
            <w:shd w:val="clear" w:color="auto" w:fill="auto"/>
            <w:vAlign w:val="bottom"/>
          </w:tcPr>
          <w:p w14:paraId="489173AB" w14:textId="5452A7A8"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11" w:type="dxa"/>
            <w:shd w:val="clear" w:color="auto" w:fill="auto"/>
            <w:vAlign w:val="bottom"/>
          </w:tcPr>
          <w:p w14:paraId="0F0F3679" w14:textId="732BE5FD"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12" w:type="dxa"/>
            <w:shd w:val="clear" w:color="auto" w:fill="auto"/>
            <w:vAlign w:val="bottom"/>
          </w:tcPr>
          <w:p w14:paraId="55A98125" w14:textId="38087BEC"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r>
      <w:tr w:rsidR="006B3FD7" w:rsidRPr="006B3FD7" w14:paraId="0D2295F8" w14:textId="77777777" w:rsidTr="006B3F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513FD404" w14:textId="77777777" w:rsidR="006B3FD7" w:rsidRPr="006B3FD7" w:rsidRDefault="006B3FD7" w:rsidP="006B3FD7">
            <w:pPr>
              <w:spacing w:before="0"/>
              <w:ind w:left="0" w:right="0"/>
              <w:rPr>
                <w:rFonts w:cs="Open Sans"/>
                <w:bCs/>
                <w:color w:val="auto"/>
                <w:sz w:val="18"/>
                <w:szCs w:val="18"/>
              </w:rPr>
            </w:pPr>
            <w:r w:rsidRPr="006B3FD7">
              <w:rPr>
                <w:rFonts w:cs="Open Sans"/>
                <w:bCs/>
                <w:color w:val="auto"/>
                <w:sz w:val="18"/>
                <w:szCs w:val="18"/>
              </w:rPr>
              <w:t>Furniture / floorcoverings / textiles</w:t>
            </w:r>
          </w:p>
        </w:tc>
        <w:tc>
          <w:tcPr>
            <w:tcW w:w="613" w:type="dxa"/>
            <w:shd w:val="clear" w:color="auto" w:fill="auto"/>
            <w:vAlign w:val="bottom"/>
          </w:tcPr>
          <w:p w14:paraId="18B589E1" w14:textId="65F63357" w:rsidR="006B3FD7" w:rsidRPr="006B3FD7" w:rsidRDefault="006B3FD7"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color w:val="000000"/>
                <w:sz w:val="18"/>
                <w:szCs w:val="18"/>
              </w:rPr>
              <w:t>1%</w:t>
            </w:r>
          </w:p>
        </w:tc>
        <w:tc>
          <w:tcPr>
            <w:tcW w:w="676" w:type="dxa"/>
            <w:shd w:val="clear" w:color="auto" w:fill="auto"/>
            <w:vAlign w:val="bottom"/>
          </w:tcPr>
          <w:p w14:paraId="077729D9" w14:textId="2D09681C" w:rsidR="006B3FD7" w:rsidRPr="006B3FD7" w:rsidRDefault="006B3FD7"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color w:val="000000"/>
                <w:sz w:val="18"/>
                <w:szCs w:val="18"/>
              </w:rPr>
              <w:t>9%</w:t>
            </w:r>
          </w:p>
        </w:tc>
        <w:tc>
          <w:tcPr>
            <w:tcW w:w="675" w:type="dxa"/>
            <w:shd w:val="clear" w:color="auto" w:fill="auto"/>
            <w:vAlign w:val="bottom"/>
          </w:tcPr>
          <w:p w14:paraId="018D2AA6" w14:textId="1C2EDDB0" w:rsidR="006B3FD7" w:rsidRPr="006B3FD7" w:rsidRDefault="006B3FD7"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color w:val="000000"/>
                <w:sz w:val="18"/>
                <w:szCs w:val="18"/>
              </w:rPr>
              <w:t>1</w:t>
            </w:r>
            <w:r w:rsidR="00AA1DE3">
              <w:rPr>
                <w:rFonts w:cs="Open Sans"/>
                <w:color w:val="000000"/>
                <w:sz w:val="18"/>
                <w:szCs w:val="18"/>
              </w:rPr>
              <w:t>7</w:t>
            </w:r>
            <w:r w:rsidRPr="006B3FD7">
              <w:rPr>
                <w:rFonts w:cs="Open Sans"/>
                <w:color w:val="000000"/>
                <w:sz w:val="18"/>
                <w:szCs w:val="18"/>
              </w:rPr>
              <w:t>%</w:t>
            </w:r>
          </w:p>
        </w:tc>
        <w:tc>
          <w:tcPr>
            <w:tcW w:w="668" w:type="dxa"/>
            <w:shd w:val="clear" w:color="auto" w:fill="auto"/>
            <w:vAlign w:val="bottom"/>
          </w:tcPr>
          <w:p w14:paraId="1FA9DA5A" w14:textId="0DD4FBC7" w:rsidR="006B3FD7" w:rsidRPr="006B3FD7" w:rsidRDefault="00AA1DE3"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Pr>
                <w:rFonts w:cs="Open Sans"/>
                <w:color w:val="000000"/>
                <w:sz w:val="18"/>
                <w:szCs w:val="18"/>
              </w:rPr>
              <w:t>1</w:t>
            </w:r>
            <w:r w:rsidR="006B3FD7" w:rsidRPr="006B3FD7">
              <w:rPr>
                <w:rFonts w:cs="Open Sans"/>
                <w:color w:val="000000"/>
                <w:sz w:val="18"/>
                <w:szCs w:val="18"/>
              </w:rPr>
              <w:t>%</w:t>
            </w:r>
          </w:p>
        </w:tc>
        <w:tc>
          <w:tcPr>
            <w:tcW w:w="611" w:type="dxa"/>
            <w:shd w:val="clear" w:color="auto" w:fill="auto"/>
            <w:vAlign w:val="bottom"/>
          </w:tcPr>
          <w:p w14:paraId="522A8371" w14:textId="26338EA4" w:rsidR="006B3FD7" w:rsidRPr="006B3FD7" w:rsidRDefault="006B3FD7"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11" w:type="dxa"/>
            <w:shd w:val="clear" w:color="auto" w:fill="auto"/>
            <w:vAlign w:val="bottom"/>
          </w:tcPr>
          <w:p w14:paraId="440155BD" w14:textId="0109AD09" w:rsidR="006B3FD7" w:rsidRPr="006B3FD7" w:rsidRDefault="006B3FD7"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12" w:type="dxa"/>
            <w:shd w:val="clear" w:color="auto" w:fill="auto"/>
            <w:vAlign w:val="bottom"/>
          </w:tcPr>
          <w:p w14:paraId="024300FE" w14:textId="0FADC76C" w:rsidR="006B3FD7" w:rsidRPr="006B3FD7" w:rsidRDefault="006B3FD7"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73" w:type="dxa"/>
            <w:shd w:val="clear" w:color="auto" w:fill="auto"/>
            <w:vAlign w:val="bottom"/>
          </w:tcPr>
          <w:p w14:paraId="5F89AEC5" w14:textId="537A262F" w:rsidR="006B3FD7" w:rsidRPr="006B3FD7" w:rsidRDefault="006B3FD7"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color w:val="000000"/>
                <w:sz w:val="18"/>
                <w:szCs w:val="18"/>
              </w:rPr>
              <w:t>4%</w:t>
            </w:r>
          </w:p>
        </w:tc>
        <w:tc>
          <w:tcPr>
            <w:tcW w:w="675" w:type="dxa"/>
            <w:shd w:val="clear" w:color="auto" w:fill="auto"/>
            <w:vAlign w:val="bottom"/>
          </w:tcPr>
          <w:p w14:paraId="400292A3" w14:textId="794000C7" w:rsidR="006B3FD7" w:rsidRPr="006B3FD7" w:rsidRDefault="006B3FD7"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color w:val="000000"/>
                <w:sz w:val="18"/>
                <w:szCs w:val="18"/>
              </w:rPr>
              <w:t>9%</w:t>
            </w:r>
          </w:p>
        </w:tc>
        <w:tc>
          <w:tcPr>
            <w:tcW w:w="675" w:type="dxa"/>
            <w:shd w:val="clear" w:color="auto" w:fill="auto"/>
            <w:vAlign w:val="bottom"/>
          </w:tcPr>
          <w:p w14:paraId="3DC0443E" w14:textId="22C2E4EC" w:rsidR="006B3FD7" w:rsidRPr="006B3FD7" w:rsidRDefault="00AA1DE3"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Pr>
                <w:rFonts w:cs="Open Sans"/>
                <w:color w:val="000000"/>
                <w:sz w:val="18"/>
                <w:szCs w:val="18"/>
              </w:rPr>
              <w:t>5</w:t>
            </w:r>
            <w:r w:rsidR="006B3FD7" w:rsidRPr="006B3FD7">
              <w:rPr>
                <w:rFonts w:cs="Open Sans"/>
                <w:color w:val="000000"/>
                <w:sz w:val="18"/>
                <w:szCs w:val="18"/>
              </w:rPr>
              <w:t>%</w:t>
            </w:r>
          </w:p>
        </w:tc>
        <w:tc>
          <w:tcPr>
            <w:tcW w:w="673" w:type="dxa"/>
            <w:shd w:val="clear" w:color="auto" w:fill="auto"/>
            <w:vAlign w:val="bottom"/>
          </w:tcPr>
          <w:p w14:paraId="1406CDE0" w14:textId="76D82D1A" w:rsidR="006B3FD7" w:rsidRPr="006B3FD7" w:rsidRDefault="00AA1DE3"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Pr>
                <w:rFonts w:cs="Open Sans"/>
                <w:color w:val="000000"/>
                <w:sz w:val="18"/>
                <w:szCs w:val="18"/>
              </w:rPr>
              <w:t>2</w:t>
            </w:r>
            <w:r w:rsidR="006B3FD7" w:rsidRPr="006B3FD7">
              <w:rPr>
                <w:rFonts w:cs="Open Sans"/>
                <w:color w:val="000000"/>
                <w:sz w:val="18"/>
                <w:szCs w:val="18"/>
              </w:rPr>
              <w:t>%</w:t>
            </w:r>
          </w:p>
        </w:tc>
        <w:tc>
          <w:tcPr>
            <w:tcW w:w="611" w:type="dxa"/>
            <w:shd w:val="clear" w:color="auto" w:fill="auto"/>
            <w:vAlign w:val="bottom"/>
          </w:tcPr>
          <w:p w14:paraId="6414CB90" w14:textId="6B5E38F4" w:rsidR="006B3FD7" w:rsidRPr="006B3FD7" w:rsidRDefault="006B3FD7"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11" w:type="dxa"/>
            <w:shd w:val="clear" w:color="auto" w:fill="auto"/>
            <w:vAlign w:val="bottom"/>
          </w:tcPr>
          <w:p w14:paraId="0CD22E34" w14:textId="78514149" w:rsidR="006B3FD7" w:rsidRPr="006B3FD7" w:rsidRDefault="006B3FD7"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12" w:type="dxa"/>
            <w:shd w:val="clear" w:color="auto" w:fill="auto"/>
            <w:vAlign w:val="bottom"/>
          </w:tcPr>
          <w:p w14:paraId="76434107" w14:textId="70D70B78" w:rsidR="006B3FD7" w:rsidRPr="006B3FD7" w:rsidRDefault="006B3FD7" w:rsidP="006B3FD7">
            <w:pPr>
              <w:spacing w:before="0"/>
              <w:ind w:left="0" w:right="0"/>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6B3FD7">
              <w:rPr>
                <w:rFonts w:cs="Open Sans"/>
                <w:color w:val="000000"/>
                <w:sz w:val="18"/>
                <w:szCs w:val="18"/>
              </w:rPr>
              <w:t>0%</w:t>
            </w:r>
          </w:p>
        </w:tc>
      </w:tr>
      <w:tr w:rsidR="006B3FD7" w:rsidRPr="006B3FD7" w14:paraId="5FE2B0B5" w14:textId="77777777" w:rsidTr="006B3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02DFF848" w14:textId="77777777" w:rsidR="006B3FD7" w:rsidRPr="006B3FD7" w:rsidRDefault="006B3FD7" w:rsidP="006B3FD7">
            <w:pPr>
              <w:spacing w:before="0"/>
              <w:ind w:left="0" w:right="0"/>
              <w:rPr>
                <w:rFonts w:cs="Open Sans"/>
                <w:bCs/>
                <w:color w:val="auto"/>
                <w:sz w:val="18"/>
                <w:szCs w:val="18"/>
              </w:rPr>
            </w:pPr>
            <w:r w:rsidRPr="006B3FD7">
              <w:rPr>
                <w:rFonts w:cs="Open Sans"/>
                <w:bCs/>
                <w:color w:val="auto"/>
                <w:sz w:val="18"/>
                <w:szCs w:val="18"/>
              </w:rPr>
              <w:t>DIY goods</w:t>
            </w:r>
          </w:p>
        </w:tc>
        <w:tc>
          <w:tcPr>
            <w:tcW w:w="613" w:type="dxa"/>
            <w:shd w:val="clear" w:color="auto" w:fill="auto"/>
            <w:vAlign w:val="bottom"/>
          </w:tcPr>
          <w:p w14:paraId="65448393" w14:textId="204ECE4E"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76" w:type="dxa"/>
            <w:shd w:val="clear" w:color="auto" w:fill="auto"/>
            <w:vAlign w:val="bottom"/>
          </w:tcPr>
          <w:p w14:paraId="107878B2" w14:textId="66679BD7" w:rsidR="006B3FD7" w:rsidRPr="006B3FD7" w:rsidRDefault="00AA1DE3"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color w:val="000000"/>
                <w:sz w:val="18"/>
                <w:szCs w:val="18"/>
              </w:rPr>
              <w:t>3</w:t>
            </w:r>
            <w:r w:rsidR="006B3FD7" w:rsidRPr="006B3FD7">
              <w:rPr>
                <w:rFonts w:cs="Open Sans"/>
                <w:color w:val="000000"/>
                <w:sz w:val="18"/>
                <w:szCs w:val="18"/>
              </w:rPr>
              <w:t>%</w:t>
            </w:r>
          </w:p>
        </w:tc>
        <w:tc>
          <w:tcPr>
            <w:tcW w:w="675" w:type="dxa"/>
            <w:shd w:val="clear" w:color="auto" w:fill="auto"/>
            <w:vAlign w:val="bottom"/>
          </w:tcPr>
          <w:p w14:paraId="78BB0A6B" w14:textId="3653A4C6"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3%</w:t>
            </w:r>
          </w:p>
        </w:tc>
        <w:tc>
          <w:tcPr>
            <w:tcW w:w="668" w:type="dxa"/>
            <w:shd w:val="clear" w:color="auto" w:fill="auto"/>
            <w:vAlign w:val="bottom"/>
          </w:tcPr>
          <w:p w14:paraId="3A8BAF32" w14:textId="3CBB66E2" w:rsidR="006B3FD7" w:rsidRPr="006B3FD7" w:rsidRDefault="00AA1DE3"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Pr>
                <w:rFonts w:cs="Open Sans"/>
                <w:color w:val="000000"/>
                <w:sz w:val="18"/>
                <w:szCs w:val="18"/>
              </w:rPr>
              <w:t>1</w:t>
            </w:r>
            <w:r w:rsidR="006B3FD7" w:rsidRPr="006B3FD7">
              <w:rPr>
                <w:rFonts w:cs="Open Sans"/>
                <w:color w:val="000000"/>
                <w:sz w:val="18"/>
                <w:szCs w:val="18"/>
              </w:rPr>
              <w:t>%</w:t>
            </w:r>
          </w:p>
        </w:tc>
        <w:tc>
          <w:tcPr>
            <w:tcW w:w="611" w:type="dxa"/>
            <w:shd w:val="clear" w:color="auto" w:fill="auto"/>
            <w:vAlign w:val="bottom"/>
          </w:tcPr>
          <w:p w14:paraId="1BCCE29D" w14:textId="0B129F44"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11" w:type="dxa"/>
            <w:shd w:val="clear" w:color="auto" w:fill="auto"/>
            <w:vAlign w:val="bottom"/>
          </w:tcPr>
          <w:p w14:paraId="1E1E6586" w14:textId="68F0F062"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12" w:type="dxa"/>
            <w:shd w:val="clear" w:color="auto" w:fill="auto"/>
            <w:vAlign w:val="bottom"/>
          </w:tcPr>
          <w:p w14:paraId="0F2979E8" w14:textId="636617FA"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73" w:type="dxa"/>
            <w:shd w:val="clear" w:color="auto" w:fill="auto"/>
            <w:vAlign w:val="bottom"/>
          </w:tcPr>
          <w:p w14:paraId="453683E9" w14:textId="090E3172"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75" w:type="dxa"/>
            <w:shd w:val="clear" w:color="auto" w:fill="auto"/>
            <w:vAlign w:val="bottom"/>
          </w:tcPr>
          <w:p w14:paraId="576F5830" w14:textId="08FEBB1A"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75" w:type="dxa"/>
            <w:shd w:val="clear" w:color="auto" w:fill="auto"/>
            <w:vAlign w:val="bottom"/>
          </w:tcPr>
          <w:p w14:paraId="6596FB68" w14:textId="0E38AA7E"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3%</w:t>
            </w:r>
          </w:p>
        </w:tc>
        <w:tc>
          <w:tcPr>
            <w:tcW w:w="673" w:type="dxa"/>
            <w:shd w:val="clear" w:color="auto" w:fill="auto"/>
            <w:vAlign w:val="bottom"/>
          </w:tcPr>
          <w:p w14:paraId="6C37BA0B" w14:textId="7F1B2C69"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11" w:type="dxa"/>
            <w:shd w:val="clear" w:color="auto" w:fill="auto"/>
            <w:vAlign w:val="bottom"/>
          </w:tcPr>
          <w:p w14:paraId="30E91C1A" w14:textId="665FA5E8"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11" w:type="dxa"/>
            <w:shd w:val="clear" w:color="auto" w:fill="auto"/>
            <w:vAlign w:val="bottom"/>
          </w:tcPr>
          <w:p w14:paraId="79E7DEB1" w14:textId="27CF3203"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c>
          <w:tcPr>
            <w:tcW w:w="612" w:type="dxa"/>
            <w:shd w:val="clear" w:color="auto" w:fill="auto"/>
            <w:vAlign w:val="bottom"/>
          </w:tcPr>
          <w:p w14:paraId="4F5736EB" w14:textId="6AD21496" w:rsidR="006B3FD7" w:rsidRPr="006B3FD7" w:rsidRDefault="006B3FD7" w:rsidP="006B3FD7">
            <w:pPr>
              <w:spacing w:before="0"/>
              <w:ind w:left="0" w:right="0"/>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6B3FD7">
              <w:rPr>
                <w:rFonts w:cs="Open Sans"/>
                <w:color w:val="000000"/>
                <w:sz w:val="18"/>
                <w:szCs w:val="18"/>
              </w:rPr>
              <w:t>0%</w:t>
            </w:r>
          </w:p>
        </w:tc>
      </w:tr>
      <w:tr w:rsidR="006B3FD7" w:rsidRPr="006B3FD7" w14:paraId="671D978F" w14:textId="77777777" w:rsidTr="006B3F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16A1F9B5" w14:textId="77777777" w:rsidR="006B3FD7" w:rsidRPr="006B3FD7" w:rsidRDefault="006B3FD7" w:rsidP="006B3FD7">
            <w:pPr>
              <w:rPr>
                <w:rFonts w:cs="Open Sans"/>
                <w:bCs/>
                <w:sz w:val="18"/>
                <w:szCs w:val="18"/>
              </w:rPr>
            </w:pPr>
            <w:r w:rsidRPr="006B3FD7">
              <w:rPr>
                <w:rFonts w:cs="Open Sans"/>
                <w:bCs/>
                <w:sz w:val="18"/>
                <w:szCs w:val="18"/>
              </w:rPr>
              <w:t>Domestic appliances</w:t>
            </w:r>
          </w:p>
        </w:tc>
        <w:tc>
          <w:tcPr>
            <w:tcW w:w="613" w:type="dxa"/>
            <w:shd w:val="clear" w:color="auto" w:fill="auto"/>
            <w:vAlign w:val="bottom"/>
          </w:tcPr>
          <w:p w14:paraId="5EF54215" w14:textId="1C3BE2AD"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2%</w:t>
            </w:r>
          </w:p>
        </w:tc>
        <w:tc>
          <w:tcPr>
            <w:tcW w:w="676" w:type="dxa"/>
            <w:shd w:val="clear" w:color="auto" w:fill="auto"/>
            <w:vAlign w:val="bottom"/>
          </w:tcPr>
          <w:p w14:paraId="01F51BB7" w14:textId="34831F85"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10%</w:t>
            </w:r>
          </w:p>
        </w:tc>
        <w:tc>
          <w:tcPr>
            <w:tcW w:w="675" w:type="dxa"/>
            <w:shd w:val="clear" w:color="auto" w:fill="auto"/>
            <w:vAlign w:val="bottom"/>
          </w:tcPr>
          <w:p w14:paraId="3334E72A" w14:textId="23757028"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1</w:t>
            </w:r>
            <w:r w:rsidR="00AA1DE3">
              <w:rPr>
                <w:rFonts w:cs="Open Sans"/>
                <w:color w:val="000000"/>
                <w:sz w:val="18"/>
                <w:szCs w:val="18"/>
              </w:rPr>
              <w:t>2</w:t>
            </w:r>
            <w:r w:rsidRPr="006B3FD7">
              <w:rPr>
                <w:rFonts w:cs="Open Sans"/>
                <w:color w:val="000000"/>
                <w:sz w:val="18"/>
                <w:szCs w:val="18"/>
              </w:rPr>
              <w:t>%</w:t>
            </w:r>
          </w:p>
        </w:tc>
        <w:tc>
          <w:tcPr>
            <w:tcW w:w="668" w:type="dxa"/>
            <w:shd w:val="clear" w:color="auto" w:fill="auto"/>
            <w:vAlign w:val="bottom"/>
          </w:tcPr>
          <w:p w14:paraId="0F950C22" w14:textId="15E1DDB7" w:rsidR="006B3FD7" w:rsidRPr="006B3FD7" w:rsidRDefault="00AA1DE3"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Pr>
                <w:rFonts w:cs="Open Sans"/>
                <w:color w:val="000000"/>
                <w:sz w:val="18"/>
                <w:szCs w:val="18"/>
              </w:rPr>
              <w:t>1</w:t>
            </w:r>
            <w:r w:rsidR="006B3FD7" w:rsidRPr="006B3FD7">
              <w:rPr>
                <w:rFonts w:cs="Open Sans"/>
                <w:color w:val="000000"/>
                <w:sz w:val="18"/>
                <w:szCs w:val="18"/>
              </w:rPr>
              <w:t>%</w:t>
            </w:r>
          </w:p>
        </w:tc>
        <w:tc>
          <w:tcPr>
            <w:tcW w:w="611" w:type="dxa"/>
            <w:shd w:val="clear" w:color="auto" w:fill="auto"/>
            <w:vAlign w:val="bottom"/>
          </w:tcPr>
          <w:p w14:paraId="63FF1E9C" w14:textId="4248295C"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11" w:type="dxa"/>
            <w:shd w:val="clear" w:color="auto" w:fill="auto"/>
            <w:vAlign w:val="bottom"/>
          </w:tcPr>
          <w:p w14:paraId="4D463198" w14:textId="5B132CF3"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12" w:type="dxa"/>
            <w:shd w:val="clear" w:color="auto" w:fill="auto"/>
            <w:vAlign w:val="bottom"/>
          </w:tcPr>
          <w:p w14:paraId="18E975C7" w14:textId="4C252A37"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73" w:type="dxa"/>
            <w:shd w:val="clear" w:color="auto" w:fill="auto"/>
            <w:vAlign w:val="bottom"/>
          </w:tcPr>
          <w:p w14:paraId="4F5819CD" w14:textId="248C06A6"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75" w:type="dxa"/>
            <w:shd w:val="clear" w:color="auto" w:fill="auto"/>
            <w:vAlign w:val="bottom"/>
          </w:tcPr>
          <w:p w14:paraId="01E2A465" w14:textId="1C90F2D3"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75" w:type="dxa"/>
            <w:shd w:val="clear" w:color="auto" w:fill="auto"/>
            <w:vAlign w:val="bottom"/>
          </w:tcPr>
          <w:p w14:paraId="6EC95EC7" w14:textId="0EF776D5"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11%</w:t>
            </w:r>
          </w:p>
        </w:tc>
        <w:tc>
          <w:tcPr>
            <w:tcW w:w="673" w:type="dxa"/>
            <w:shd w:val="clear" w:color="auto" w:fill="auto"/>
            <w:vAlign w:val="bottom"/>
          </w:tcPr>
          <w:p w14:paraId="3E45D8F4" w14:textId="185D16EB"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11" w:type="dxa"/>
            <w:shd w:val="clear" w:color="auto" w:fill="auto"/>
            <w:vAlign w:val="bottom"/>
          </w:tcPr>
          <w:p w14:paraId="18A0DF56" w14:textId="6134A9FF"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11" w:type="dxa"/>
            <w:shd w:val="clear" w:color="auto" w:fill="auto"/>
            <w:vAlign w:val="bottom"/>
          </w:tcPr>
          <w:p w14:paraId="6EA49FC9" w14:textId="5D518229"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12" w:type="dxa"/>
            <w:shd w:val="clear" w:color="auto" w:fill="auto"/>
            <w:vAlign w:val="bottom"/>
          </w:tcPr>
          <w:p w14:paraId="3C92CF0A" w14:textId="34D2FDEA"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r>
      <w:tr w:rsidR="006B3FD7" w:rsidRPr="006B3FD7" w14:paraId="531617CC" w14:textId="77777777" w:rsidTr="006B3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754C3C7C" w14:textId="77777777" w:rsidR="006B3FD7" w:rsidRPr="006B3FD7" w:rsidRDefault="006B3FD7" w:rsidP="006B3FD7">
            <w:pPr>
              <w:rPr>
                <w:rFonts w:cs="Open Sans"/>
                <w:bCs/>
                <w:sz w:val="18"/>
                <w:szCs w:val="18"/>
              </w:rPr>
            </w:pPr>
            <w:r w:rsidRPr="006B3FD7">
              <w:rPr>
                <w:rFonts w:cs="Open Sans"/>
                <w:bCs/>
                <w:sz w:val="18"/>
                <w:szCs w:val="18"/>
              </w:rPr>
              <w:t>Small electrical goods</w:t>
            </w:r>
          </w:p>
        </w:tc>
        <w:tc>
          <w:tcPr>
            <w:tcW w:w="613" w:type="dxa"/>
            <w:shd w:val="clear" w:color="auto" w:fill="auto"/>
            <w:vAlign w:val="bottom"/>
          </w:tcPr>
          <w:p w14:paraId="08B964B3" w14:textId="3BAE27A6"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76" w:type="dxa"/>
            <w:shd w:val="clear" w:color="auto" w:fill="auto"/>
            <w:vAlign w:val="bottom"/>
          </w:tcPr>
          <w:p w14:paraId="4B58E00C" w14:textId="2B27CF9C"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6%</w:t>
            </w:r>
          </w:p>
        </w:tc>
        <w:tc>
          <w:tcPr>
            <w:tcW w:w="675" w:type="dxa"/>
            <w:shd w:val="clear" w:color="auto" w:fill="auto"/>
            <w:vAlign w:val="bottom"/>
          </w:tcPr>
          <w:p w14:paraId="2B980EF7" w14:textId="0F058BBF"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3%</w:t>
            </w:r>
          </w:p>
        </w:tc>
        <w:tc>
          <w:tcPr>
            <w:tcW w:w="668" w:type="dxa"/>
            <w:shd w:val="clear" w:color="auto" w:fill="auto"/>
            <w:vAlign w:val="bottom"/>
          </w:tcPr>
          <w:p w14:paraId="0382F512" w14:textId="368BF7F8"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11" w:type="dxa"/>
            <w:shd w:val="clear" w:color="auto" w:fill="auto"/>
            <w:vAlign w:val="bottom"/>
          </w:tcPr>
          <w:p w14:paraId="52007720" w14:textId="5C9496E8"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11" w:type="dxa"/>
            <w:shd w:val="clear" w:color="auto" w:fill="auto"/>
            <w:vAlign w:val="bottom"/>
          </w:tcPr>
          <w:p w14:paraId="76E6DA51" w14:textId="5C6749D8"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12" w:type="dxa"/>
            <w:shd w:val="clear" w:color="auto" w:fill="auto"/>
            <w:vAlign w:val="bottom"/>
          </w:tcPr>
          <w:p w14:paraId="11525183" w14:textId="76ADC78A"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73" w:type="dxa"/>
            <w:shd w:val="clear" w:color="auto" w:fill="auto"/>
            <w:vAlign w:val="bottom"/>
          </w:tcPr>
          <w:p w14:paraId="1E0DBA47" w14:textId="6883812A"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75" w:type="dxa"/>
            <w:shd w:val="clear" w:color="auto" w:fill="auto"/>
            <w:vAlign w:val="bottom"/>
          </w:tcPr>
          <w:p w14:paraId="0FAFE54D" w14:textId="471CD23D" w:rsidR="006B3FD7" w:rsidRPr="006B3FD7" w:rsidRDefault="008921A6"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Pr>
                <w:rFonts w:cs="Open Sans"/>
                <w:color w:val="000000"/>
                <w:sz w:val="18"/>
                <w:szCs w:val="18"/>
              </w:rPr>
              <w:t>7</w:t>
            </w:r>
            <w:r w:rsidR="006B3FD7" w:rsidRPr="006B3FD7">
              <w:rPr>
                <w:rFonts w:cs="Open Sans"/>
                <w:color w:val="000000"/>
                <w:sz w:val="18"/>
                <w:szCs w:val="18"/>
              </w:rPr>
              <w:t>%</w:t>
            </w:r>
          </w:p>
        </w:tc>
        <w:tc>
          <w:tcPr>
            <w:tcW w:w="675" w:type="dxa"/>
            <w:shd w:val="clear" w:color="auto" w:fill="auto"/>
            <w:vAlign w:val="bottom"/>
          </w:tcPr>
          <w:p w14:paraId="69FC7497" w14:textId="7DBFB852"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2%</w:t>
            </w:r>
          </w:p>
        </w:tc>
        <w:tc>
          <w:tcPr>
            <w:tcW w:w="673" w:type="dxa"/>
            <w:shd w:val="clear" w:color="auto" w:fill="auto"/>
            <w:vAlign w:val="bottom"/>
          </w:tcPr>
          <w:p w14:paraId="1511B8D9" w14:textId="2B04AC2E" w:rsidR="006B3FD7" w:rsidRPr="006B3FD7" w:rsidRDefault="008921A6"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Pr>
                <w:rFonts w:cs="Open Sans"/>
                <w:color w:val="000000"/>
                <w:sz w:val="18"/>
                <w:szCs w:val="18"/>
              </w:rPr>
              <w:t>3</w:t>
            </w:r>
            <w:r w:rsidR="006B3FD7" w:rsidRPr="006B3FD7">
              <w:rPr>
                <w:rFonts w:cs="Open Sans"/>
                <w:color w:val="000000"/>
                <w:sz w:val="18"/>
                <w:szCs w:val="18"/>
              </w:rPr>
              <w:t>%</w:t>
            </w:r>
          </w:p>
        </w:tc>
        <w:tc>
          <w:tcPr>
            <w:tcW w:w="611" w:type="dxa"/>
            <w:shd w:val="clear" w:color="auto" w:fill="auto"/>
            <w:vAlign w:val="bottom"/>
          </w:tcPr>
          <w:p w14:paraId="63ED1733" w14:textId="6AEFDE80"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11" w:type="dxa"/>
            <w:shd w:val="clear" w:color="auto" w:fill="auto"/>
            <w:vAlign w:val="bottom"/>
          </w:tcPr>
          <w:p w14:paraId="199FEC7A" w14:textId="67A38047"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12" w:type="dxa"/>
            <w:shd w:val="clear" w:color="auto" w:fill="auto"/>
            <w:vAlign w:val="bottom"/>
          </w:tcPr>
          <w:p w14:paraId="273FBBD8" w14:textId="19CE7CFD"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r>
      <w:tr w:rsidR="006B3FD7" w:rsidRPr="006B3FD7" w14:paraId="700BE90D" w14:textId="77777777" w:rsidTr="006B3F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119BCE25" w14:textId="77777777" w:rsidR="006B3FD7" w:rsidRPr="006B3FD7" w:rsidRDefault="006B3FD7" w:rsidP="006B3FD7">
            <w:pPr>
              <w:rPr>
                <w:rFonts w:cs="Open Sans"/>
                <w:bCs/>
                <w:sz w:val="18"/>
                <w:szCs w:val="18"/>
              </w:rPr>
            </w:pPr>
            <w:r w:rsidRPr="006B3FD7">
              <w:rPr>
                <w:rFonts w:cs="Open Sans"/>
                <w:bCs/>
                <w:sz w:val="18"/>
                <w:szCs w:val="18"/>
              </w:rPr>
              <w:t>Personal / luxury goods</w:t>
            </w:r>
          </w:p>
        </w:tc>
        <w:tc>
          <w:tcPr>
            <w:tcW w:w="613" w:type="dxa"/>
            <w:shd w:val="clear" w:color="auto" w:fill="auto"/>
            <w:vAlign w:val="bottom"/>
          </w:tcPr>
          <w:p w14:paraId="21401D89" w14:textId="62879B49" w:rsidR="006B3FD7" w:rsidRPr="006B3FD7" w:rsidRDefault="008F4704"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Pr>
                <w:rFonts w:cs="Open Sans"/>
                <w:color w:val="000000"/>
                <w:sz w:val="18"/>
                <w:szCs w:val="18"/>
              </w:rPr>
              <w:t>3</w:t>
            </w:r>
            <w:r w:rsidR="006B3FD7" w:rsidRPr="006B3FD7">
              <w:rPr>
                <w:rFonts w:cs="Open Sans"/>
                <w:color w:val="000000"/>
                <w:sz w:val="18"/>
                <w:szCs w:val="18"/>
              </w:rPr>
              <w:t>%</w:t>
            </w:r>
          </w:p>
        </w:tc>
        <w:tc>
          <w:tcPr>
            <w:tcW w:w="676" w:type="dxa"/>
            <w:shd w:val="clear" w:color="auto" w:fill="auto"/>
            <w:vAlign w:val="bottom"/>
          </w:tcPr>
          <w:p w14:paraId="33B9DE2C" w14:textId="56FDFE8A" w:rsidR="006B3FD7" w:rsidRPr="006B3FD7" w:rsidRDefault="008F4704"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Pr>
                <w:rFonts w:cs="Open Sans"/>
                <w:color w:val="000000"/>
                <w:sz w:val="18"/>
                <w:szCs w:val="18"/>
              </w:rPr>
              <w:t>8</w:t>
            </w:r>
            <w:r w:rsidR="006B3FD7" w:rsidRPr="006B3FD7">
              <w:rPr>
                <w:rFonts w:cs="Open Sans"/>
                <w:color w:val="000000"/>
                <w:sz w:val="18"/>
                <w:szCs w:val="18"/>
              </w:rPr>
              <w:t>%</w:t>
            </w:r>
          </w:p>
        </w:tc>
        <w:tc>
          <w:tcPr>
            <w:tcW w:w="675" w:type="dxa"/>
            <w:shd w:val="clear" w:color="auto" w:fill="auto"/>
            <w:vAlign w:val="bottom"/>
          </w:tcPr>
          <w:p w14:paraId="7C8D09CF" w14:textId="150610C4"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35%</w:t>
            </w:r>
          </w:p>
        </w:tc>
        <w:tc>
          <w:tcPr>
            <w:tcW w:w="668" w:type="dxa"/>
            <w:shd w:val="clear" w:color="auto" w:fill="auto"/>
            <w:vAlign w:val="bottom"/>
          </w:tcPr>
          <w:p w14:paraId="49BE4382" w14:textId="2A098890" w:rsidR="006B3FD7" w:rsidRPr="006B3FD7" w:rsidRDefault="008921A6"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Pr>
                <w:rFonts w:cs="Open Sans"/>
                <w:color w:val="000000"/>
                <w:sz w:val="18"/>
                <w:szCs w:val="18"/>
              </w:rPr>
              <w:t>2</w:t>
            </w:r>
            <w:r w:rsidR="006B3FD7" w:rsidRPr="006B3FD7">
              <w:rPr>
                <w:rFonts w:cs="Open Sans"/>
                <w:color w:val="000000"/>
                <w:sz w:val="18"/>
                <w:szCs w:val="18"/>
              </w:rPr>
              <w:t>%</w:t>
            </w:r>
          </w:p>
        </w:tc>
        <w:tc>
          <w:tcPr>
            <w:tcW w:w="611" w:type="dxa"/>
            <w:shd w:val="clear" w:color="auto" w:fill="auto"/>
            <w:vAlign w:val="bottom"/>
          </w:tcPr>
          <w:p w14:paraId="2330AF11" w14:textId="6BF47EEC"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11" w:type="dxa"/>
            <w:shd w:val="clear" w:color="auto" w:fill="auto"/>
            <w:vAlign w:val="bottom"/>
          </w:tcPr>
          <w:p w14:paraId="1DB8D4AD" w14:textId="2655E885"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12" w:type="dxa"/>
            <w:shd w:val="clear" w:color="auto" w:fill="auto"/>
            <w:vAlign w:val="bottom"/>
          </w:tcPr>
          <w:p w14:paraId="56C3BED9" w14:textId="6F0E1292"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73" w:type="dxa"/>
            <w:shd w:val="clear" w:color="auto" w:fill="auto"/>
            <w:vAlign w:val="bottom"/>
          </w:tcPr>
          <w:p w14:paraId="2E7D680B" w14:textId="7DAE00AF"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3%</w:t>
            </w:r>
          </w:p>
        </w:tc>
        <w:tc>
          <w:tcPr>
            <w:tcW w:w="675" w:type="dxa"/>
            <w:shd w:val="clear" w:color="auto" w:fill="auto"/>
            <w:vAlign w:val="bottom"/>
          </w:tcPr>
          <w:p w14:paraId="1C0D4657" w14:textId="4763C4FE"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15%</w:t>
            </w:r>
          </w:p>
        </w:tc>
        <w:tc>
          <w:tcPr>
            <w:tcW w:w="675" w:type="dxa"/>
            <w:shd w:val="clear" w:color="auto" w:fill="auto"/>
            <w:vAlign w:val="bottom"/>
          </w:tcPr>
          <w:p w14:paraId="44503100" w14:textId="3BA30944"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21%</w:t>
            </w:r>
          </w:p>
        </w:tc>
        <w:tc>
          <w:tcPr>
            <w:tcW w:w="673" w:type="dxa"/>
            <w:shd w:val="clear" w:color="auto" w:fill="auto"/>
            <w:vAlign w:val="bottom"/>
          </w:tcPr>
          <w:p w14:paraId="5374AC15" w14:textId="4796BAFB"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11" w:type="dxa"/>
            <w:shd w:val="clear" w:color="auto" w:fill="auto"/>
            <w:vAlign w:val="bottom"/>
          </w:tcPr>
          <w:p w14:paraId="3DFA8EBA" w14:textId="11F84904"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11" w:type="dxa"/>
            <w:shd w:val="clear" w:color="auto" w:fill="auto"/>
            <w:vAlign w:val="bottom"/>
          </w:tcPr>
          <w:p w14:paraId="50423B07" w14:textId="496D9691"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c>
          <w:tcPr>
            <w:tcW w:w="612" w:type="dxa"/>
            <w:shd w:val="clear" w:color="auto" w:fill="auto"/>
            <w:vAlign w:val="bottom"/>
          </w:tcPr>
          <w:p w14:paraId="17DF63FF" w14:textId="09CC5FF5" w:rsidR="006B3FD7" w:rsidRPr="006B3FD7" w:rsidRDefault="006B3FD7" w:rsidP="006B3FD7">
            <w:pPr>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6B3FD7">
              <w:rPr>
                <w:rFonts w:cs="Open Sans"/>
                <w:color w:val="000000"/>
                <w:sz w:val="18"/>
                <w:szCs w:val="18"/>
              </w:rPr>
              <w:t>0%</w:t>
            </w:r>
          </w:p>
        </w:tc>
      </w:tr>
      <w:tr w:rsidR="006B3FD7" w:rsidRPr="006B3FD7" w14:paraId="4ACA0482" w14:textId="77777777" w:rsidTr="006B3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13F89980" w14:textId="77777777" w:rsidR="006B3FD7" w:rsidRPr="006B3FD7" w:rsidRDefault="006B3FD7" w:rsidP="006B3FD7">
            <w:pPr>
              <w:rPr>
                <w:rFonts w:cs="Open Sans"/>
                <w:bCs/>
                <w:sz w:val="18"/>
                <w:szCs w:val="18"/>
              </w:rPr>
            </w:pPr>
            <w:r w:rsidRPr="006B3FD7">
              <w:rPr>
                <w:rFonts w:cs="Open Sans"/>
                <w:bCs/>
                <w:sz w:val="18"/>
                <w:szCs w:val="18"/>
              </w:rPr>
              <w:t>Recreational goods</w:t>
            </w:r>
          </w:p>
        </w:tc>
        <w:tc>
          <w:tcPr>
            <w:tcW w:w="613" w:type="dxa"/>
            <w:shd w:val="clear" w:color="auto" w:fill="auto"/>
            <w:vAlign w:val="bottom"/>
          </w:tcPr>
          <w:p w14:paraId="43258E0E" w14:textId="1E45DAAF"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9%</w:t>
            </w:r>
          </w:p>
        </w:tc>
        <w:tc>
          <w:tcPr>
            <w:tcW w:w="676" w:type="dxa"/>
            <w:shd w:val="clear" w:color="auto" w:fill="auto"/>
            <w:vAlign w:val="bottom"/>
          </w:tcPr>
          <w:p w14:paraId="12C77EAA" w14:textId="3FBFFE24"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5%</w:t>
            </w:r>
          </w:p>
        </w:tc>
        <w:tc>
          <w:tcPr>
            <w:tcW w:w="675" w:type="dxa"/>
            <w:shd w:val="clear" w:color="auto" w:fill="auto"/>
            <w:vAlign w:val="bottom"/>
          </w:tcPr>
          <w:p w14:paraId="0A52EF7E" w14:textId="72B0CF68"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39%</w:t>
            </w:r>
          </w:p>
        </w:tc>
        <w:tc>
          <w:tcPr>
            <w:tcW w:w="668" w:type="dxa"/>
            <w:shd w:val="clear" w:color="auto" w:fill="auto"/>
            <w:vAlign w:val="bottom"/>
          </w:tcPr>
          <w:p w14:paraId="2ABA5CF0" w14:textId="35DBE3BE" w:rsidR="006B3FD7" w:rsidRPr="006B3FD7" w:rsidRDefault="008F4704"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Pr>
                <w:rFonts w:cs="Open Sans"/>
                <w:color w:val="000000"/>
                <w:sz w:val="18"/>
                <w:szCs w:val="18"/>
              </w:rPr>
              <w:t>1</w:t>
            </w:r>
            <w:r w:rsidR="006B3FD7" w:rsidRPr="006B3FD7">
              <w:rPr>
                <w:rFonts w:cs="Open Sans"/>
                <w:color w:val="000000"/>
                <w:sz w:val="18"/>
                <w:szCs w:val="18"/>
              </w:rPr>
              <w:t>%</w:t>
            </w:r>
          </w:p>
        </w:tc>
        <w:tc>
          <w:tcPr>
            <w:tcW w:w="611" w:type="dxa"/>
            <w:shd w:val="clear" w:color="auto" w:fill="auto"/>
            <w:vAlign w:val="bottom"/>
          </w:tcPr>
          <w:p w14:paraId="4A8C2473" w14:textId="145785F9"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11" w:type="dxa"/>
            <w:shd w:val="clear" w:color="auto" w:fill="auto"/>
            <w:vAlign w:val="bottom"/>
          </w:tcPr>
          <w:p w14:paraId="7D5F31A1" w14:textId="3DBE1812"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12" w:type="dxa"/>
            <w:shd w:val="clear" w:color="auto" w:fill="auto"/>
            <w:vAlign w:val="bottom"/>
          </w:tcPr>
          <w:p w14:paraId="47FFF63B" w14:textId="7534F4EE"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73" w:type="dxa"/>
            <w:shd w:val="clear" w:color="auto" w:fill="auto"/>
            <w:vAlign w:val="bottom"/>
          </w:tcPr>
          <w:p w14:paraId="4196224E" w14:textId="5D4F3DF4"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75" w:type="dxa"/>
            <w:shd w:val="clear" w:color="auto" w:fill="auto"/>
            <w:vAlign w:val="bottom"/>
          </w:tcPr>
          <w:p w14:paraId="37AEE141" w14:textId="7B75F856"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1</w:t>
            </w:r>
            <w:r w:rsidR="008F4704">
              <w:rPr>
                <w:rFonts w:cs="Open Sans"/>
                <w:color w:val="000000"/>
                <w:sz w:val="18"/>
                <w:szCs w:val="18"/>
              </w:rPr>
              <w:t>4</w:t>
            </w:r>
            <w:r w:rsidRPr="006B3FD7">
              <w:rPr>
                <w:rFonts w:cs="Open Sans"/>
                <w:color w:val="000000"/>
                <w:sz w:val="18"/>
                <w:szCs w:val="18"/>
              </w:rPr>
              <w:t>%</w:t>
            </w:r>
          </w:p>
        </w:tc>
        <w:tc>
          <w:tcPr>
            <w:tcW w:w="675" w:type="dxa"/>
            <w:shd w:val="clear" w:color="auto" w:fill="auto"/>
            <w:vAlign w:val="bottom"/>
          </w:tcPr>
          <w:p w14:paraId="4B044910" w14:textId="63618E8B"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3</w:t>
            </w:r>
            <w:r w:rsidR="008F4704">
              <w:rPr>
                <w:rFonts w:cs="Open Sans"/>
                <w:color w:val="000000"/>
                <w:sz w:val="18"/>
                <w:szCs w:val="18"/>
              </w:rPr>
              <w:t>2</w:t>
            </w:r>
            <w:r w:rsidRPr="006B3FD7">
              <w:rPr>
                <w:rFonts w:cs="Open Sans"/>
                <w:color w:val="000000"/>
                <w:sz w:val="18"/>
                <w:szCs w:val="18"/>
              </w:rPr>
              <w:t>%</w:t>
            </w:r>
          </w:p>
        </w:tc>
        <w:tc>
          <w:tcPr>
            <w:tcW w:w="673" w:type="dxa"/>
            <w:shd w:val="clear" w:color="auto" w:fill="auto"/>
            <w:vAlign w:val="bottom"/>
          </w:tcPr>
          <w:p w14:paraId="7E73CB77" w14:textId="75D7A611"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11" w:type="dxa"/>
            <w:shd w:val="clear" w:color="auto" w:fill="auto"/>
            <w:vAlign w:val="bottom"/>
          </w:tcPr>
          <w:p w14:paraId="3B51A092" w14:textId="5240A5D1"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11" w:type="dxa"/>
            <w:shd w:val="clear" w:color="auto" w:fill="auto"/>
            <w:vAlign w:val="bottom"/>
          </w:tcPr>
          <w:p w14:paraId="4589E31F" w14:textId="70FF6A52"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c>
          <w:tcPr>
            <w:tcW w:w="612" w:type="dxa"/>
            <w:shd w:val="clear" w:color="auto" w:fill="auto"/>
            <w:vAlign w:val="bottom"/>
          </w:tcPr>
          <w:p w14:paraId="55DAED2F" w14:textId="14F0566B" w:rsidR="006B3FD7" w:rsidRPr="006B3FD7" w:rsidRDefault="006B3FD7" w:rsidP="006B3FD7">
            <w:pPr>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6B3FD7">
              <w:rPr>
                <w:rFonts w:cs="Open Sans"/>
                <w:color w:val="000000"/>
                <w:sz w:val="18"/>
                <w:szCs w:val="18"/>
              </w:rPr>
              <w:t>0%</w:t>
            </w:r>
          </w:p>
        </w:tc>
      </w:tr>
      <w:bookmarkEnd w:id="11"/>
    </w:tbl>
    <w:p w14:paraId="28693220" w14:textId="77777777" w:rsidR="00155F90" w:rsidRPr="00816E95" w:rsidRDefault="00155F90" w:rsidP="00155F90">
      <w:pPr>
        <w:pStyle w:val="Level1"/>
        <w:numPr>
          <w:ilvl w:val="0"/>
          <w:numId w:val="0"/>
        </w:numPr>
        <w:ind w:left="720"/>
      </w:pPr>
    </w:p>
    <w:p w14:paraId="0B349860" w14:textId="455DBFE6" w:rsidR="006B3FD7" w:rsidRDefault="003C5363" w:rsidP="00816E95">
      <w:pPr>
        <w:pStyle w:val="Level1"/>
      </w:pPr>
      <w:r w:rsidRPr="000D401C">
        <w:t>The above data in Table 4.12</w:t>
      </w:r>
      <w:r w:rsidR="000D401C">
        <w:t xml:space="preserve"> </w:t>
      </w:r>
      <w:r w:rsidR="008F4704">
        <w:t>provides the following key messages:</w:t>
      </w:r>
    </w:p>
    <w:p w14:paraId="3897A69C" w14:textId="1B6447F3" w:rsidR="008F4704" w:rsidRDefault="008F4704" w:rsidP="008F4704">
      <w:pPr>
        <w:pStyle w:val="ListBullet"/>
      </w:pPr>
      <w:r>
        <w:t xml:space="preserve">The market shares indicate a catchment which can be divided into primary, </w:t>
      </w:r>
      <w:proofErr w:type="gramStart"/>
      <w:r>
        <w:t>secondary</w:t>
      </w:r>
      <w:proofErr w:type="gramEnd"/>
      <w:r>
        <w:t xml:space="preserve"> and tertiary areas.  Zone 4 comprises the primary catchment across most but not </w:t>
      </w:r>
      <w:proofErr w:type="gramStart"/>
      <w:r>
        <w:t>all of</w:t>
      </w:r>
      <w:proofErr w:type="gramEnd"/>
      <w:r>
        <w:t xml:space="preserve"> the study area zones.  Zone 2 comprises the secondary catchment, followed by a tertiary catchment in Zone 2.</w:t>
      </w:r>
    </w:p>
    <w:p w14:paraId="3420DED9" w14:textId="60CB6B6A" w:rsidR="008F4704" w:rsidRDefault="00CA36F0" w:rsidP="008F4704">
      <w:pPr>
        <w:pStyle w:val="ListBullet"/>
      </w:pPr>
      <w:r>
        <w:lastRenderedPageBreak/>
        <w:t xml:space="preserve">Within </w:t>
      </w:r>
      <w:r w:rsidR="00937BC3">
        <w:t xml:space="preserve">Zone 4, the town centre has seen a mixed picture in terms of market penetration rates which has it been able to achieve.  There has been increases in market share in clothes/footwear, </w:t>
      </w:r>
      <w:proofErr w:type="gramStart"/>
      <w:r w:rsidR="00937BC3">
        <w:t>DIY</w:t>
      </w:r>
      <w:proofErr w:type="gramEnd"/>
      <w:r w:rsidR="00937BC3">
        <w:t xml:space="preserve"> and recreational goods, whilst trips associated with furniture and domestic appliances has remains reasonably static.  There has been a fall in market share in person</w:t>
      </w:r>
      <w:r w:rsidR="002B7CE2">
        <w:t>al</w:t>
      </w:r>
      <w:r w:rsidR="00937BC3">
        <w:t xml:space="preserve"> and luxury goods (including health and beauty items) although, at 35% in 2022, this sector remains the </w:t>
      </w:r>
      <w:r w:rsidR="00DB1778">
        <w:t>most popular comparison goods sector in Paignton town centre.</w:t>
      </w:r>
    </w:p>
    <w:p w14:paraId="5D7BE15B" w14:textId="043380EB" w:rsidR="008F4704" w:rsidRDefault="001066B3" w:rsidP="008F4704">
      <w:pPr>
        <w:pStyle w:val="ListBullet"/>
      </w:pPr>
      <w:r>
        <w:t xml:space="preserve">A similar picture emerges in relation to the secondary catchment in Zone 3, with small changes in market share across </w:t>
      </w:r>
      <w:proofErr w:type="gramStart"/>
      <w:r>
        <w:t>a number of</w:t>
      </w:r>
      <w:proofErr w:type="gramEnd"/>
      <w:r>
        <w:t xml:space="preserve"> categories</w:t>
      </w:r>
      <w:r w:rsidR="002241D5">
        <w:t xml:space="preserve"> (although the variances between 2013 and 2022 are less pronounced).</w:t>
      </w:r>
    </w:p>
    <w:p w14:paraId="46E5721D" w14:textId="2202D849" w:rsidR="002241D5" w:rsidRDefault="002241D5" w:rsidP="008F4704">
      <w:pPr>
        <w:pStyle w:val="ListBullet"/>
      </w:pPr>
      <w:r>
        <w:t xml:space="preserve">Within the tertiary catchment (Zone 2) the low market share levels in 2013 have generally reduced to even (slightly) lower levels, apart from recreational goods shopping. </w:t>
      </w:r>
    </w:p>
    <w:p w14:paraId="593B8E20" w14:textId="77777777" w:rsidR="008F4704" w:rsidRPr="000D401C" w:rsidRDefault="008F4704" w:rsidP="008F4704">
      <w:pPr>
        <w:pStyle w:val="ListBullet"/>
        <w:numPr>
          <w:ilvl w:val="0"/>
          <w:numId w:val="0"/>
        </w:numPr>
        <w:ind w:left="1077" w:hanging="357"/>
      </w:pPr>
    </w:p>
    <w:p w14:paraId="6F8E5F2E" w14:textId="051F7D13" w:rsidR="002241D5" w:rsidRPr="009E437A" w:rsidRDefault="007172C8" w:rsidP="00816E95">
      <w:pPr>
        <w:pStyle w:val="Level1"/>
      </w:pPr>
      <w:r w:rsidRPr="007172C8">
        <w:t xml:space="preserve">Building upon the analysis of market share data, we have also assessed the changes in retail turnover in Paignton town centre over the past decade, using our quantitative need assessment contained later in this </w:t>
      </w:r>
      <w:r w:rsidRPr="009E437A">
        <w:t>document.  This data shows that, since the 2013 retail study, there has been a circa -16% drop in c</w:t>
      </w:r>
      <w:r w:rsidR="002241D5" w:rsidRPr="009E437A">
        <w:t>onvenience goods turnover</w:t>
      </w:r>
      <w:r w:rsidR="000A6536" w:rsidRPr="009E437A">
        <w:t xml:space="preserve"> </w:t>
      </w:r>
      <w:r w:rsidRPr="009E437A">
        <w:t>and an increase of around one third in comparison goods turnover levels.</w:t>
      </w:r>
    </w:p>
    <w:p w14:paraId="55576220" w14:textId="16CFBA56" w:rsidR="004E511E" w:rsidRPr="00B44051" w:rsidRDefault="009E437A" w:rsidP="00816E95">
      <w:pPr>
        <w:pStyle w:val="Level1"/>
      </w:pPr>
      <w:r w:rsidRPr="00B44051">
        <w:t>In relation to visits to food and beverage facilities, Paignton attracts 8% from Zone 3 residents, 45% from Zone 4, and 4% from Zone 5.</w:t>
      </w:r>
    </w:p>
    <w:p w14:paraId="5890DA27" w14:textId="3E772520" w:rsidR="004E511E" w:rsidRDefault="00AE16F9" w:rsidP="00816E95">
      <w:pPr>
        <w:pStyle w:val="Level1"/>
      </w:pPr>
      <w:r w:rsidRPr="009E437A">
        <w:t xml:space="preserve">With regards to the </w:t>
      </w:r>
      <w:r w:rsidR="004E511E" w:rsidRPr="009E437A">
        <w:t xml:space="preserve">usage of </w:t>
      </w:r>
      <w:r w:rsidRPr="009E437A">
        <w:t>Paignton</w:t>
      </w:r>
      <w:r w:rsidR="004E511E" w:rsidRPr="009E437A">
        <w:t xml:space="preserve"> town centre</w:t>
      </w:r>
      <w:r>
        <w:t>, questions 29-42 provide the following information:</w:t>
      </w:r>
    </w:p>
    <w:p w14:paraId="5C76DF23" w14:textId="5BA1C85F" w:rsidR="00A66780" w:rsidRDefault="00A66780" w:rsidP="00A66780">
      <w:pPr>
        <w:pStyle w:val="ListBullet"/>
      </w:pPr>
      <w:r>
        <w:t>Of those survey respondents in Zone 4 who visited Paignton town centre, 35% visited at least once a week</w:t>
      </w:r>
      <w:r>
        <w:rPr>
          <w:rStyle w:val="FootnoteReference"/>
        </w:rPr>
        <w:footnoteReference w:id="23"/>
      </w:r>
      <w:r>
        <w:t>.</w:t>
      </w:r>
    </w:p>
    <w:p w14:paraId="575B1E1A" w14:textId="15AD18E6" w:rsidR="00A66780" w:rsidRDefault="00A66780" w:rsidP="00A66780">
      <w:pPr>
        <w:pStyle w:val="ListBullet"/>
      </w:pPr>
      <w:r>
        <w:t>in terms of frequency of visits to the town centre, respondents were also asked whether the recent COVID-19 pandemic has influenced their behaviour towards the centre.  63% of respondents indicated that the pandemic had not changed the frequency of visits to the town centre, although 29% of respondents indicated that they were visiting less often.  The reasons for this were varied</w:t>
      </w:r>
      <w:r w:rsidR="00467C55">
        <w:t xml:space="preserve"> and similar to those given for Torquay – </w:t>
      </w:r>
      <w:proofErr w:type="gramStart"/>
      <w:r w:rsidR="00467C55">
        <w:t>i.e.</w:t>
      </w:r>
      <w:proofErr w:type="gramEnd"/>
      <w:r w:rsidR="00467C55">
        <w:t xml:space="preserve"> </w:t>
      </w:r>
      <w:r>
        <w:t>safety concern</w:t>
      </w:r>
      <w:r w:rsidR="00467C55">
        <w:t>s</w:t>
      </w:r>
      <w:r>
        <w:t>, the closure of shops over the last two years and the resultant range of shops.</w:t>
      </w:r>
      <w:r w:rsidR="00467C55">
        <w:t xml:space="preserve">  In addition, the propensity to undertake more online shopping was also a popular reason.</w:t>
      </w:r>
    </w:p>
    <w:p w14:paraId="5D9EA3DC" w14:textId="1724B807" w:rsidR="00A66780" w:rsidRDefault="00A66780" w:rsidP="00A66780">
      <w:pPr>
        <w:pStyle w:val="ListBullet"/>
      </w:pPr>
      <w:r>
        <w:t xml:space="preserve">In relation to the facilities which are visited on trips to </w:t>
      </w:r>
      <w:r w:rsidR="00467C55">
        <w:t>Paignton</w:t>
      </w:r>
      <w:r>
        <w:t xml:space="preserve"> town centre, circa </w:t>
      </w:r>
      <w:r w:rsidR="00467C55">
        <w:t>4</w:t>
      </w:r>
      <w:r>
        <w:t xml:space="preserve">0% of respondents from Zone </w:t>
      </w:r>
      <w:r w:rsidR="00467C55">
        <w:t>4</w:t>
      </w:r>
      <w:r>
        <w:t xml:space="preserve"> indicated that they used the town centre for non-food shopping. This is, </w:t>
      </w:r>
      <w:r w:rsidR="00467C55">
        <w:t xml:space="preserve">much lower than Torquay and </w:t>
      </w:r>
      <w:proofErr w:type="gramStart"/>
      <w:r w:rsidR="00467C55">
        <w:t>similar to</w:t>
      </w:r>
      <w:proofErr w:type="gramEnd"/>
      <w:r w:rsidR="00467C55">
        <w:t xml:space="preserve"> the level found in Brixham.  Other popular reasons for visiting the town centre include top-up food shopping (2</w:t>
      </w:r>
      <w:r w:rsidR="00C20893">
        <w:t>1</w:t>
      </w:r>
      <w:r w:rsidR="00467C55">
        <w:t>%), window shopping/</w:t>
      </w:r>
      <w:r w:rsidR="00DB5C29">
        <w:t>browsing</w:t>
      </w:r>
      <w:r w:rsidR="00467C55">
        <w:t xml:space="preserve"> (15%), main food shopping (10%), eating out (17%) and financial services (23%).  </w:t>
      </w:r>
      <w:r w:rsidR="00C20893">
        <w:t xml:space="preserve">The visitation rate for top-food shopping is higher than Torbay but lower than Brixham. </w:t>
      </w:r>
    </w:p>
    <w:p w14:paraId="2A0115A6" w14:textId="27F87B74" w:rsidR="00A66780" w:rsidRDefault="00A66780" w:rsidP="00A66780">
      <w:pPr>
        <w:pStyle w:val="ListBullet"/>
      </w:pPr>
      <w:r>
        <w:t xml:space="preserve">The most popular times of the day to visit </w:t>
      </w:r>
      <w:r w:rsidR="002B7CE2">
        <w:t xml:space="preserve">Paignton </w:t>
      </w:r>
      <w:r>
        <w:t>town centre are between 6am and noon (</w:t>
      </w:r>
      <w:r w:rsidR="00C20893">
        <w:t>53</w:t>
      </w:r>
      <w:r>
        <w:t>%)</w:t>
      </w:r>
      <w:r w:rsidR="00C20893">
        <w:t xml:space="preserve">, followed by </w:t>
      </w:r>
      <w:r>
        <w:t>noon – 3pm (</w:t>
      </w:r>
      <w:r w:rsidR="00C20893">
        <w:t>2</w:t>
      </w:r>
      <w:r>
        <w:t xml:space="preserve">8%).  </w:t>
      </w:r>
      <w:r w:rsidR="00C20893">
        <w:t xml:space="preserve"> </w:t>
      </w:r>
    </w:p>
    <w:p w14:paraId="06A85C45" w14:textId="42D65198" w:rsidR="00A66780" w:rsidRDefault="00A66780" w:rsidP="00A66780">
      <w:pPr>
        <w:pStyle w:val="ListBullet"/>
      </w:pPr>
      <w:r>
        <w:t>5</w:t>
      </w:r>
      <w:r w:rsidR="00C20893">
        <w:t>8</w:t>
      </w:r>
      <w:r>
        <w:t xml:space="preserve">% of survey respondents travel to </w:t>
      </w:r>
      <w:r w:rsidR="002B7CE2">
        <w:t>Paignton</w:t>
      </w:r>
      <w:r>
        <w:t xml:space="preserve"> town centre by car, with </w:t>
      </w:r>
      <w:r w:rsidR="00C20893">
        <w:t>30</w:t>
      </w:r>
      <w:r>
        <w:t xml:space="preserve">% walking to the centre and </w:t>
      </w:r>
      <w:r w:rsidR="00C20893">
        <w:t>only 4</w:t>
      </w:r>
      <w:r>
        <w:t>% using the bus.</w:t>
      </w:r>
    </w:p>
    <w:p w14:paraId="03E88A2D" w14:textId="0CAC8E82" w:rsidR="00A66780" w:rsidRDefault="00A66780" w:rsidP="00A66780">
      <w:pPr>
        <w:pStyle w:val="ListBullet"/>
      </w:pPr>
      <w:r>
        <w:t xml:space="preserve">With regards to overall visits to </w:t>
      </w:r>
      <w:r w:rsidR="002B7CE2">
        <w:t>Paignton</w:t>
      </w:r>
      <w:r>
        <w:t xml:space="preserve"> town centre, 15% of Zone </w:t>
      </w:r>
      <w:r w:rsidR="00C20893">
        <w:t>4</w:t>
      </w:r>
      <w:r>
        <w:t xml:space="preserve"> residents indicated that they never visit the centre, with the main reasons cited for not visiting being: range of shops (4</w:t>
      </w:r>
      <w:r w:rsidR="00690BA4">
        <w:t>0</w:t>
      </w:r>
      <w:r>
        <w:t>%), safety (1</w:t>
      </w:r>
      <w:r w:rsidR="00690BA4">
        <w:t>0</w:t>
      </w:r>
      <w:r>
        <w:t xml:space="preserve">%), </w:t>
      </w:r>
      <w:r w:rsidR="00690BA4">
        <w:t xml:space="preserve">not enough clothes shops (10%), cleanliness of the public realm (19%), poor quality of shops (10%), along with the need for improvements to the centre (12%).  </w:t>
      </w:r>
    </w:p>
    <w:p w14:paraId="5E89DE42" w14:textId="6E766297" w:rsidR="00AE16F9" w:rsidRPr="0071298D" w:rsidRDefault="00A66780" w:rsidP="00B77FBF">
      <w:pPr>
        <w:pStyle w:val="ListBullet"/>
      </w:pPr>
      <w:r>
        <w:t xml:space="preserve">For those survey respondents not visiting </w:t>
      </w:r>
      <w:r w:rsidR="00B77FBF">
        <w:t>Paignton</w:t>
      </w:r>
      <w:r>
        <w:t xml:space="preserve"> town centre, the most popular alternative destinations were </w:t>
      </w:r>
      <w:r w:rsidR="00B77FBF">
        <w:t>Torquay (14%), th</w:t>
      </w:r>
      <w:r>
        <w:t>e Willows district centre (</w:t>
      </w:r>
      <w:r w:rsidR="00B77FBF">
        <w:t>38</w:t>
      </w:r>
      <w:r>
        <w:t>%)</w:t>
      </w:r>
      <w:r w:rsidR="00B77FBF">
        <w:t xml:space="preserve"> (including Wren Retail Park), </w:t>
      </w:r>
      <w:r w:rsidR="00B77FBF">
        <w:lastRenderedPageBreak/>
        <w:t>Plymouth (5%)</w:t>
      </w:r>
      <w:r>
        <w:t xml:space="preserve"> and </w:t>
      </w:r>
      <w:r w:rsidR="00B77FBF">
        <w:t xml:space="preserve">Exeter </w:t>
      </w:r>
      <w:r>
        <w:t>(</w:t>
      </w:r>
      <w:r w:rsidR="00B77FBF">
        <w:t>5</w:t>
      </w:r>
      <w:r>
        <w:t xml:space="preserve">%).  The main reasons given for visiting these other centres </w:t>
      </w:r>
      <w:proofErr w:type="gramStart"/>
      <w:r>
        <w:t>were:</w:t>
      </w:r>
      <w:proofErr w:type="gramEnd"/>
      <w:r>
        <w:t xml:space="preserve"> </w:t>
      </w:r>
      <w:r w:rsidRPr="0071298D">
        <w:t xml:space="preserve">better choice of </w:t>
      </w:r>
      <w:r w:rsidR="00B77FBF" w:rsidRPr="0071298D">
        <w:t xml:space="preserve">non-food </w:t>
      </w:r>
      <w:r w:rsidRPr="0071298D">
        <w:t>shops (6</w:t>
      </w:r>
      <w:r w:rsidR="00B77FBF" w:rsidRPr="0071298D">
        <w:t>3</w:t>
      </w:r>
      <w:r w:rsidRPr="0071298D">
        <w:t xml:space="preserve">%), </w:t>
      </w:r>
      <w:r w:rsidR="00B77FBF" w:rsidRPr="0071298D">
        <w:t xml:space="preserve">easiness of </w:t>
      </w:r>
      <w:r w:rsidRPr="0071298D">
        <w:t>parking (2</w:t>
      </w:r>
      <w:r w:rsidR="00B77FBF" w:rsidRPr="0071298D">
        <w:t>0</w:t>
      </w:r>
      <w:r w:rsidRPr="0071298D">
        <w:t>%), a more attractive environment (</w:t>
      </w:r>
      <w:r w:rsidR="00B77FBF" w:rsidRPr="0071298D">
        <w:t>20</w:t>
      </w:r>
      <w:r w:rsidRPr="0071298D">
        <w:t>%), quality of shops (1</w:t>
      </w:r>
      <w:r w:rsidR="00B77FBF" w:rsidRPr="0071298D">
        <w:t>1</w:t>
      </w:r>
      <w:r w:rsidRPr="0071298D">
        <w:t>%) and levels</w:t>
      </w:r>
      <w:r w:rsidR="00B77FBF" w:rsidRPr="0071298D">
        <w:t xml:space="preserve"> of facilities / service </w:t>
      </w:r>
      <w:r w:rsidRPr="0071298D">
        <w:t>(11%).</w:t>
      </w:r>
    </w:p>
    <w:p w14:paraId="125BD975" w14:textId="77777777" w:rsidR="00AE16F9" w:rsidRPr="0071298D" w:rsidRDefault="00AE16F9" w:rsidP="00AE16F9">
      <w:pPr>
        <w:pStyle w:val="ListBullet"/>
        <w:numPr>
          <w:ilvl w:val="0"/>
          <w:numId w:val="0"/>
        </w:numPr>
        <w:ind w:left="1077"/>
      </w:pPr>
    </w:p>
    <w:p w14:paraId="5F36EF1A" w14:textId="01015678" w:rsidR="004E511E" w:rsidRPr="00B44051" w:rsidRDefault="0071298D" w:rsidP="00816E95">
      <w:pPr>
        <w:pStyle w:val="Level1"/>
      </w:pPr>
      <w:proofErr w:type="gramStart"/>
      <w:r w:rsidRPr="00B44051">
        <w:t>In light of</w:t>
      </w:r>
      <w:proofErr w:type="gramEnd"/>
      <w:r w:rsidRPr="00B44051">
        <w:t xml:space="preserve"> the foregoing analysis, the following conclusions can be reach regarding Paignton town centre:</w:t>
      </w:r>
    </w:p>
    <w:p w14:paraId="63FDC8CC" w14:textId="74965F9A" w:rsidR="00B40544" w:rsidRDefault="00B3310B" w:rsidP="00B40544">
      <w:pPr>
        <w:pStyle w:val="ListBullet"/>
      </w:pPr>
      <w:r>
        <w:t xml:space="preserve">Paignton town centre mirrors the trends seen in Torquay town centre, with a growing number of convenience goods and service outlets and a falling number of comparison goods outlets.  However, the latest land use survey of the town centre does indicate that, despite these changes, the proportions of these use are </w:t>
      </w:r>
      <w:proofErr w:type="gramStart"/>
      <w:r>
        <w:t>similar to</w:t>
      </w:r>
      <w:proofErr w:type="gramEnd"/>
      <w:r>
        <w:t xml:space="preserve"> their respective national averages.</w:t>
      </w:r>
    </w:p>
    <w:p w14:paraId="47DE89CF" w14:textId="1AD086B3" w:rsidR="00B3310B" w:rsidRDefault="00B3310B" w:rsidP="00B40544">
      <w:pPr>
        <w:pStyle w:val="ListBullet"/>
      </w:pPr>
      <w:r>
        <w:t>Vacancies have continued to rise and remain slightly above the national average.</w:t>
      </w:r>
    </w:p>
    <w:p w14:paraId="4CCC5060" w14:textId="2332FC36" w:rsidR="00B3310B" w:rsidRDefault="00B3310B" w:rsidP="00B40544">
      <w:pPr>
        <w:pStyle w:val="ListBullet"/>
      </w:pPr>
      <w:r>
        <w:t xml:space="preserve">The market share of the town centre for convenience goods shopping has fallen since the previous retail study, which </w:t>
      </w:r>
      <w:proofErr w:type="gramStart"/>
      <w:r>
        <w:t>is considered to be</w:t>
      </w:r>
      <w:proofErr w:type="gramEnd"/>
      <w:r>
        <w:t xml:space="preserve"> unsurprising given the opening of new out of centre and local / neighbourhood centre stores in the western part of the town.</w:t>
      </w:r>
      <w:r w:rsidR="00453757">
        <w:t xml:space="preserve">  This has resulted in a fall in convenience goods expenditure being attracted to the town centre.</w:t>
      </w:r>
    </w:p>
    <w:p w14:paraId="04FC51E7" w14:textId="41E72D10" w:rsidR="00B3310B" w:rsidRDefault="00B3310B" w:rsidP="00B44051">
      <w:pPr>
        <w:pStyle w:val="ListBullet"/>
      </w:pPr>
      <w:r>
        <w:t xml:space="preserve">In relation to </w:t>
      </w:r>
      <w:r w:rsidR="00453757">
        <w:t>comparison goods, there have been changes in the town centre</w:t>
      </w:r>
      <w:r w:rsidR="002B7CE2">
        <w:t>’s market share</w:t>
      </w:r>
      <w:r w:rsidR="00453757">
        <w:t xml:space="preserve"> and the picture has been mixed.  However, the turnover of the town centre has, since the previous retail study, increased by around one third.</w:t>
      </w:r>
    </w:p>
    <w:p w14:paraId="5CB88398" w14:textId="77777777" w:rsidR="002B7CE2" w:rsidRPr="00B44051" w:rsidRDefault="002B7CE2" w:rsidP="002B7CE2">
      <w:pPr>
        <w:pStyle w:val="ListBullet"/>
        <w:numPr>
          <w:ilvl w:val="0"/>
          <w:numId w:val="0"/>
        </w:numPr>
        <w:ind w:left="1077"/>
      </w:pPr>
    </w:p>
    <w:p w14:paraId="0024C299" w14:textId="3DA47B7E" w:rsidR="00560D64" w:rsidRPr="00560D64" w:rsidRDefault="00560D64" w:rsidP="00720441">
      <w:pPr>
        <w:pStyle w:val="Level1"/>
        <w:numPr>
          <w:ilvl w:val="0"/>
          <w:numId w:val="0"/>
        </w:numPr>
        <w:ind w:left="720"/>
        <w:jc w:val="both"/>
        <w:rPr>
          <w:rStyle w:val="Emphasis"/>
        </w:rPr>
      </w:pPr>
      <w:r w:rsidRPr="0071298D">
        <w:rPr>
          <w:rStyle w:val="Emphasis"/>
        </w:rPr>
        <w:t>Brixham</w:t>
      </w:r>
      <w:r w:rsidR="00643176" w:rsidRPr="0071298D">
        <w:rPr>
          <w:rStyle w:val="Emphasis"/>
        </w:rPr>
        <w:t xml:space="preserve"> Town</w:t>
      </w:r>
      <w:r w:rsidR="00643176">
        <w:rPr>
          <w:rStyle w:val="Emphasis"/>
        </w:rPr>
        <w:t xml:space="preserve"> Centre</w:t>
      </w:r>
    </w:p>
    <w:p w14:paraId="1175DECF" w14:textId="6AA51FA6" w:rsidR="00FC7952" w:rsidRPr="00516D6A" w:rsidRDefault="007B1187" w:rsidP="00FC7952">
      <w:pPr>
        <w:pStyle w:val="Level1"/>
      </w:pPr>
      <w:r>
        <w:t xml:space="preserve">Brixham town centre is the smallest of the three town centres in Torbay and the most southerly.  Like the other two main town centres, Brixham’s town centre is located adjacent to the seafront and arranged around a </w:t>
      </w:r>
      <w:r w:rsidRPr="00516D6A">
        <w:t xml:space="preserve">historic harbour area.  The development plan policies map </w:t>
      </w:r>
      <w:r w:rsidR="00E71982" w:rsidRPr="00516D6A">
        <w:t>policies map provides the following</w:t>
      </w:r>
      <w:r w:rsidR="00FC7952" w:rsidRPr="00516D6A">
        <w:t xml:space="preserve"> designations</w:t>
      </w:r>
      <w:r w:rsidR="00E71982" w:rsidRPr="00516D6A">
        <w:t xml:space="preserve"> for Brixham town centre:</w:t>
      </w:r>
    </w:p>
    <w:p w14:paraId="5BBC083B" w14:textId="2B5EE774" w:rsidR="00E71982" w:rsidRPr="00516D6A" w:rsidRDefault="00E71982" w:rsidP="00E71982">
      <w:pPr>
        <w:pStyle w:val="ListBullet"/>
      </w:pPr>
      <w:r w:rsidRPr="00516D6A">
        <w:rPr>
          <w:u w:val="single"/>
        </w:rPr>
        <w:t>Town centre</w:t>
      </w:r>
      <w:r w:rsidR="00216C5A" w:rsidRPr="00516D6A">
        <w:t xml:space="preserve">.  The plan contained </w:t>
      </w:r>
      <w:r w:rsidR="00216C5A" w:rsidRPr="00B44051">
        <w:t>at Appendix X</w:t>
      </w:r>
      <w:r w:rsidR="00516D6A" w:rsidRPr="00516D6A">
        <w:t>I</w:t>
      </w:r>
      <w:r w:rsidR="00216C5A" w:rsidRPr="00516D6A">
        <w:t xml:space="preserve"> </w:t>
      </w:r>
      <w:r w:rsidR="00C94760" w:rsidRPr="00516D6A">
        <w:t xml:space="preserve">shows the extent of the defined town centre boundary, which includes </w:t>
      </w:r>
      <w:r w:rsidR="006B64F1" w:rsidRPr="00516D6A">
        <w:t xml:space="preserve">the western and northern sides of the harbour, plus Fore Street, Middle Street, Market </w:t>
      </w:r>
      <w:proofErr w:type="gramStart"/>
      <w:r w:rsidR="006B64F1" w:rsidRPr="00516D6A">
        <w:t>Street</w:t>
      </w:r>
      <w:proofErr w:type="gramEnd"/>
      <w:r w:rsidR="006B64F1" w:rsidRPr="00516D6A">
        <w:t xml:space="preserve"> and the northern end of Bolton Street.</w:t>
      </w:r>
      <w:r w:rsidR="00216C5A" w:rsidRPr="00516D6A">
        <w:t xml:space="preserve">  </w:t>
      </w:r>
    </w:p>
    <w:p w14:paraId="04201E0B" w14:textId="72E206E9" w:rsidR="00E71982" w:rsidRPr="00516D6A" w:rsidRDefault="00E71982" w:rsidP="00E71982">
      <w:pPr>
        <w:pStyle w:val="ListBullet"/>
      </w:pPr>
      <w:r w:rsidRPr="00B44051">
        <w:rPr>
          <w:u w:val="single"/>
        </w:rPr>
        <w:t>Primary shopping area</w:t>
      </w:r>
      <w:r w:rsidR="006B64F1" w:rsidRPr="00B44051">
        <w:rPr>
          <w:u w:val="single"/>
        </w:rPr>
        <w:t xml:space="preserve"> (Appendix X</w:t>
      </w:r>
      <w:r w:rsidR="00516D6A" w:rsidRPr="00B44051">
        <w:rPr>
          <w:u w:val="single"/>
        </w:rPr>
        <w:t>II</w:t>
      </w:r>
      <w:r w:rsidR="006B64F1" w:rsidRPr="00B44051">
        <w:rPr>
          <w:u w:val="single"/>
        </w:rPr>
        <w:t>)</w:t>
      </w:r>
      <w:r w:rsidR="006B64F1" w:rsidRPr="00B44051">
        <w:t>.</w:t>
      </w:r>
      <w:r w:rsidR="006B64F1" w:rsidRPr="00516D6A">
        <w:t xml:space="preserve">  The defined primary shopping area is broadly rectangular in shape and borders Middle Street (excluding buildings on the northern side of this highway), the western side of Pump Street, both sides of Fore Street, plus Market Street.</w:t>
      </w:r>
    </w:p>
    <w:p w14:paraId="48CC80B0" w14:textId="642FFFB5" w:rsidR="00E71982" w:rsidRPr="00516D6A" w:rsidRDefault="00E71982" w:rsidP="00E71982">
      <w:pPr>
        <w:pStyle w:val="ListBullet"/>
      </w:pPr>
      <w:r w:rsidRPr="00B44051">
        <w:rPr>
          <w:u w:val="single"/>
        </w:rPr>
        <w:t>Primary shopping frontage</w:t>
      </w:r>
      <w:r w:rsidRPr="00B44051">
        <w:t xml:space="preserve">. </w:t>
      </w:r>
      <w:r w:rsidR="006B64F1" w:rsidRPr="00B44051">
        <w:t xml:space="preserve"> The plan at Appendix X</w:t>
      </w:r>
      <w:r w:rsidR="00516D6A" w:rsidRPr="00516D6A">
        <w:t>III</w:t>
      </w:r>
      <w:r w:rsidR="006B64F1" w:rsidRPr="00516D6A">
        <w:t xml:space="preserve"> shows the primary shopping frontage extending along both sides of the majority Fore Street</w:t>
      </w:r>
      <w:r w:rsidR="00547149" w:rsidRPr="00516D6A">
        <w:rPr>
          <w:rStyle w:val="FootnoteReference"/>
        </w:rPr>
        <w:footnoteReference w:id="24"/>
      </w:r>
      <w:r w:rsidR="006B64F1" w:rsidRPr="00516D6A">
        <w:t>.</w:t>
      </w:r>
    </w:p>
    <w:p w14:paraId="24B837D1" w14:textId="2071A9EF" w:rsidR="006B64F1" w:rsidRDefault="006B64F1" w:rsidP="00E71982">
      <w:pPr>
        <w:pStyle w:val="ListBullet"/>
      </w:pPr>
      <w:r w:rsidRPr="00B44051">
        <w:rPr>
          <w:u w:val="single"/>
        </w:rPr>
        <w:t>Secondary shopping frontage</w:t>
      </w:r>
      <w:r w:rsidRPr="00B44051">
        <w:t xml:space="preserve"> (Appendix X</w:t>
      </w:r>
      <w:r w:rsidR="00516D6A" w:rsidRPr="00516D6A">
        <w:t>III</w:t>
      </w:r>
      <w:r w:rsidRPr="00516D6A">
        <w:t>).  The defined secondary shopping frontage includes the junction around Market Street, Bolton Street and New Road, plus the eastern end of Middle Street (close to the harbour), the western</w:t>
      </w:r>
      <w:r>
        <w:t xml:space="preserve"> side of The Strand and the far eastern part of Fore Street. </w:t>
      </w:r>
    </w:p>
    <w:p w14:paraId="71F15AC7" w14:textId="446F88B6" w:rsidR="00FC7952" w:rsidRDefault="00B30C24" w:rsidP="00FC7952">
      <w:pPr>
        <w:pStyle w:val="Level1"/>
        <w:jc w:val="both"/>
      </w:pPr>
      <w:r>
        <w:t>Table 4.1</w:t>
      </w:r>
      <w:r w:rsidR="002F2236">
        <w:t>3</w:t>
      </w:r>
      <w:r>
        <w:t xml:space="preserve"> below </w:t>
      </w:r>
      <w:r w:rsidR="002F2236">
        <w:t xml:space="preserve">outlines </w:t>
      </w:r>
      <w:r w:rsidR="00F31BB5">
        <w:t xml:space="preserve">the </w:t>
      </w:r>
      <w:r w:rsidR="00FC7952">
        <w:t>land use</w:t>
      </w:r>
      <w:r w:rsidR="00F31BB5">
        <w:t xml:space="preserve"> profile of Brixham town centre based upon the data contained within TC’s 2021 Retail Monitor.  As described above, the raw Retail Monitor data has been summarised into the convenience, comparison and service categories using Experian’s ‘centre report’ classification.</w:t>
      </w:r>
    </w:p>
    <w:p w14:paraId="0FACC42E" w14:textId="77777777" w:rsidR="00E51D1B" w:rsidRDefault="00E51D1B" w:rsidP="00F31BB5">
      <w:pPr>
        <w:pStyle w:val="Level1"/>
        <w:numPr>
          <w:ilvl w:val="0"/>
          <w:numId w:val="0"/>
        </w:numPr>
        <w:spacing w:after="120" w:line="240" w:lineRule="auto"/>
        <w:ind w:left="720"/>
        <w:jc w:val="both"/>
        <w:rPr>
          <w:rStyle w:val="Emphasis"/>
          <w:sz w:val="18"/>
          <w:szCs w:val="18"/>
        </w:rPr>
      </w:pPr>
    </w:p>
    <w:p w14:paraId="6FA94FCA" w14:textId="77777777" w:rsidR="00E51D1B" w:rsidRDefault="00E51D1B" w:rsidP="00F31BB5">
      <w:pPr>
        <w:pStyle w:val="Level1"/>
        <w:numPr>
          <w:ilvl w:val="0"/>
          <w:numId w:val="0"/>
        </w:numPr>
        <w:spacing w:after="120" w:line="240" w:lineRule="auto"/>
        <w:ind w:left="720"/>
        <w:jc w:val="both"/>
        <w:rPr>
          <w:rStyle w:val="Emphasis"/>
          <w:sz w:val="18"/>
          <w:szCs w:val="18"/>
        </w:rPr>
      </w:pPr>
    </w:p>
    <w:p w14:paraId="017B2E55" w14:textId="77777777" w:rsidR="00E51D1B" w:rsidRDefault="00E51D1B" w:rsidP="00F31BB5">
      <w:pPr>
        <w:pStyle w:val="Level1"/>
        <w:numPr>
          <w:ilvl w:val="0"/>
          <w:numId w:val="0"/>
        </w:numPr>
        <w:spacing w:after="120" w:line="240" w:lineRule="auto"/>
        <w:ind w:left="720"/>
        <w:jc w:val="both"/>
        <w:rPr>
          <w:rStyle w:val="Emphasis"/>
          <w:sz w:val="18"/>
          <w:szCs w:val="18"/>
        </w:rPr>
      </w:pPr>
    </w:p>
    <w:p w14:paraId="034030AA" w14:textId="4D66F2BD" w:rsidR="00F31BB5" w:rsidRPr="00B75C59" w:rsidRDefault="00F31BB5" w:rsidP="00F31BB5">
      <w:pPr>
        <w:pStyle w:val="Level1"/>
        <w:numPr>
          <w:ilvl w:val="0"/>
          <w:numId w:val="0"/>
        </w:numPr>
        <w:spacing w:after="120" w:line="240" w:lineRule="auto"/>
        <w:ind w:left="720"/>
        <w:jc w:val="both"/>
        <w:rPr>
          <w:rStyle w:val="Emphasis"/>
          <w:sz w:val="18"/>
          <w:szCs w:val="18"/>
        </w:rPr>
      </w:pPr>
      <w:r>
        <w:rPr>
          <w:rStyle w:val="Emphasis"/>
          <w:sz w:val="18"/>
          <w:szCs w:val="18"/>
        </w:rPr>
        <w:lastRenderedPageBreak/>
        <w:t>Table 4.13: Brixham town centre land use profile – Torbay Council 2021 Retail Monitor Data</w:t>
      </w:r>
    </w:p>
    <w:tbl>
      <w:tblPr>
        <w:tblStyle w:val="CustomTable2"/>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501"/>
        <w:gridCol w:w="2268"/>
      </w:tblGrid>
      <w:tr w:rsidR="00F31BB5" w:rsidRPr="00756349" w14:paraId="13BBDABC" w14:textId="77777777" w:rsidTr="00BA00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E8E9E7" w:themeFill="background2" w:themeFillTint="66"/>
          </w:tcPr>
          <w:p w14:paraId="50979EF5" w14:textId="77777777" w:rsidR="00F31BB5" w:rsidRPr="00756349" w:rsidRDefault="00F31BB5" w:rsidP="00BA00C5">
            <w:pPr>
              <w:pStyle w:val="Level1"/>
              <w:numPr>
                <w:ilvl w:val="0"/>
                <w:numId w:val="0"/>
              </w:numPr>
              <w:spacing w:before="0" w:after="0" w:line="240" w:lineRule="auto"/>
              <w:jc w:val="both"/>
              <w:rPr>
                <w:rFonts w:asciiTheme="minorHAnsi" w:hAnsiTheme="minorHAnsi" w:cstheme="minorHAnsi"/>
                <w:color w:val="auto"/>
                <w:sz w:val="18"/>
                <w:szCs w:val="18"/>
              </w:rPr>
            </w:pPr>
            <w:r w:rsidRPr="00756349">
              <w:rPr>
                <w:rFonts w:asciiTheme="minorHAnsi" w:hAnsiTheme="minorHAnsi" w:cstheme="minorHAnsi"/>
                <w:color w:val="auto"/>
                <w:sz w:val="18"/>
                <w:szCs w:val="18"/>
              </w:rPr>
              <w:t>Sector</w:t>
            </w:r>
          </w:p>
        </w:tc>
        <w:tc>
          <w:tcPr>
            <w:tcW w:w="2501" w:type="dxa"/>
            <w:shd w:val="clear" w:color="auto" w:fill="E8E9E7" w:themeFill="background2" w:themeFillTint="66"/>
          </w:tcPr>
          <w:p w14:paraId="63B9F57F" w14:textId="77777777" w:rsidR="00F31BB5" w:rsidRPr="00756349" w:rsidRDefault="00F31BB5" w:rsidP="00BA00C5">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756349">
              <w:rPr>
                <w:rFonts w:asciiTheme="minorHAnsi" w:hAnsiTheme="minorHAnsi" w:cstheme="minorHAnsi"/>
                <w:color w:val="auto"/>
                <w:sz w:val="18"/>
                <w:szCs w:val="18"/>
              </w:rPr>
              <w:t>No. of Units</w:t>
            </w:r>
          </w:p>
        </w:tc>
        <w:tc>
          <w:tcPr>
            <w:tcW w:w="2268" w:type="dxa"/>
            <w:shd w:val="clear" w:color="auto" w:fill="E8E9E7" w:themeFill="background2" w:themeFillTint="66"/>
          </w:tcPr>
          <w:p w14:paraId="700BE778" w14:textId="77777777" w:rsidR="00F31BB5" w:rsidRPr="00756349" w:rsidRDefault="00F31BB5" w:rsidP="00BA00C5">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756349">
              <w:rPr>
                <w:rFonts w:asciiTheme="minorHAnsi" w:hAnsiTheme="minorHAnsi" w:cstheme="minorHAnsi"/>
                <w:color w:val="auto"/>
                <w:sz w:val="18"/>
                <w:szCs w:val="18"/>
              </w:rPr>
              <w:t xml:space="preserve">% </w:t>
            </w:r>
            <w:proofErr w:type="gramStart"/>
            <w:r w:rsidRPr="00756349">
              <w:rPr>
                <w:rFonts w:asciiTheme="minorHAnsi" w:hAnsiTheme="minorHAnsi" w:cstheme="minorHAnsi"/>
                <w:color w:val="auto"/>
                <w:sz w:val="18"/>
                <w:szCs w:val="18"/>
              </w:rPr>
              <w:t>of</w:t>
            </w:r>
            <w:proofErr w:type="gramEnd"/>
            <w:r w:rsidRPr="00756349">
              <w:rPr>
                <w:rFonts w:asciiTheme="minorHAnsi" w:hAnsiTheme="minorHAnsi" w:cstheme="minorHAnsi"/>
                <w:color w:val="auto"/>
                <w:sz w:val="18"/>
                <w:szCs w:val="18"/>
              </w:rPr>
              <w:t xml:space="preserve"> Total Surveyed Units</w:t>
            </w:r>
          </w:p>
        </w:tc>
      </w:tr>
      <w:tr w:rsidR="00756349" w:rsidRPr="00756349" w14:paraId="1188FD3F" w14:textId="77777777" w:rsidTr="00756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28C326C1" w14:textId="77777777" w:rsidR="00756349" w:rsidRPr="00756349" w:rsidRDefault="00756349" w:rsidP="00756349">
            <w:pPr>
              <w:pStyle w:val="Level1"/>
              <w:numPr>
                <w:ilvl w:val="0"/>
                <w:numId w:val="0"/>
              </w:numPr>
              <w:spacing w:before="0" w:after="0" w:line="240" w:lineRule="auto"/>
              <w:jc w:val="both"/>
              <w:rPr>
                <w:rFonts w:asciiTheme="minorHAnsi" w:hAnsiTheme="minorHAnsi" w:cstheme="minorHAnsi"/>
                <w:bCs/>
                <w:color w:val="auto"/>
                <w:sz w:val="18"/>
                <w:szCs w:val="18"/>
              </w:rPr>
            </w:pPr>
            <w:r w:rsidRPr="00756349">
              <w:rPr>
                <w:rFonts w:asciiTheme="minorHAnsi" w:hAnsiTheme="minorHAnsi" w:cstheme="minorHAnsi"/>
                <w:bCs/>
                <w:color w:val="auto"/>
                <w:sz w:val="18"/>
                <w:szCs w:val="18"/>
              </w:rPr>
              <w:t>Convenience</w:t>
            </w:r>
          </w:p>
        </w:tc>
        <w:tc>
          <w:tcPr>
            <w:tcW w:w="2501" w:type="dxa"/>
            <w:shd w:val="clear" w:color="auto" w:fill="auto"/>
            <w:vAlign w:val="bottom"/>
          </w:tcPr>
          <w:p w14:paraId="61B28663" w14:textId="0E110368" w:rsidR="00756349" w:rsidRPr="00756349" w:rsidRDefault="00756349" w:rsidP="00756349">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756349">
              <w:rPr>
                <w:rFonts w:asciiTheme="minorHAnsi" w:hAnsiTheme="minorHAnsi" w:cstheme="minorHAnsi"/>
                <w:sz w:val="18"/>
                <w:szCs w:val="18"/>
              </w:rPr>
              <w:t>20</w:t>
            </w:r>
          </w:p>
        </w:tc>
        <w:tc>
          <w:tcPr>
            <w:tcW w:w="2268" w:type="dxa"/>
            <w:shd w:val="clear" w:color="auto" w:fill="auto"/>
            <w:vAlign w:val="bottom"/>
          </w:tcPr>
          <w:p w14:paraId="18DA80B9" w14:textId="3DBC5ADD" w:rsidR="00756349" w:rsidRPr="00756349" w:rsidRDefault="00756349" w:rsidP="00756349">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756349">
              <w:rPr>
                <w:rFonts w:asciiTheme="minorHAnsi" w:hAnsiTheme="minorHAnsi" w:cstheme="minorHAnsi"/>
                <w:sz w:val="18"/>
                <w:szCs w:val="18"/>
              </w:rPr>
              <w:t>12.0%</w:t>
            </w:r>
          </w:p>
        </w:tc>
      </w:tr>
      <w:tr w:rsidR="00756349" w:rsidRPr="00756349" w14:paraId="1691DF1F" w14:textId="77777777" w:rsidTr="007563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4F680AAA" w14:textId="77777777" w:rsidR="00756349" w:rsidRPr="00756349" w:rsidRDefault="00756349" w:rsidP="00756349">
            <w:pPr>
              <w:pStyle w:val="Level1"/>
              <w:numPr>
                <w:ilvl w:val="0"/>
                <w:numId w:val="0"/>
              </w:numPr>
              <w:spacing w:before="0" w:after="0" w:line="240" w:lineRule="auto"/>
              <w:jc w:val="both"/>
              <w:rPr>
                <w:rFonts w:asciiTheme="minorHAnsi" w:hAnsiTheme="minorHAnsi" w:cstheme="minorHAnsi"/>
                <w:bCs/>
                <w:color w:val="auto"/>
                <w:sz w:val="18"/>
                <w:szCs w:val="18"/>
              </w:rPr>
            </w:pPr>
            <w:r w:rsidRPr="00756349">
              <w:rPr>
                <w:rFonts w:asciiTheme="minorHAnsi" w:hAnsiTheme="minorHAnsi" w:cstheme="minorHAnsi"/>
                <w:bCs/>
                <w:color w:val="auto"/>
                <w:sz w:val="18"/>
                <w:szCs w:val="18"/>
              </w:rPr>
              <w:t>Comparison</w:t>
            </w:r>
          </w:p>
        </w:tc>
        <w:tc>
          <w:tcPr>
            <w:tcW w:w="2501" w:type="dxa"/>
            <w:shd w:val="clear" w:color="auto" w:fill="auto"/>
            <w:vAlign w:val="bottom"/>
          </w:tcPr>
          <w:p w14:paraId="656DFF1C" w14:textId="7DF69EF5" w:rsidR="00756349" w:rsidRPr="00756349" w:rsidRDefault="00756349" w:rsidP="00756349">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756349">
              <w:rPr>
                <w:rFonts w:asciiTheme="minorHAnsi" w:hAnsiTheme="minorHAnsi" w:cstheme="minorHAnsi"/>
                <w:sz w:val="18"/>
                <w:szCs w:val="18"/>
              </w:rPr>
              <w:t>71</w:t>
            </w:r>
          </w:p>
        </w:tc>
        <w:tc>
          <w:tcPr>
            <w:tcW w:w="2268" w:type="dxa"/>
            <w:shd w:val="clear" w:color="auto" w:fill="auto"/>
            <w:vAlign w:val="bottom"/>
          </w:tcPr>
          <w:p w14:paraId="47E0CFD4" w14:textId="793D1290" w:rsidR="00756349" w:rsidRPr="00756349" w:rsidRDefault="00756349" w:rsidP="00756349">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756349">
              <w:rPr>
                <w:rFonts w:asciiTheme="minorHAnsi" w:hAnsiTheme="minorHAnsi" w:cstheme="minorHAnsi"/>
                <w:sz w:val="18"/>
                <w:szCs w:val="18"/>
              </w:rPr>
              <w:t>42.5%</w:t>
            </w:r>
          </w:p>
        </w:tc>
      </w:tr>
      <w:tr w:rsidR="00756349" w:rsidRPr="00756349" w14:paraId="7EEA678A" w14:textId="77777777" w:rsidTr="00756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75295956" w14:textId="77777777" w:rsidR="00756349" w:rsidRPr="00756349" w:rsidRDefault="00756349" w:rsidP="00756349">
            <w:pPr>
              <w:pStyle w:val="Level1"/>
              <w:numPr>
                <w:ilvl w:val="0"/>
                <w:numId w:val="0"/>
              </w:numPr>
              <w:spacing w:before="0" w:after="0" w:line="240" w:lineRule="auto"/>
              <w:jc w:val="both"/>
              <w:rPr>
                <w:rFonts w:asciiTheme="minorHAnsi" w:hAnsiTheme="minorHAnsi" w:cstheme="minorHAnsi"/>
                <w:bCs/>
                <w:color w:val="auto"/>
                <w:sz w:val="18"/>
                <w:szCs w:val="18"/>
              </w:rPr>
            </w:pPr>
            <w:r w:rsidRPr="00756349">
              <w:rPr>
                <w:rFonts w:asciiTheme="minorHAnsi" w:hAnsiTheme="minorHAnsi" w:cstheme="minorHAnsi"/>
                <w:bCs/>
                <w:color w:val="auto"/>
                <w:sz w:val="18"/>
                <w:szCs w:val="18"/>
              </w:rPr>
              <w:t>Service</w:t>
            </w:r>
          </w:p>
        </w:tc>
        <w:tc>
          <w:tcPr>
            <w:tcW w:w="2501" w:type="dxa"/>
            <w:shd w:val="clear" w:color="auto" w:fill="auto"/>
            <w:vAlign w:val="bottom"/>
          </w:tcPr>
          <w:p w14:paraId="4E553778" w14:textId="294D7823" w:rsidR="00756349" w:rsidRPr="00756349" w:rsidRDefault="00756349" w:rsidP="00756349">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756349">
              <w:rPr>
                <w:rFonts w:asciiTheme="minorHAnsi" w:hAnsiTheme="minorHAnsi" w:cstheme="minorHAnsi"/>
                <w:sz w:val="18"/>
                <w:szCs w:val="18"/>
              </w:rPr>
              <w:t>62</w:t>
            </w:r>
          </w:p>
        </w:tc>
        <w:tc>
          <w:tcPr>
            <w:tcW w:w="2268" w:type="dxa"/>
            <w:shd w:val="clear" w:color="auto" w:fill="auto"/>
            <w:vAlign w:val="bottom"/>
          </w:tcPr>
          <w:p w14:paraId="363DE0EB" w14:textId="43B0B74C" w:rsidR="00756349" w:rsidRPr="00756349" w:rsidRDefault="00756349" w:rsidP="00756349">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756349">
              <w:rPr>
                <w:rFonts w:asciiTheme="minorHAnsi" w:hAnsiTheme="minorHAnsi" w:cstheme="minorHAnsi"/>
                <w:sz w:val="18"/>
                <w:szCs w:val="18"/>
              </w:rPr>
              <w:t>37.1%</w:t>
            </w:r>
          </w:p>
        </w:tc>
      </w:tr>
      <w:tr w:rsidR="00756349" w:rsidRPr="00756349" w14:paraId="7A416491" w14:textId="77777777" w:rsidTr="007563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019326FA" w14:textId="77777777" w:rsidR="00756349" w:rsidRPr="00756349" w:rsidRDefault="00756349" w:rsidP="00756349">
            <w:pPr>
              <w:pStyle w:val="Level1"/>
              <w:numPr>
                <w:ilvl w:val="0"/>
                <w:numId w:val="0"/>
              </w:numPr>
              <w:spacing w:before="0" w:after="0" w:line="240" w:lineRule="auto"/>
              <w:jc w:val="both"/>
              <w:rPr>
                <w:rFonts w:asciiTheme="minorHAnsi" w:hAnsiTheme="minorHAnsi" w:cstheme="minorHAnsi"/>
                <w:bCs/>
                <w:color w:val="auto"/>
                <w:sz w:val="18"/>
                <w:szCs w:val="18"/>
              </w:rPr>
            </w:pPr>
            <w:r w:rsidRPr="00756349">
              <w:rPr>
                <w:rFonts w:asciiTheme="minorHAnsi" w:hAnsiTheme="minorHAnsi" w:cstheme="minorHAnsi"/>
                <w:bCs/>
                <w:color w:val="auto"/>
                <w:sz w:val="18"/>
                <w:szCs w:val="18"/>
              </w:rPr>
              <w:t>Other</w:t>
            </w:r>
          </w:p>
        </w:tc>
        <w:tc>
          <w:tcPr>
            <w:tcW w:w="2501" w:type="dxa"/>
            <w:shd w:val="clear" w:color="auto" w:fill="auto"/>
            <w:vAlign w:val="bottom"/>
          </w:tcPr>
          <w:p w14:paraId="054AF275" w14:textId="6D74C14A" w:rsidR="00756349" w:rsidRPr="00756349" w:rsidRDefault="00756349" w:rsidP="00756349">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756349">
              <w:rPr>
                <w:rFonts w:asciiTheme="minorHAnsi" w:hAnsiTheme="minorHAnsi" w:cstheme="minorHAnsi"/>
                <w:bCs/>
                <w:color w:val="auto"/>
                <w:sz w:val="18"/>
                <w:szCs w:val="18"/>
              </w:rPr>
              <w:t>0</w:t>
            </w:r>
          </w:p>
        </w:tc>
        <w:tc>
          <w:tcPr>
            <w:tcW w:w="2268" w:type="dxa"/>
            <w:shd w:val="clear" w:color="auto" w:fill="auto"/>
            <w:vAlign w:val="bottom"/>
          </w:tcPr>
          <w:p w14:paraId="2744175F" w14:textId="10D86F21" w:rsidR="00756349" w:rsidRPr="00756349" w:rsidRDefault="00756349" w:rsidP="00756349">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756349">
              <w:rPr>
                <w:rFonts w:asciiTheme="minorHAnsi" w:hAnsiTheme="minorHAnsi" w:cstheme="minorHAnsi"/>
                <w:bCs/>
                <w:color w:val="auto"/>
                <w:sz w:val="18"/>
                <w:szCs w:val="18"/>
              </w:rPr>
              <w:t>0</w:t>
            </w:r>
            <w:r w:rsidRPr="00756349">
              <w:rPr>
                <w:rFonts w:asciiTheme="minorHAnsi" w:hAnsiTheme="minorHAnsi" w:cstheme="minorHAnsi"/>
                <w:bCs/>
                <w:sz w:val="18"/>
                <w:szCs w:val="18"/>
              </w:rPr>
              <w:t>.0%</w:t>
            </w:r>
          </w:p>
        </w:tc>
      </w:tr>
      <w:tr w:rsidR="00756349" w:rsidRPr="00756349" w14:paraId="70987734" w14:textId="77777777" w:rsidTr="00756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39BC1369" w14:textId="77777777" w:rsidR="00756349" w:rsidRPr="00756349" w:rsidRDefault="00756349" w:rsidP="00756349">
            <w:pPr>
              <w:pStyle w:val="Level1"/>
              <w:numPr>
                <w:ilvl w:val="0"/>
                <w:numId w:val="0"/>
              </w:numPr>
              <w:spacing w:before="0" w:after="0" w:line="240" w:lineRule="auto"/>
              <w:jc w:val="both"/>
              <w:rPr>
                <w:rFonts w:asciiTheme="minorHAnsi" w:hAnsiTheme="minorHAnsi" w:cstheme="minorHAnsi"/>
                <w:bCs/>
                <w:color w:val="auto"/>
                <w:sz w:val="18"/>
                <w:szCs w:val="18"/>
              </w:rPr>
            </w:pPr>
            <w:r w:rsidRPr="00756349">
              <w:rPr>
                <w:rFonts w:asciiTheme="minorHAnsi" w:hAnsiTheme="minorHAnsi" w:cstheme="minorHAnsi"/>
                <w:bCs/>
                <w:color w:val="auto"/>
                <w:sz w:val="18"/>
                <w:szCs w:val="18"/>
              </w:rPr>
              <w:t>Vacant</w:t>
            </w:r>
          </w:p>
        </w:tc>
        <w:tc>
          <w:tcPr>
            <w:tcW w:w="2501" w:type="dxa"/>
            <w:shd w:val="clear" w:color="auto" w:fill="auto"/>
            <w:vAlign w:val="bottom"/>
          </w:tcPr>
          <w:p w14:paraId="7F41879F" w14:textId="2C9CF5EE" w:rsidR="00756349" w:rsidRPr="00756349" w:rsidRDefault="00756349" w:rsidP="00756349">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756349">
              <w:rPr>
                <w:rFonts w:asciiTheme="minorHAnsi" w:hAnsiTheme="minorHAnsi" w:cstheme="minorHAnsi"/>
                <w:sz w:val="18"/>
                <w:szCs w:val="18"/>
              </w:rPr>
              <w:t>14</w:t>
            </w:r>
          </w:p>
        </w:tc>
        <w:tc>
          <w:tcPr>
            <w:tcW w:w="2268" w:type="dxa"/>
            <w:shd w:val="clear" w:color="auto" w:fill="auto"/>
            <w:vAlign w:val="bottom"/>
          </w:tcPr>
          <w:p w14:paraId="0FFCCEDC" w14:textId="1C9376C4" w:rsidR="00756349" w:rsidRPr="00756349" w:rsidRDefault="00756349" w:rsidP="00756349">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756349">
              <w:rPr>
                <w:rFonts w:asciiTheme="minorHAnsi" w:hAnsiTheme="minorHAnsi" w:cstheme="minorHAnsi"/>
                <w:sz w:val="18"/>
                <w:szCs w:val="18"/>
              </w:rPr>
              <w:t>8.4%</w:t>
            </w:r>
          </w:p>
        </w:tc>
      </w:tr>
      <w:tr w:rsidR="00756349" w:rsidRPr="00756349" w14:paraId="2FC06692" w14:textId="77777777" w:rsidTr="007563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24220951" w14:textId="77777777" w:rsidR="00756349" w:rsidRPr="00756349" w:rsidRDefault="00756349" w:rsidP="00756349">
            <w:pPr>
              <w:pStyle w:val="Level1"/>
              <w:numPr>
                <w:ilvl w:val="0"/>
                <w:numId w:val="0"/>
              </w:numPr>
              <w:spacing w:before="0" w:after="0" w:line="240" w:lineRule="auto"/>
              <w:jc w:val="both"/>
              <w:rPr>
                <w:rFonts w:asciiTheme="minorHAnsi" w:hAnsiTheme="minorHAnsi" w:cstheme="minorHAnsi"/>
                <w:bCs/>
                <w:color w:val="auto"/>
                <w:sz w:val="18"/>
                <w:szCs w:val="18"/>
              </w:rPr>
            </w:pPr>
            <w:r w:rsidRPr="00756349">
              <w:rPr>
                <w:rFonts w:asciiTheme="minorHAnsi" w:hAnsiTheme="minorHAnsi" w:cstheme="minorHAnsi"/>
                <w:bCs/>
                <w:color w:val="auto"/>
                <w:sz w:val="18"/>
                <w:szCs w:val="18"/>
              </w:rPr>
              <w:t>Total</w:t>
            </w:r>
          </w:p>
        </w:tc>
        <w:tc>
          <w:tcPr>
            <w:tcW w:w="2501" w:type="dxa"/>
            <w:shd w:val="clear" w:color="auto" w:fill="auto"/>
            <w:vAlign w:val="bottom"/>
          </w:tcPr>
          <w:p w14:paraId="48CC32FB" w14:textId="44816B3E" w:rsidR="00756349" w:rsidRPr="00756349" w:rsidRDefault="00756349" w:rsidP="00756349">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756349">
              <w:rPr>
                <w:rFonts w:asciiTheme="minorHAnsi" w:hAnsiTheme="minorHAnsi" w:cstheme="minorHAnsi"/>
                <w:bCs/>
                <w:color w:val="auto"/>
                <w:sz w:val="18"/>
                <w:szCs w:val="18"/>
              </w:rPr>
              <w:t>1</w:t>
            </w:r>
            <w:r w:rsidRPr="00756349">
              <w:rPr>
                <w:rFonts w:asciiTheme="minorHAnsi" w:hAnsiTheme="minorHAnsi" w:cstheme="minorHAnsi"/>
                <w:bCs/>
                <w:sz w:val="18"/>
                <w:szCs w:val="18"/>
              </w:rPr>
              <w:t>67</w:t>
            </w:r>
          </w:p>
        </w:tc>
        <w:tc>
          <w:tcPr>
            <w:tcW w:w="2268" w:type="dxa"/>
            <w:shd w:val="clear" w:color="auto" w:fill="auto"/>
            <w:vAlign w:val="bottom"/>
          </w:tcPr>
          <w:p w14:paraId="5CCC96C2" w14:textId="72560E4B" w:rsidR="00756349" w:rsidRPr="00756349" w:rsidRDefault="00756349" w:rsidP="00756349">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756349">
              <w:rPr>
                <w:rFonts w:asciiTheme="minorHAnsi" w:hAnsiTheme="minorHAnsi" w:cstheme="minorHAnsi"/>
                <w:sz w:val="18"/>
                <w:szCs w:val="18"/>
              </w:rPr>
              <w:t xml:space="preserve">100% </w:t>
            </w:r>
          </w:p>
        </w:tc>
      </w:tr>
    </w:tbl>
    <w:p w14:paraId="032BBD91" w14:textId="77777777" w:rsidR="00F31BB5" w:rsidRPr="00B75C59" w:rsidRDefault="00F31BB5" w:rsidP="00F31BB5">
      <w:pPr>
        <w:pStyle w:val="Level1"/>
        <w:numPr>
          <w:ilvl w:val="0"/>
          <w:numId w:val="0"/>
        </w:numPr>
        <w:ind w:left="720"/>
        <w:jc w:val="both"/>
        <w:rPr>
          <w:sz w:val="16"/>
          <w:szCs w:val="16"/>
        </w:rPr>
      </w:pPr>
      <w:r>
        <w:rPr>
          <w:sz w:val="16"/>
          <w:szCs w:val="16"/>
        </w:rPr>
        <w:t>Source: Torbay Council Retail Monitor 2021</w:t>
      </w:r>
    </w:p>
    <w:p w14:paraId="05DC7E12" w14:textId="0AA2994D" w:rsidR="00F31BB5" w:rsidRDefault="00756349" w:rsidP="00756349">
      <w:pPr>
        <w:pStyle w:val="Level1"/>
      </w:pPr>
      <w:r>
        <w:t xml:space="preserve">When considering the above data, it should be noted that the number of retail units counted for the purpose of this exercise in 2022 (167) </w:t>
      </w:r>
      <w:r w:rsidR="004957B9">
        <w:t>are lower than the 241 in 2013.  Taking this into account, the largest sector is the comparison goods retail sector, occupying</w:t>
      </w:r>
      <w:r w:rsidR="00694525">
        <w:t xml:space="preserve"> 42.5% of all </w:t>
      </w:r>
      <w:r w:rsidR="001A4443">
        <w:t xml:space="preserve">classified units.  The second largest category </w:t>
      </w:r>
      <w:r w:rsidR="00CD5C60">
        <w:t>is the service retail sector, occupying 37% of all classified units.  The split between comparison and service retail sectors has been reversed since the 2013 retail study, with these two sectors now occupying four-fifths of all classified units.</w:t>
      </w:r>
    </w:p>
    <w:p w14:paraId="3A0D28E6" w14:textId="26C3CEE6" w:rsidR="005819C0" w:rsidRDefault="00CD5C60" w:rsidP="00756349">
      <w:pPr>
        <w:pStyle w:val="Level1"/>
      </w:pPr>
      <w:r>
        <w:t xml:space="preserve">At the time of the 2021 Retail Monitor, there were 20 convenience goods units in the town centre, which is equivalent to 12% of all classified units.  This is very similar to the level observed </w:t>
      </w:r>
      <w:r w:rsidR="00786723">
        <w:t>in the 2013 retail study</w:t>
      </w:r>
      <w:r w:rsidR="005819C0">
        <w:t>.  The proportion of classified vacant retail units in the town centre is circa 8%, which matches the level observed in 2013.</w:t>
      </w:r>
    </w:p>
    <w:p w14:paraId="2CD57C89" w14:textId="5366A78B" w:rsidR="005819C0" w:rsidRDefault="001F68F5" w:rsidP="00FC7952">
      <w:pPr>
        <w:pStyle w:val="Level1"/>
        <w:jc w:val="both"/>
      </w:pPr>
      <w:r>
        <w:t xml:space="preserve">Table 4.14 below provides the latest Experian GOAD land use data for Brixham town centre and compares it against the Experian data contained within Section 3 of the 2013 retail study.  The table shows that </w:t>
      </w:r>
      <w:r w:rsidR="00C62A24">
        <w:t>there has been little movement in the number of convenience goods retailers in the town centre and now occupy 10.8% of all surveyed units.  This is commensurate with the current national average.</w:t>
      </w:r>
    </w:p>
    <w:p w14:paraId="6F249EE8" w14:textId="2B7B1706" w:rsidR="001F68F5" w:rsidRPr="00995B93" w:rsidRDefault="001F68F5" w:rsidP="001F68F5">
      <w:pPr>
        <w:pStyle w:val="Level1"/>
        <w:numPr>
          <w:ilvl w:val="0"/>
          <w:numId w:val="0"/>
        </w:numPr>
        <w:spacing w:after="120" w:line="240" w:lineRule="auto"/>
        <w:ind w:left="720"/>
        <w:jc w:val="both"/>
        <w:rPr>
          <w:rStyle w:val="Emphasis"/>
          <w:sz w:val="18"/>
          <w:szCs w:val="18"/>
        </w:rPr>
      </w:pPr>
      <w:r w:rsidRPr="00995B93">
        <w:rPr>
          <w:rStyle w:val="Emphasis"/>
          <w:sz w:val="18"/>
          <w:szCs w:val="18"/>
        </w:rPr>
        <w:t>Table 4.</w:t>
      </w:r>
      <w:r>
        <w:rPr>
          <w:rStyle w:val="Emphasis"/>
          <w:sz w:val="18"/>
          <w:szCs w:val="18"/>
        </w:rPr>
        <w:t>14</w:t>
      </w:r>
      <w:r w:rsidRPr="00995B93">
        <w:rPr>
          <w:rStyle w:val="Emphasis"/>
          <w:sz w:val="18"/>
          <w:szCs w:val="18"/>
        </w:rPr>
        <w:t xml:space="preserve">: </w:t>
      </w:r>
      <w:r>
        <w:rPr>
          <w:rStyle w:val="Emphasis"/>
          <w:sz w:val="18"/>
          <w:szCs w:val="18"/>
        </w:rPr>
        <w:t xml:space="preserve">Brixham </w:t>
      </w:r>
      <w:r w:rsidRPr="00995B93">
        <w:rPr>
          <w:rStyle w:val="Emphasis"/>
          <w:sz w:val="18"/>
          <w:szCs w:val="18"/>
        </w:rPr>
        <w:t xml:space="preserve">town centre land use profile – </w:t>
      </w:r>
      <w:r>
        <w:rPr>
          <w:rStyle w:val="Emphasis"/>
          <w:sz w:val="18"/>
          <w:szCs w:val="18"/>
        </w:rPr>
        <w:t>Experian GOAD data</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67"/>
        <w:gridCol w:w="567"/>
        <w:gridCol w:w="709"/>
        <w:gridCol w:w="567"/>
        <w:gridCol w:w="567"/>
        <w:gridCol w:w="567"/>
        <w:gridCol w:w="567"/>
        <w:gridCol w:w="567"/>
        <w:gridCol w:w="708"/>
        <w:gridCol w:w="567"/>
        <w:gridCol w:w="567"/>
        <w:gridCol w:w="709"/>
      </w:tblGrid>
      <w:tr w:rsidR="001F68F5" w:rsidRPr="0068660F" w14:paraId="321A5AC5" w14:textId="77777777" w:rsidTr="00BA00C5">
        <w:trPr>
          <w:cantSplit/>
        </w:trPr>
        <w:tc>
          <w:tcPr>
            <w:tcW w:w="1418" w:type="dxa"/>
            <w:shd w:val="pct12" w:color="auto" w:fill="FFFFFF"/>
          </w:tcPr>
          <w:p w14:paraId="6AF12934" w14:textId="77777777" w:rsidR="001F68F5" w:rsidRPr="0068660F" w:rsidRDefault="001F68F5" w:rsidP="001F68F5">
            <w:pPr>
              <w:spacing w:line="360" w:lineRule="auto"/>
              <w:ind w:left="60" w:hanging="60"/>
              <w:rPr>
                <w:rFonts w:ascii="Century Gothic" w:hAnsi="Century Gothic"/>
                <w:b/>
                <w:sz w:val="16"/>
                <w:szCs w:val="16"/>
              </w:rPr>
            </w:pPr>
            <w:r w:rsidRPr="00FE04A8">
              <w:rPr>
                <w:rFonts w:ascii="Century Gothic" w:hAnsi="Century Gothic"/>
                <w:sz w:val="16"/>
                <w:szCs w:val="16"/>
              </w:rPr>
              <w:tab/>
            </w:r>
            <w:r w:rsidRPr="0068660F">
              <w:rPr>
                <w:rFonts w:ascii="Century Gothic" w:hAnsi="Century Gothic"/>
                <w:b/>
                <w:sz w:val="16"/>
                <w:szCs w:val="16"/>
              </w:rPr>
              <w:t>Sector</w:t>
            </w:r>
          </w:p>
        </w:tc>
        <w:tc>
          <w:tcPr>
            <w:tcW w:w="1843" w:type="dxa"/>
            <w:gridSpan w:val="3"/>
            <w:shd w:val="pct12" w:color="auto" w:fill="FFFFFF"/>
          </w:tcPr>
          <w:p w14:paraId="40C69D10" w14:textId="0FA45449"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August 2006</w:t>
            </w:r>
          </w:p>
        </w:tc>
        <w:tc>
          <w:tcPr>
            <w:tcW w:w="1701" w:type="dxa"/>
            <w:gridSpan w:val="3"/>
            <w:shd w:val="pct12" w:color="auto" w:fill="FFFFFF"/>
          </w:tcPr>
          <w:p w14:paraId="1E843B51" w14:textId="2E42412C"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October 2009</w:t>
            </w:r>
          </w:p>
        </w:tc>
        <w:tc>
          <w:tcPr>
            <w:tcW w:w="1842" w:type="dxa"/>
            <w:gridSpan w:val="3"/>
            <w:shd w:val="pct12" w:color="auto" w:fill="FFFFFF"/>
          </w:tcPr>
          <w:p w14:paraId="51E4575C" w14:textId="3ECB07DB"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April</w:t>
            </w:r>
            <w:r w:rsidRPr="0068660F">
              <w:rPr>
                <w:rFonts w:ascii="Century Gothic" w:hAnsi="Century Gothic"/>
                <w:b/>
                <w:sz w:val="16"/>
                <w:szCs w:val="16"/>
              </w:rPr>
              <w:t xml:space="preserve"> 201</w:t>
            </w:r>
            <w:r>
              <w:rPr>
                <w:rFonts w:ascii="Century Gothic" w:hAnsi="Century Gothic"/>
                <w:b/>
                <w:sz w:val="16"/>
                <w:szCs w:val="16"/>
              </w:rPr>
              <w:t>2</w:t>
            </w:r>
          </w:p>
        </w:tc>
        <w:tc>
          <w:tcPr>
            <w:tcW w:w="1843" w:type="dxa"/>
            <w:gridSpan w:val="3"/>
            <w:shd w:val="pct12" w:color="auto" w:fill="FFFFFF"/>
          </w:tcPr>
          <w:p w14:paraId="3FF84275" w14:textId="2AAD83A7"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December 2021</w:t>
            </w:r>
          </w:p>
        </w:tc>
      </w:tr>
      <w:tr w:rsidR="001F68F5" w:rsidRPr="0068660F" w14:paraId="54C5A580" w14:textId="77777777" w:rsidTr="00BA00C5">
        <w:tc>
          <w:tcPr>
            <w:tcW w:w="1418" w:type="dxa"/>
            <w:shd w:val="pct12" w:color="auto" w:fill="FFFFFF"/>
          </w:tcPr>
          <w:p w14:paraId="3819105B" w14:textId="77777777" w:rsidR="001F68F5" w:rsidRPr="0068660F" w:rsidRDefault="001F68F5" w:rsidP="001F68F5">
            <w:pPr>
              <w:spacing w:line="360" w:lineRule="auto"/>
              <w:ind w:left="709" w:hanging="709"/>
              <w:jc w:val="both"/>
              <w:rPr>
                <w:rFonts w:ascii="Century Gothic" w:hAnsi="Century Gothic"/>
                <w:b/>
                <w:sz w:val="16"/>
                <w:szCs w:val="16"/>
              </w:rPr>
            </w:pPr>
          </w:p>
        </w:tc>
        <w:tc>
          <w:tcPr>
            <w:tcW w:w="567" w:type="dxa"/>
            <w:shd w:val="pct12" w:color="auto" w:fill="FFFFFF"/>
          </w:tcPr>
          <w:p w14:paraId="34955644"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No.</w:t>
            </w:r>
          </w:p>
        </w:tc>
        <w:tc>
          <w:tcPr>
            <w:tcW w:w="567" w:type="dxa"/>
            <w:shd w:val="pct12" w:color="auto" w:fill="FFFFFF"/>
          </w:tcPr>
          <w:p w14:paraId="601B350F"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709" w:type="dxa"/>
            <w:shd w:val="pct12" w:color="auto" w:fill="FFFFFF"/>
          </w:tcPr>
          <w:p w14:paraId="0ECF6FCC"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GB</w:t>
            </w:r>
          </w:p>
          <w:p w14:paraId="47009570"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Ave</w:t>
            </w:r>
          </w:p>
          <w:p w14:paraId="7C71C998"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344FB93E"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No</w:t>
            </w:r>
          </w:p>
        </w:tc>
        <w:tc>
          <w:tcPr>
            <w:tcW w:w="567" w:type="dxa"/>
            <w:shd w:val="pct12" w:color="auto" w:fill="FFFFFF"/>
          </w:tcPr>
          <w:p w14:paraId="71823E16"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2C94C588"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GB</w:t>
            </w:r>
          </w:p>
          <w:p w14:paraId="626ACFD7"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Ave</w:t>
            </w:r>
          </w:p>
          <w:p w14:paraId="36B4585A"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3FAE4817"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No</w:t>
            </w:r>
          </w:p>
        </w:tc>
        <w:tc>
          <w:tcPr>
            <w:tcW w:w="567" w:type="dxa"/>
            <w:shd w:val="pct12" w:color="auto" w:fill="FFFFFF"/>
          </w:tcPr>
          <w:p w14:paraId="1C107A91"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708" w:type="dxa"/>
            <w:shd w:val="pct12" w:color="auto" w:fill="FFFFFF"/>
          </w:tcPr>
          <w:p w14:paraId="3F3AC8D8"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GB</w:t>
            </w:r>
          </w:p>
          <w:p w14:paraId="4D37DAD6"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Ave</w:t>
            </w:r>
          </w:p>
          <w:p w14:paraId="72D331CF"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2B2ACBE2"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No</w:t>
            </w:r>
          </w:p>
        </w:tc>
        <w:tc>
          <w:tcPr>
            <w:tcW w:w="567" w:type="dxa"/>
            <w:shd w:val="pct12" w:color="auto" w:fill="FFFFFF"/>
          </w:tcPr>
          <w:p w14:paraId="23DC7658"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709" w:type="dxa"/>
            <w:shd w:val="pct12" w:color="auto" w:fill="FFFFFF"/>
          </w:tcPr>
          <w:p w14:paraId="5BB4CE42"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GB</w:t>
            </w:r>
          </w:p>
          <w:p w14:paraId="42598DF9"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Ave</w:t>
            </w:r>
          </w:p>
          <w:p w14:paraId="00A854B0" w14:textId="77777777"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r>
      <w:tr w:rsidR="001F68F5" w:rsidRPr="0068660F" w14:paraId="53FCEDF9" w14:textId="77777777" w:rsidTr="00BA00C5">
        <w:tc>
          <w:tcPr>
            <w:tcW w:w="1418" w:type="dxa"/>
          </w:tcPr>
          <w:p w14:paraId="3D6AF6DE" w14:textId="77777777" w:rsidR="001F68F5" w:rsidRPr="0068660F" w:rsidRDefault="001F68F5" w:rsidP="001F68F5">
            <w:pPr>
              <w:spacing w:line="360" w:lineRule="auto"/>
              <w:ind w:left="709" w:hanging="709"/>
              <w:jc w:val="both"/>
              <w:rPr>
                <w:rFonts w:ascii="Century Gothic" w:hAnsi="Century Gothic"/>
                <w:sz w:val="16"/>
                <w:szCs w:val="16"/>
              </w:rPr>
            </w:pPr>
            <w:r w:rsidRPr="0068660F">
              <w:rPr>
                <w:rFonts w:ascii="Century Gothic" w:hAnsi="Century Gothic"/>
                <w:sz w:val="16"/>
                <w:szCs w:val="16"/>
              </w:rPr>
              <w:t>Convenience</w:t>
            </w:r>
          </w:p>
        </w:tc>
        <w:tc>
          <w:tcPr>
            <w:tcW w:w="567" w:type="dxa"/>
          </w:tcPr>
          <w:p w14:paraId="4B8D8002" w14:textId="25D568DA"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21</w:t>
            </w:r>
          </w:p>
        </w:tc>
        <w:tc>
          <w:tcPr>
            <w:tcW w:w="567" w:type="dxa"/>
          </w:tcPr>
          <w:p w14:paraId="0E74B302" w14:textId="07243EA7"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10.9</w:t>
            </w:r>
          </w:p>
        </w:tc>
        <w:tc>
          <w:tcPr>
            <w:tcW w:w="709" w:type="dxa"/>
          </w:tcPr>
          <w:p w14:paraId="2E0404E2" w14:textId="14843CC6"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9.2</w:t>
            </w:r>
          </w:p>
        </w:tc>
        <w:tc>
          <w:tcPr>
            <w:tcW w:w="567" w:type="dxa"/>
          </w:tcPr>
          <w:p w14:paraId="6B3C0B92" w14:textId="301C42EF"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25</w:t>
            </w:r>
          </w:p>
        </w:tc>
        <w:tc>
          <w:tcPr>
            <w:tcW w:w="567" w:type="dxa"/>
          </w:tcPr>
          <w:p w14:paraId="7994C617" w14:textId="47409DD8"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13.3</w:t>
            </w:r>
          </w:p>
        </w:tc>
        <w:tc>
          <w:tcPr>
            <w:tcW w:w="567" w:type="dxa"/>
          </w:tcPr>
          <w:p w14:paraId="5B80497A" w14:textId="14F44B34"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9.3</w:t>
            </w:r>
          </w:p>
        </w:tc>
        <w:tc>
          <w:tcPr>
            <w:tcW w:w="567" w:type="dxa"/>
          </w:tcPr>
          <w:p w14:paraId="638FC787" w14:textId="7AF5B44C"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18</w:t>
            </w:r>
          </w:p>
        </w:tc>
        <w:tc>
          <w:tcPr>
            <w:tcW w:w="567" w:type="dxa"/>
          </w:tcPr>
          <w:p w14:paraId="1DE669B3" w14:textId="3F12C078"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9.6</w:t>
            </w:r>
          </w:p>
        </w:tc>
        <w:tc>
          <w:tcPr>
            <w:tcW w:w="708" w:type="dxa"/>
          </w:tcPr>
          <w:p w14:paraId="2B71C1D5" w14:textId="4D6E94FC" w:rsidR="001F68F5" w:rsidRPr="0068660F" w:rsidRDefault="001F68F5" w:rsidP="001F68F5">
            <w:pPr>
              <w:spacing w:line="360" w:lineRule="auto"/>
              <w:ind w:left="709" w:hanging="709"/>
              <w:jc w:val="center"/>
              <w:rPr>
                <w:rFonts w:ascii="Century Gothic" w:hAnsi="Century Gothic"/>
                <w:sz w:val="16"/>
                <w:szCs w:val="16"/>
              </w:rPr>
            </w:pPr>
            <w:r w:rsidRPr="0068660F">
              <w:rPr>
                <w:rFonts w:ascii="Century Gothic" w:hAnsi="Century Gothic"/>
                <w:sz w:val="16"/>
                <w:szCs w:val="16"/>
              </w:rPr>
              <w:t>8.7</w:t>
            </w:r>
          </w:p>
        </w:tc>
        <w:tc>
          <w:tcPr>
            <w:tcW w:w="567" w:type="dxa"/>
          </w:tcPr>
          <w:p w14:paraId="4625DEFF" w14:textId="59904BB7"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19</w:t>
            </w:r>
          </w:p>
        </w:tc>
        <w:tc>
          <w:tcPr>
            <w:tcW w:w="567" w:type="dxa"/>
          </w:tcPr>
          <w:p w14:paraId="35E8B594" w14:textId="18357C1F"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10.8</w:t>
            </w:r>
          </w:p>
        </w:tc>
        <w:tc>
          <w:tcPr>
            <w:tcW w:w="709" w:type="dxa"/>
          </w:tcPr>
          <w:p w14:paraId="3B8AB98B" w14:textId="476BBBC1"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10.2</w:t>
            </w:r>
          </w:p>
        </w:tc>
      </w:tr>
      <w:tr w:rsidR="001F68F5" w:rsidRPr="0068660F" w14:paraId="2845E484" w14:textId="77777777" w:rsidTr="00BA00C5">
        <w:tc>
          <w:tcPr>
            <w:tcW w:w="1418" w:type="dxa"/>
          </w:tcPr>
          <w:p w14:paraId="2942598D" w14:textId="77777777" w:rsidR="001F68F5" w:rsidRPr="0068660F" w:rsidRDefault="001F68F5" w:rsidP="001F68F5">
            <w:pPr>
              <w:spacing w:line="360" w:lineRule="auto"/>
              <w:ind w:left="709" w:hanging="709"/>
              <w:jc w:val="both"/>
              <w:rPr>
                <w:rFonts w:ascii="Century Gothic" w:hAnsi="Century Gothic"/>
                <w:sz w:val="16"/>
                <w:szCs w:val="16"/>
              </w:rPr>
            </w:pPr>
            <w:r w:rsidRPr="0068660F">
              <w:rPr>
                <w:rFonts w:ascii="Century Gothic" w:hAnsi="Century Gothic"/>
                <w:sz w:val="16"/>
                <w:szCs w:val="16"/>
              </w:rPr>
              <w:t>Comparison</w:t>
            </w:r>
          </w:p>
        </w:tc>
        <w:tc>
          <w:tcPr>
            <w:tcW w:w="567" w:type="dxa"/>
          </w:tcPr>
          <w:p w14:paraId="717245DE" w14:textId="265655C6"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96</w:t>
            </w:r>
          </w:p>
        </w:tc>
        <w:tc>
          <w:tcPr>
            <w:tcW w:w="567" w:type="dxa"/>
          </w:tcPr>
          <w:p w14:paraId="47EF5913" w14:textId="592558AE"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50.0</w:t>
            </w:r>
          </w:p>
        </w:tc>
        <w:tc>
          <w:tcPr>
            <w:tcW w:w="709" w:type="dxa"/>
          </w:tcPr>
          <w:p w14:paraId="4438F875" w14:textId="08C7FD8E"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45.7</w:t>
            </w:r>
          </w:p>
        </w:tc>
        <w:tc>
          <w:tcPr>
            <w:tcW w:w="567" w:type="dxa"/>
          </w:tcPr>
          <w:p w14:paraId="58A07014" w14:textId="7B56EB1A"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83</w:t>
            </w:r>
          </w:p>
        </w:tc>
        <w:tc>
          <w:tcPr>
            <w:tcW w:w="567" w:type="dxa"/>
          </w:tcPr>
          <w:p w14:paraId="1DF8855C" w14:textId="50863F54"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44.1</w:t>
            </w:r>
          </w:p>
        </w:tc>
        <w:tc>
          <w:tcPr>
            <w:tcW w:w="567" w:type="dxa"/>
          </w:tcPr>
          <w:p w14:paraId="6220E8F2" w14:textId="49384F29"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41.8</w:t>
            </w:r>
          </w:p>
        </w:tc>
        <w:tc>
          <w:tcPr>
            <w:tcW w:w="567" w:type="dxa"/>
          </w:tcPr>
          <w:p w14:paraId="2395738B" w14:textId="1041A2FA"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86</w:t>
            </w:r>
          </w:p>
        </w:tc>
        <w:tc>
          <w:tcPr>
            <w:tcW w:w="567" w:type="dxa"/>
          </w:tcPr>
          <w:p w14:paraId="377E56FD" w14:textId="41160472"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46.0</w:t>
            </w:r>
          </w:p>
        </w:tc>
        <w:tc>
          <w:tcPr>
            <w:tcW w:w="708" w:type="dxa"/>
          </w:tcPr>
          <w:p w14:paraId="04DC0A4C" w14:textId="04B56907" w:rsidR="001F68F5" w:rsidRPr="0068660F" w:rsidRDefault="001F68F5" w:rsidP="001F68F5">
            <w:pPr>
              <w:spacing w:line="360" w:lineRule="auto"/>
              <w:ind w:left="709" w:hanging="709"/>
              <w:jc w:val="center"/>
              <w:rPr>
                <w:rFonts w:ascii="Century Gothic" w:hAnsi="Century Gothic"/>
                <w:sz w:val="16"/>
                <w:szCs w:val="16"/>
              </w:rPr>
            </w:pPr>
            <w:r w:rsidRPr="0068660F">
              <w:rPr>
                <w:rFonts w:ascii="Century Gothic" w:hAnsi="Century Gothic"/>
                <w:sz w:val="16"/>
                <w:szCs w:val="16"/>
              </w:rPr>
              <w:t>41.2</w:t>
            </w:r>
          </w:p>
        </w:tc>
        <w:tc>
          <w:tcPr>
            <w:tcW w:w="567" w:type="dxa"/>
          </w:tcPr>
          <w:p w14:paraId="0883A5AF" w14:textId="4C7D7A9E"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76</w:t>
            </w:r>
          </w:p>
        </w:tc>
        <w:tc>
          <w:tcPr>
            <w:tcW w:w="567" w:type="dxa"/>
          </w:tcPr>
          <w:p w14:paraId="3D77D429" w14:textId="474EC697"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43.2</w:t>
            </w:r>
          </w:p>
        </w:tc>
        <w:tc>
          <w:tcPr>
            <w:tcW w:w="709" w:type="dxa"/>
          </w:tcPr>
          <w:p w14:paraId="3912FB77" w14:textId="4461A078"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34.1</w:t>
            </w:r>
          </w:p>
        </w:tc>
      </w:tr>
      <w:tr w:rsidR="001F68F5" w:rsidRPr="0068660F" w14:paraId="1332B5ED" w14:textId="77777777" w:rsidTr="00BA00C5">
        <w:tc>
          <w:tcPr>
            <w:tcW w:w="1418" w:type="dxa"/>
          </w:tcPr>
          <w:p w14:paraId="1C5C5F17" w14:textId="77777777" w:rsidR="001F68F5" w:rsidRPr="0068660F" w:rsidRDefault="001F68F5" w:rsidP="001F68F5">
            <w:pPr>
              <w:spacing w:line="360" w:lineRule="auto"/>
              <w:ind w:left="709" w:hanging="709"/>
              <w:jc w:val="both"/>
              <w:rPr>
                <w:rFonts w:ascii="Century Gothic" w:hAnsi="Century Gothic"/>
                <w:sz w:val="16"/>
                <w:szCs w:val="16"/>
              </w:rPr>
            </w:pPr>
            <w:r w:rsidRPr="0068660F">
              <w:rPr>
                <w:rFonts w:ascii="Century Gothic" w:hAnsi="Century Gothic"/>
                <w:sz w:val="16"/>
                <w:szCs w:val="16"/>
              </w:rPr>
              <w:t>Service</w:t>
            </w:r>
          </w:p>
        </w:tc>
        <w:tc>
          <w:tcPr>
            <w:tcW w:w="567" w:type="dxa"/>
          </w:tcPr>
          <w:p w14:paraId="1EB8C59B" w14:textId="3E8ADC54"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62</w:t>
            </w:r>
          </w:p>
        </w:tc>
        <w:tc>
          <w:tcPr>
            <w:tcW w:w="567" w:type="dxa"/>
          </w:tcPr>
          <w:p w14:paraId="31819364" w14:textId="7033517D"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32.3</w:t>
            </w:r>
          </w:p>
        </w:tc>
        <w:tc>
          <w:tcPr>
            <w:tcW w:w="709" w:type="dxa"/>
          </w:tcPr>
          <w:p w14:paraId="53003320" w14:textId="7BCA137B"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33.1</w:t>
            </w:r>
          </w:p>
        </w:tc>
        <w:tc>
          <w:tcPr>
            <w:tcW w:w="567" w:type="dxa"/>
          </w:tcPr>
          <w:p w14:paraId="49B63D9F" w14:textId="125A4541"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58</w:t>
            </w:r>
          </w:p>
        </w:tc>
        <w:tc>
          <w:tcPr>
            <w:tcW w:w="567" w:type="dxa"/>
          </w:tcPr>
          <w:p w14:paraId="6F66E549" w14:textId="2C1F93EC"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30.9</w:t>
            </w:r>
          </w:p>
        </w:tc>
        <w:tc>
          <w:tcPr>
            <w:tcW w:w="567" w:type="dxa"/>
          </w:tcPr>
          <w:p w14:paraId="59770A45" w14:textId="527A9F3F"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34.7</w:t>
            </w:r>
          </w:p>
        </w:tc>
        <w:tc>
          <w:tcPr>
            <w:tcW w:w="567" w:type="dxa"/>
          </w:tcPr>
          <w:p w14:paraId="46D1D082" w14:textId="453C1DE9"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63</w:t>
            </w:r>
          </w:p>
        </w:tc>
        <w:tc>
          <w:tcPr>
            <w:tcW w:w="567" w:type="dxa"/>
          </w:tcPr>
          <w:p w14:paraId="7A38E417" w14:textId="2E544E4F"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33.7</w:t>
            </w:r>
          </w:p>
        </w:tc>
        <w:tc>
          <w:tcPr>
            <w:tcW w:w="708" w:type="dxa"/>
          </w:tcPr>
          <w:p w14:paraId="73933087" w14:textId="734CFE4B" w:rsidR="001F68F5" w:rsidRPr="0068660F" w:rsidRDefault="001F68F5" w:rsidP="001F68F5">
            <w:pPr>
              <w:spacing w:line="360" w:lineRule="auto"/>
              <w:ind w:left="709" w:hanging="709"/>
              <w:jc w:val="center"/>
              <w:rPr>
                <w:rFonts w:ascii="Century Gothic" w:hAnsi="Century Gothic"/>
                <w:sz w:val="16"/>
                <w:szCs w:val="16"/>
              </w:rPr>
            </w:pPr>
            <w:r w:rsidRPr="0068660F">
              <w:rPr>
                <w:rFonts w:ascii="Century Gothic" w:hAnsi="Century Gothic"/>
                <w:sz w:val="16"/>
                <w:szCs w:val="16"/>
              </w:rPr>
              <w:t>36.3</w:t>
            </w:r>
          </w:p>
        </w:tc>
        <w:tc>
          <w:tcPr>
            <w:tcW w:w="567" w:type="dxa"/>
          </w:tcPr>
          <w:p w14:paraId="70B993B7" w14:textId="1A243489"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66</w:t>
            </w:r>
          </w:p>
        </w:tc>
        <w:tc>
          <w:tcPr>
            <w:tcW w:w="567" w:type="dxa"/>
          </w:tcPr>
          <w:p w14:paraId="1A64CA3F" w14:textId="3B4DBF52"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37.5</w:t>
            </w:r>
          </w:p>
        </w:tc>
        <w:tc>
          <w:tcPr>
            <w:tcW w:w="709" w:type="dxa"/>
          </w:tcPr>
          <w:p w14:paraId="27AF829E" w14:textId="3B5B134A"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39.5</w:t>
            </w:r>
          </w:p>
        </w:tc>
      </w:tr>
      <w:tr w:rsidR="001F68F5" w:rsidRPr="0068660F" w14:paraId="588B60EF" w14:textId="77777777" w:rsidTr="00BA00C5">
        <w:tc>
          <w:tcPr>
            <w:tcW w:w="1418" w:type="dxa"/>
            <w:tcBorders>
              <w:bottom w:val="single" w:sz="4" w:space="0" w:color="auto"/>
            </w:tcBorders>
          </w:tcPr>
          <w:p w14:paraId="1B7A065D" w14:textId="77777777" w:rsidR="001F68F5" w:rsidRPr="0068660F" w:rsidRDefault="001F68F5" w:rsidP="001F68F5">
            <w:pPr>
              <w:spacing w:line="360" w:lineRule="auto"/>
              <w:ind w:left="709" w:hanging="709"/>
              <w:jc w:val="both"/>
              <w:rPr>
                <w:rFonts w:ascii="Century Gothic" w:hAnsi="Century Gothic"/>
                <w:sz w:val="16"/>
                <w:szCs w:val="16"/>
              </w:rPr>
            </w:pPr>
            <w:r w:rsidRPr="0068660F">
              <w:rPr>
                <w:rFonts w:ascii="Century Gothic" w:hAnsi="Century Gothic"/>
                <w:sz w:val="16"/>
                <w:szCs w:val="16"/>
              </w:rPr>
              <w:t>Other</w:t>
            </w:r>
          </w:p>
        </w:tc>
        <w:tc>
          <w:tcPr>
            <w:tcW w:w="567" w:type="dxa"/>
          </w:tcPr>
          <w:p w14:paraId="3352D948" w14:textId="6BC47C07"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2</w:t>
            </w:r>
          </w:p>
        </w:tc>
        <w:tc>
          <w:tcPr>
            <w:tcW w:w="567" w:type="dxa"/>
          </w:tcPr>
          <w:p w14:paraId="0C665B2D" w14:textId="6BD71140"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1.0</w:t>
            </w:r>
          </w:p>
        </w:tc>
        <w:tc>
          <w:tcPr>
            <w:tcW w:w="709" w:type="dxa"/>
          </w:tcPr>
          <w:p w14:paraId="4DC493C8" w14:textId="34BDB611"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1.3</w:t>
            </w:r>
          </w:p>
        </w:tc>
        <w:tc>
          <w:tcPr>
            <w:tcW w:w="567" w:type="dxa"/>
          </w:tcPr>
          <w:p w14:paraId="09662F9C" w14:textId="6CFE80B7"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2</w:t>
            </w:r>
          </w:p>
        </w:tc>
        <w:tc>
          <w:tcPr>
            <w:tcW w:w="567" w:type="dxa"/>
          </w:tcPr>
          <w:p w14:paraId="303D1FE2" w14:textId="7A9CE4D0"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1.1</w:t>
            </w:r>
          </w:p>
        </w:tc>
        <w:tc>
          <w:tcPr>
            <w:tcW w:w="567" w:type="dxa"/>
          </w:tcPr>
          <w:p w14:paraId="33FCDB06" w14:textId="7002F4F9"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1.2</w:t>
            </w:r>
          </w:p>
        </w:tc>
        <w:tc>
          <w:tcPr>
            <w:tcW w:w="567" w:type="dxa"/>
          </w:tcPr>
          <w:p w14:paraId="066B3852" w14:textId="3C7CE693"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w:t>
            </w:r>
          </w:p>
        </w:tc>
        <w:tc>
          <w:tcPr>
            <w:tcW w:w="567" w:type="dxa"/>
          </w:tcPr>
          <w:p w14:paraId="5A5C4BAC" w14:textId="1EA66175"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0.5</w:t>
            </w:r>
          </w:p>
        </w:tc>
        <w:tc>
          <w:tcPr>
            <w:tcW w:w="708" w:type="dxa"/>
          </w:tcPr>
          <w:p w14:paraId="21CFF3EE" w14:textId="6FF586FD" w:rsidR="001F68F5" w:rsidRPr="0068660F" w:rsidRDefault="001F68F5" w:rsidP="001F68F5">
            <w:pPr>
              <w:spacing w:line="360" w:lineRule="auto"/>
              <w:ind w:left="709" w:hanging="709"/>
              <w:jc w:val="center"/>
              <w:rPr>
                <w:rFonts w:ascii="Century Gothic" w:hAnsi="Century Gothic"/>
                <w:sz w:val="16"/>
                <w:szCs w:val="16"/>
              </w:rPr>
            </w:pPr>
            <w:r w:rsidRPr="0068660F">
              <w:rPr>
                <w:rFonts w:ascii="Century Gothic" w:hAnsi="Century Gothic"/>
                <w:sz w:val="16"/>
                <w:szCs w:val="16"/>
              </w:rPr>
              <w:t>1.2</w:t>
            </w:r>
          </w:p>
        </w:tc>
        <w:tc>
          <w:tcPr>
            <w:tcW w:w="567" w:type="dxa"/>
            <w:tcBorders>
              <w:bottom w:val="single" w:sz="4" w:space="0" w:color="auto"/>
            </w:tcBorders>
          </w:tcPr>
          <w:p w14:paraId="41CDC143" w14:textId="00AFCF08"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w:t>
            </w:r>
          </w:p>
        </w:tc>
        <w:tc>
          <w:tcPr>
            <w:tcW w:w="567" w:type="dxa"/>
            <w:tcBorders>
              <w:bottom w:val="single" w:sz="4" w:space="0" w:color="auto"/>
            </w:tcBorders>
          </w:tcPr>
          <w:p w14:paraId="0D7BEBFA" w14:textId="75304229"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0.6</w:t>
            </w:r>
          </w:p>
        </w:tc>
        <w:tc>
          <w:tcPr>
            <w:tcW w:w="709" w:type="dxa"/>
            <w:tcBorders>
              <w:bottom w:val="single" w:sz="4" w:space="0" w:color="auto"/>
            </w:tcBorders>
          </w:tcPr>
          <w:p w14:paraId="661897FB" w14:textId="4909BDC7"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1.0</w:t>
            </w:r>
          </w:p>
        </w:tc>
      </w:tr>
      <w:tr w:rsidR="001F68F5" w:rsidRPr="0068660F" w14:paraId="731F3154" w14:textId="77777777" w:rsidTr="00BA00C5">
        <w:tc>
          <w:tcPr>
            <w:tcW w:w="1418" w:type="dxa"/>
            <w:tcBorders>
              <w:top w:val="single" w:sz="4" w:space="0" w:color="auto"/>
              <w:left w:val="single" w:sz="4" w:space="0" w:color="auto"/>
              <w:bottom w:val="single" w:sz="4" w:space="0" w:color="auto"/>
              <w:right w:val="single" w:sz="4" w:space="0" w:color="auto"/>
            </w:tcBorders>
          </w:tcPr>
          <w:p w14:paraId="7612881D" w14:textId="77777777" w:rsidR="001F68F5" w:rsidRPr="0068660F" w:rsidRDefault="001F68F5" w:rsidP="001F68F5">
            <w:pPr>
              <w:spacing w:line="360" w:lineRule="auto"/>
              <w:ind w:left="709" w:hanging="709"/>
              <w:jc w:val="both"/>
              <w:rPr>
                <w:rFonts w:ascii="Century Gothic" w:hAnsi="Century Gothic"/>
                <w:sz w:val="16"/>
                <w:szCs w:val="16"/>
              </w:rPr>
            </w:pPr>
            <w:r w:rsidRPr="0068660F">
              <w:rPr>
                <w:rFonts w:ascii="Century Gothic" w:hAnsi="Century Gothic"/>
                <w:sz w:val="16"/>
                <w:szCs w:val="16"/>
              </w:rPr>
              <w:t>Vacant</w:t>
            </w:r>
          </w:p>
        </w:tc>
        <w:tc>
          <w:tcPr>
            <w:tcW w:w="567" w:type="dxa"/>
          </w:tcPr>
          <w:p w14:paraId="3FFCB1D4" w14:textId="39488EAC"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11</w:t>
            </w:r>
          </w:p>
        </w:tc>
        <w:tc>
          <w:tcPr>
            <w:tcW w:w="567" w:type="dxa"/>
          </w:tcPr>
          <w:p w14:paraId="5C3EDE11" w14:textId="2F963294"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5.7</w:t>
            </w:r>
          </w:p>
        </w:tc>
        <w:tc>
          <w:tcPr>
            <w:tcW w:w="709" w:type="dxa"/>
          </w:tcPr>
          <w:p w14:paraId="72DA1A06" w14:textId="301F264B"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10.7</w:t>
            </w:r>
          </w:p>
        </w:tc>
        <w:tc>
          <w:tcPr>
            <w:tcW w:w="567" w:type="dxa"/>
          </w:tcPr>
          <w:p w14:paraId="34254EF1" w14:textId="360CCC82"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20</w:t>
            </w:r>
          </w:p>
        </w:tc>
        <w:tc>
          <w:tcPr>
            <w:tcW w:w="567" w:type="dxa"/>
          </w:tcPr>
          <w:p w14:paraId="165249A5" w14:textId="240E7916"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10.6</w:t>
            </w:r>
          </w:p>
        </w:tc>
        <w:tc>
          <w:tcPr>
            <w:tcW w:w="567" w:type="dxa"/>
          </w:tcPr>
          <w:p w14:paraId="6DE00D77" w14:textId="5A47FD02"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13.0</w:t>
            </w:r>
          </w:p>
        </w:tc>
        <w:tc>
          <w:tcPr>
            <w:tcW w:w="567" w:type="dxa"/>
          </w:tcPr>
          <w:p w14:paraId="477175DB" w14:textId="16C22286"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19</w:t>
            </w:r>
          </w:p>
        </w:tc>
        <w:tc>
          <w:tcPr>
            <w:tcW w:w="567" w:type="dxa"/>
          </w:tcPr>
          <w:p w14:paraId="66C3347D" w14:textId="30B33EA1"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10.2</w:t>
            </w:r>
          </w:p>
        </w:tc>
        <w:tc>
          <w:tcPr>
            <w:tcW w:w="708" w:type="dxa"/>
          </w:tcPr>
          <w:p w14:paraId="69C188C2" w14:textId="6776790F" w:rsidR="001F68F5" w:rsidRPr="0068660F" w:rsidRDefault="001F68F5" w:rsidP="001F68F5">
            <w:pPr>
              <w:spacing w:line="360" w:lineRule="auto"/>
              <w:ind w:left="709" w:hanging="709"/>
              <w:jc w:val="center"/>
              <w:rPr>
                <w:rFonts w:ascii="Century Gothic" w:hAnsi="Century Gothic"/>
                <w:sz w:val="16"/>
                <w:szCs w:val="16"/>
              </w:rPr>
            </w:pPr>
            <w:r w:rsidRPr="0068660F">
              <w:rPr>
                <w:rFonts w:ascii="Century Gothic" w:hAnsi="Century Gothic"/>
                <w:sz w:val="16"/>
                <w:szCs w:val="16"/>
              </w:rPr>
              <w:t>12.6</w:t>
            </w:r>
          </w:p>
        </w:tc>
        <w:tc>
          <w:tcPr>
            <w:tcW w:w="567" w:type="dxa"/>
            <w:tcBorders>
              <w:top w:val="single" w:sz="4" w:space="0" w:color="auto"/>
              <w:left w:val="single" w:sz="4" w:space="0" w:color="auto"/>
              <w:bottom w:val="single" w:sz="4" w:space="0" w:color="auto"/>
              <w:right w:val="single" w:sz="4" w:space="0" w:color="auto"/>
            </w:tcBorders>
          </w:tcPr>
          <w:p w14:paraId="40A86327" w14:textId="71FDA295"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14</w:t>
            </w:r>
          </w:p>
        </w:tc>
        <w:tc>
          <w:tcPr>
            <w:tcW w:w="567" w:type="dxa"/>
            <w:tcBorders>
              <w:top w:val="single" w:sz="4" w:space="0" w:color="auto"/>
              <w:left w:val="single" w:sz="4" w:space="0" w:color="auto"/>
              <w:bottom w:val="single" w:sz="4" w:space="0" w:color="auto"/>
              <w:right w:val="single" w:sz="4" w:space="0" w:color="auto"/>
            </w:tcBorders>
          </w:tcPr>
          <w:p w14:paraId="16F09F7E" w14:textId="3D1CCD61"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8.0</w:t>
            </w:r>
          </w:p>
        </w:tc>
        <w:tc>
          <w:tcPr>
            <w:tcW w:w="709" w:type="dxa"/>
            <w:tcBorders>
              <w:top w:val="single" w:sz="4" w:space="0" w:color="auto"/>
              <w:left w:val="single" w:sz="4" w:space="0" w:color="auto"/>
              <w:bottom w:val="single" w:sz="4" w:space="0" w:color="auto"/>
              <w:right w:val="single" w:sz="4" w:space="0" w:color="auto"/>
            </w:tcBorders>
          </w:tcPr>
          <w:p w14:paraId="282373D3" w14:textId="34363B75" w:rsidR="001F68F5" w:rsidRPr="0068660F" w:rsidRDefault="001F68F5" w:rsidP="001F68F5">
            <w:pPr>
              <w:spacing w:line="360" w:lineRule="auto"/>
              <w:ind w:left="709" w:hanging="709"/>
              <w:jc w:val="center"/>
              <w:rPr>
                <w:rFonts w:ascii="Century Gothic" w:hAnsi="Century Gothic"/>
                <w:sz w:val="16"/>
                <w:szCs w:val="16"/>
              </w:rPr>
            </w:pPr>
            <w:r>
              <w:rPr>
                <w:rFonts w:ascii="Century Gothic" w:hAnsi="Century Gothic"/>
                <w:sz w:val="16"/>
                <w:szCs w:val="16"/>
              </w:rPr>
              <w:t>15.2</w:t>
            </w:r>
          </w:p>
        </w:tc>
      </w:tr>
      <w:tr w:rsidR="001F68F5" w:rsidRPr="0068660F" w14:paraId="56765D0B" w14:textId="77777777" w:rsidTr="00BA00C5">
        <w:tc>
          <w:tcPr>
            <w:tcW w:w="1418" w:type="dxa"/>
            <w:tcBorders>
              <w:top w:val="single" w:sz="4" w:space="0" w:color="auto"/>
              <w:left w:val="single" w:sz="4" w:space="0" w:color="auto"/>
              <w:bottom w:val="single" w:sz="4" w:space="0" w:color="auto"/>
              <w:right w:val="single" w:sz="4" w:space="0" w:color="auto"/>
            </w:tcBorders>
          </w:tcPr>
          <w:p w14:paraId="0EB44EE4" w14:textId="77777777" w:rsidR="001F68F5" w:rsidRPr="0068660F" w:rsidRDefault="001F68F5" w:rsidP="001F68F5">
            <w:pPr>
              <w:spacing w:line="360" w:lineRule="auto"/>
              <w:ind w:left="709" w:hanging="709"/>
              <w:jc w:val="both"/>
              <w:rPr>
                <w:rFonts w:ascii="Century Gothic" w:hAnsi="Century Gothic"/>
                <w:b/>
                <w:sz w:val="16"/>
                <w:szCs w:val="16"/>
              </w:rPr>
            </w:pPr>
            <w:r w:rsidRPr="0068660F">
              <w:rPr>
                <w:rFonts w:ascii="Century Gothic" w:hAnsi="Century Gothic"/>
                <w:b/>
                <w:sz w:val="16"/>
                <w:szCs w:val="16"/>
              </w:rPr>
              <w:t>Total</w:t>
            </w:r>
          </w:p>
        </w:tc>
        <w:tc>
          <w:tcPr>
            <w:tcW w:w="567" w:type="dxa"/>
          </w:tcPr>
          <w:p w14:paraId="36433F8B" w14:textId="470F14BB"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192</w:t>
            </w:r>
          </w:p>
        </w:tc>
        <w:tc>
          <w:tcPr>
            <w:tcW w:w="567" w:type="dxa"/>
          </w:tcPr>
          <w:p w14:paraId="4CE9929C" w14:textId="289B336F"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100</w:t>
            </w:r>
          </w:p>
        </w:tc>
        <w:tc>
          <w:tcPr>
            <w:tcW w:w="709" w:type="dxa"/>
          </w:tcPr>
          <w:p w14:paraId="37AA3FB7" w14:textId="6510F992"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100</w:t>
            </w:r>
          </w:p>
        </w:tc>
        <w:tc>
          <w:tcPr>
            <w:tcW w:w="567" w:type="dxa"/>
          </w:tcPr>
          <w:p w14:paraId="195B2F8B" w14:textId="5743447B"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188</w:t>
            </w:r>
          </w:p>
        </w:tc>
        <w:tc>
          <w:tcPr>
            <w:tcW w:w="567" w:type="dxa"/>
          </w:tcPr>
          <w:p w14:paraId="5A3B95BA" w14:textId="4AA718D8"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100</w:t>
            </w:r>
          </w:p>
        </w:tc>
        <w:tc>
          <w:tcPr>
            <w:tcW w:w="567" w:type="dxa"/>
          </w:tcPr>
          <w:p w14:paraId="3AEBDD2F" w14:textId="07710178"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100</w:t>
            </w:r>
          </w:p>
        </w:tc>
        <w:tc>
          <w:tcPr>
            <w:tcW w:w="567" w:type="dxa"/>
          </w:tcPr>
          <w:p w14:paraId="05911B09" w14:textId="15521AC2"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187</w:t>
            </w:r>
          </w:p>
        </w:tc>
        <w:tc>
          <w:tcPr>
            <w:tcW w:w="567" w:type="dxa"/>
          </w:tcPr>
          <w:p w14:paraId="2AC6DC45" w14:textId="09D946DE"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100</w:t>
            </w:r>
          </w:p>
        </w:tc>
        <w:tc>
          <w:tcPr>
            <w:tcW w:w="708" w:type="dxa"/>
          </w:tcPr>
          <w:p w14:paraId="29FD1F28" w14:textId="6F806393" w:rsidR="001F68F5" w:rsidRPr="0068660F" w:rsidRDefault="001F68F5" w:rsidP="001F68F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100</w:t>
            </w:r>
          </w:p>
        </w:tc>
        <w:tc>
          <w:tcPr>
            <w:tcW w:w="567" w:type="dxa"/>
            <w:tcBorders>
              <w:top w:val="single" w:sz="4" w:space="0" w:color="auto"/>
              <w:left w:val="single" w:sz="4" w:space="0" w:color="auto"/>
              <w:bottom w:val="single" w:sz="4" w:space="0" w:color="auto"/>
              <w:right w:val="single" w:sz="4" w:space="0" w:color="auto"/>
            </w:tcBorders>
          </w:tcPr>
          <w:p w14:paraId="6EA0FE12" w14:textId="553ED303"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176</w:t>
            </w:r>
          </w:p>
        </w:tc>
        <w:tc>
          <w:tcPr>
            <w:tcW w:w="567" w:type="dxa"/>
            <w:tcBorders>
              <w:top w:val="single" w:sz="4" w:space="0" w:color="auto"/>
              <w:left w:val="single" w:sz="4" w:space="0" w:color="auto"/>
              <w:bottom w:val="single" w:sz="4" w:space="0" w:color="auto"/>
              <w:right w:val="single" w:sz="4" w:space="0" w:color="auto"/>
            </w:tcBorders>
          </w:tcPr>
          <w:p w14:paraId="313FEFC0" w14:textId="670308B2"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100</w:t>
            </w:r>
          </w:p>
        </w:tc>
        <w:tc>
          <w:tcPr>
            <w:tcW w:w="709" w:type="dxa"/>
            <w:tcBorders>
              <w:top w:val="single" w:sz="4" w:space="0" w:color="auto"/>
              <w:left w:val="single" w:sz="4" w:space="0" w:color="auto"/>
              <w:bottom w:val="single" w:sz="4" w:space="0" w:color="auto"/>
              <w:right w:val="single" w:sz="4" w:space="0" w:color="auto"/>
            </w:tcBorders>
          </w:tcPr>
          <w:p w14:paraId="7CDD7249" w14:textId="2216D94C" w:rsidR="001F68F5" w:rsidRPr="0068660F" w:rsidRDefault="001F68F5" w:rsidP="001F68F5">
            <w:pPr>
              <w:spacing w:line="360" w:lineRule="auto"/>
              <w:ind w:left="709" w:hanging="709"/>
              <w:jc w:val="center"/>
              <w:rPr>
                <w:rFonts w:ascii="Century Gothic" w:hAnsi="Century Gothic"/>
                <w:b/>
                <w:sz w:val="16"/>
                <w:szCs w:val="16"/>
              </w:rPr>
            </w:pPr>
            <w:r>
              <w:rPr>
                <w:rFonts w:ascii="Century Gothic" w:hAnsi="Century Gothic"/>
                <w:b/>
                <w:sz w:val="16"/>
                <w:szCs w:val="16"/>
              </w:rPr>
              <w:t>100</w:t>
            </w:r>
          </w:p>
        </w:tc>
      </w:tr>
    </w:tbl>
    <w:p w14:paraId="15DC5906" w14:textId="77777777" w:rsidR="001F68F5" w:rsidRPr="008E3DC7" w:rsidRDefault="001F68F5" w:rsidP="001F68F5">
      <w:pPr>
        <w:pStyle w:val="Level1"/>
        <w:numPr>
          <w:ilvl w:val="0"/>
          <w:numId w:val="0"/>
        </w:numPr>
        <w:ind w:left="720" w:firstLine="131"/>
        <w:jc w:val="both"/>
        <w:rPr>
          <w:sz w:val="16"/>
          <w:szCs w:val="16"/>
        </w:rPr>
      </w:pPr>
      <w:r>
        <w:rPr>
          <w:sz w:val="16"/>
          <w:szCs w:val="16"/>
        </w:rPr>
        <w:t>Source: Experian GOAD</w:t>
      </w:r>
    </w:p>
    <w:p w14:paraId="38563DB0" w14:textId="33F43CE9" w:rsidR="001F68F5" w:rsidRDefault="003D6E44" w:rsidP="00C62A24">
      <w:pPr>
        <w:pStyle w:val="Level1"/>
      </w:pPr>
      <w:r>
        <w:t xml:space="preserve">The number of comparison goods retailers in town centre has continued to decline, after a period of no movement between 2009 and 2012.  There were 76 comparison goods retailers in the town centre at the time of the most recent survey, which is equivalent to 43% of all surveyed units and well above the current national average of 34%.  Since 2006 </w:t>
      </w:r>
      <w:r w:rsidR="008D1D8E">
        <w:t>it is to be noted that there have been falls in both the number</w:t>
      </w:r>
      <w:r w:rsidR="0019567E">
        <w:t>/proportion</w:t>
      </w:r>
      <w:r w:rsidR="008D1D8E">
        <w:t xml:space="preserve"> of comparison goods retailers in Brixham town centre</w:t>
      </w:r>
      <w:r w:rsidR="0019567E">
        <w:t xml:space="preserve"> and the proportionate national average, with, between 2006 and 2012, the proportion of comparison goods retailers slightly above the national average.  However, the difference between both proportions has grown between 2012 and 2021 and now stands at nine percentage points.</w:t>
      </w:r>
    </w:p>
    <w:p w14:paraId="3BD1786F" w14:textId="1FAA5A17" w:rsidR="0019567E" w:rsidRDefault="00190132" w:rsidP="00C62A24">
      <w:pPr>
        <w:pStyle w:val="Level1"/>
      </w:pPr>
      <w:r>
        <w:lastRenderedPageBreak/>
        <w:t xml:space="preserve">The number of retail service uses has not changed by a significant amount between 2006 and 2022, with an increase of 4 units since 2006 and 3 units since 2012.  </w:t>
      </w:r>
      <w:r w:rsidR="00BC058C">
        <w:t xml:space="preserve">The proportion of retail service uses in the town centre remains slightly below the national average but not </w:t>
      </w:r>
      <w:r w:rsidR="00D2461A">
        <w:t>b</w:t>
      </w:r>
      <w:r w:rsidR="00BC058C">
        <w:t>y a substantial amount.</w:t>
      </w:r>
    </w:p>
    <w:p w14:paraId="2784B18E" w14:textId="0D47FF08" w:rsidR="00BC058C" w:rsidRDefault="00BC058C" w:rsidP="00D2461A">
      <w:pPr>
        <w:pStyle w:val="Level1"/>
      </w:pPr>
      <w:r>
        <w:t xml:space="preserve">As can be seen in Table 4.14 </w:t>
      </w:r>
      <w:r w:rsidR="00944A09">
        <w:t xml:space="preserve">there was a notable increase in the number of vacant retail properties </w:t>
      </w:r>
      <w:r w:rsidR="00A93EE4">
        <w:t>between 2006 and 2009/2012,</w:t>
      </w:r>
      <w:r w:rsidR="0070642E">
        <w:t xml:space="preserve"> </w:t>
      </w:r>
      <w:r w:rsidR="00A93EE4">
        <w:t>a</w:t>
      </w:r>
      <w:r w:rsidR="0070642E">
        <w:t>l</w:t>
      </w:r>
      <w:r w:rsidR="00A93EE4">
        <w:t xml:space="preserve">though throughout that period </w:t>
      </w:r>
      <w:r w:rsidR="0070642E">
        <w:t xml:space="preserve">the proportion of has remained </w:t>
      </w:r>
      <w:r w:rsidR="00730880">
        <w:t xml:space="preserve">below the national average.  Since 2012 the number of vacancies in the town centre has fallen to 14 units, which is equivalent to 8% of all surveyed units and although half the national average for town centre </w:t>
      </w:r>
      <w:r w:rsidR="00DB5C29">
        <w:t>vacancies</w:t>
      </w:r>
      <w:r w:rsidR="00730880">
        <w:t>.</w:t>
      </w:r>
    </w:p>
    <w:p w14:paraId="460B82F2" w14:textId="1F4BC1D6" w:rsidR="00730880" w:rsidRPr="00B6771A" w:rsidRDefault="00D2461A" w:rsidP="00C62A24">
      <w:pPr>
        <w:pStyle w:val="Level1"/>
      </w:pPr>
      <w:r w:rsidRPr="00B6771A">
        <w:t xml:space="preserve">The latest </w:t>
      </w:r>
      <w:r w:rsidR="006830FD" w:rsidRPr="00B6771A">
        <w:t xml:space="preserve">Experian GOAD survey data also provides </w:t>
      </w:r>
      <w:r w:rsidR="00430027" w:rsidRPr="00B6771A">
        <w:t xml:space="preserve">an estimate of the ground floor </w:t>
      </w:r>
      <w:r w:rsidR="00730880" w:rsidRPr="00B6771A">
        <w:t>floorspace</w:t>
      </w:r>
      <w:r w:rsidR="00430027" w:rsidRPr="00B6771A">
        <w:t xml:space="preserve"> for each of the main land use categories and this is shown in Table 4.15 below.</w:t>
      </w:r>
      <w:r w:rsidR="00BD5F6C">
        <w:t xml:space="preserve">  It indicates that </w:t>
      </w:r>
      <w:r w:rsidR="00A72CB6">
        <w:t xml:space="preserve">the proportion of floorspace devoted to comparison goods and service retail uses comprises three-quarters of all surveyed floorspace (75.8%) which is above the combined national average floorspace of 64.4%.  The proportion of floorspace occupied by convenience goods retail uses is below the national average, which is also true </w:t>
      </w:r>
      <w:proofErr w:type="gramStart"/>
      <w:r w:rsidR="00A72CB6">
        <w:t>for the amount of</w:t>
      </w:r>
      <w:proofErr w:type="gramEnd"/>
      <w:r w:rsidR="00A72CB6">
        <w:t xml:space="preserve"> vacant floorspace</w:t>
      </w:r>
      <w:r w:rsidR="00A72CB6">
        <w:rPr>
          <w:rStyle w:val="FootnoteReference"/>
        </w:rPr>
        <w:footnoteReference w:id="25"/>
      </w:r>
      <w:r w:rsidR="00A72CB6">
        <w:t>.</w:t>
      </w:r>
    </w:p>
    <w:p w14:paraId="39AF1750" w14:textId="4903E3D2" w:rsidR="00430027" w:rsidRPr="00B75C59" w:rsidRDefault="00430027" w:rsidP="00430027">
      <w:pPr>
        <w:pStyle w:val="Level1"/>
        <w:numPr>
          <w:ilvl w:val="0"/>
          <w:numId w:val="0"/>
        </w:numPr>
        <w:spacing w:after="120" w:line="240" w:lineRule="auto"/>
        <w:ind w:left="720"/>
        <w:jc w:val="both"/>
        <w:rPr>
          <w:rStyle w:val="Emphasis"/>
          <w:sz w:val="18"/>
          <w:szCs w:val="18"/>
        </w:rPr>
      </w:pPr>
      <w:r>
        <w:rPr>
          <w:rStyle w:val="Emphasis"/>
          <w:sz w:val="18"/>
          <w:szCs w:val="18"/>
        </w:rPr>
        <w:t>Table 4.</w:t>
      </w:r>
      <w:r w:rsidR="00B6771A">
        <w:rPr>
          <w:rStyle w:val="Emphasis"/>
          <w:sz w:val="18"/>
          <w:szCs w:val="18"/>
        </w:rPr>
        <w:t>15</w:t>
      </w:r>
      <w:r>
        <w:rPr>
          <w:rStyle w:val="Emphasis"/>
          <w:sz w:val="18"/>
          <w:szCs w:val="18"/>
        </w:rPr>
        <w:t xml:space="preserve">: </w:t>
      </w:r>
      <w:r w:rsidR="00B6771A">
        <w:rPr>
          <w:rStyle w:val="Emphasis"/>
          <w:sz w:val="18"/>
          <w:szCs w:val="18"/>
        </w:rPr>
        <w:t xml:space="preserve">Brixham </w:t>
      </w:r>
      <w:r>
        <w:rPr>
          <w:rStyle w:val="Emphasis"/>
          <w:sz w:val="18"/>
          <w:szCs w:val="18"/>
        </w:rPr>
        <w:t>town centre floorspace profile</w:t>
      </w:r>
    </w:p>
    <w:tbl>
      <w:tblPr>
        <w:tblStyle w:val="CustomTable2"/>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350"/>
        <w:gridCol w:w="2141"/>
        <w:gridCol w:w="2036"/>
      </w:tblGrid>
      <w:tr w:rsidR="00430027" w:rsidRPr="00BD5F6C" w14:paraId="7849C6A1" w14:textId="77777777" w:rsidTr="00173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E8E9E7" w:themeFill="background2" w:themeFillTint="66"/>
          </w:tcPr>
          <w:p w14:paraId="0D1E2145" w14:textId="77777777" w:rsidR="00430027" w:rsidRPr="00BD5F6C" w:rsidRDefault="00430027" w:rsidP="0017392B">
            <w:pPr>
              <w:pStyle w:val="Level1"/>
              <w:numPr>
                <w:ilvl w:val="0"/>
                <w:numId w:val="0"/>
              </w:numPr>
              <w:spacing w:before="0" w:after="0" w:line="240" w:lineRule="auto"/>
              <w:jc w:val="both"/>
              <w:rPr>
                <w:rFonts w:asciiTheme="minorHAnsi" w:hAnsiTheme="minorHAnsi" w:cstheme="minorHAnsi"/>
                <w:color w:val="auto"/>
                <w:sz w:val="18"/>
                <w:szCs w:val="18"/>
              </w:rPr>
            </w:pPr>
            <w:r w:rsidRPr="00BD5F6C">
              <w:rPr>
                <w:rFonts w:asciiTheme="minorHAnsi" w:hAnsiTheme="minorHAnsi" w:cstheme="minorHAnsi"/>
                <w:color w:val="auto"/>
                <w:sz w:val="18"/>
                <w:szCs w:val="18"/>
              </w:rPr>
              <w:t>Sector</w:t>
            </w:r>
          </w:p>
        </w:tc>
        <w:tc>
          <w:tcPr>
            <w:tcW w:w="2350" w:type="dxa"/>
            <w:shd w:val="clear" w:color="auto" w:fill="E8E9E7" w:themeFill="background2" w:themeFillTint="66"/>
          </w:tcPr>
          <w:p w14:paraId="57EF194D" w14:textId="77777777" w:rsidR="00430027" w:rsidRPr="00BD5F6C" w:rsidRDefault="00430027" w:rsidP="0017392B">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BD5F6C">
              <w:rPr>
                <w:rFonts w:asciiTheme="minorHAnsi" w:hAnsiTheme="minorHAnsi" w:cstheme="minorHAnsi"/>
                <w:color w:val="auto"/>
                <w:sz w:val="18"/>
                <w:szCs w:val="18"/>
              </w:rPr>
              <w:t>Floorspace</w:t>
            </w:r>
          </w:p>
          <w:p w14:paraId="0AAA7285" w14:textId="77777777" w:rsidR="00430027" w:rsidRPr="00BD5F6C" w:rsidRDefault="00430027" w:rsidP="0017392B">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BD5F6C">
              <w:rPr>
                <w:rFonts w:asciiTheme="minorHAnsi" w:hAnsiTheme="minorHAnsi" w:cstheme="minorHAnsi"/>
                <w:color w:val="auto"/>
                <w:sz w:val="18"/>
                <w:szCs w:val="18"/>
              </w:rPr>
              <w:t>(</w:t>
            </w:r>
            <w:proofErr w:type="spellStart"/>
            <w:proofErr w:type="gramStart"/>
            <w:r w:rsidRPr="00BD5F6C">
              <w:rPr>
                <w:rFonts w:asciiTheme="minorHAnsi" w:hAnsiTheme="minorHAnsi" w:cstheme="minorHAnsi"/>
                <w:color w:val="auto"/>
                <w:sz w:val="18"/>
                <w:szCs w:val="18"/>
              </w:rPr>
              <w:t>sq</w:t>
            </w:r>
            <w:proofErr w:type="spellEnd"/>
            <w:proofErr w:type="gramEnd"/>
            <w:r w:rsidRPr="00BD5F6C">
              <w:rPr>
                <w:rFonts w:asciiTheme="minorHAnsi" w:hAnsiTheme="minorHAnsi" w:cstheme="minorHAnsi"/>
                <w:color w:val="auto"/>
                <w:sz w:val="18"/>
                <w:szCs w:val="18"/>
              </w:rPr>
              <w:t xml:space="preserve"> m gross ground floor)</w:t>
            </w:r>
          </w:p>
        </w:tc>
        <w:tc>
          <w:tcPr>
            <w:tcW w:w="2141" w:type="dxa"/>
            <w:shd w:val="clear" w:color="auto" w:fill="E8E9E7" w:themeFill="background2" w:themeFillTint="66"/>
          </w:tcPr>
          <w:p w14:paraId="47F82019" w14:textId="77777777" w:rsidR="00430027" w:rsidRPr="00BD5F6C" w:rsidRDefault="00430027" w:rsidP="0017392B">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BD5F6C">
              <w:rPr>
                <w:rFonts w:asciiTheme="minorHAnsi" w:hAnsiTheme="minorHAnsi" w:cstheme="minorHAnsi"/>
                <w:color w:val="auto"/>
                <w:sz w:val="18"/>
                <w:szCs w:val="18"/>
              </w:rPr>
              <w:t xml:space="preserve">% </w:t>
            </w:r>
            <w:proofErr w:type="gramStart"/>
            <w:r w:rsidRPr="00BD5F6C">
              <w:rPr>
                <w:rFonts w:asciiTheme="minorHAnsi" w:hAnsiTheme="minorHAnsi" w:cstheme="minorHAnsi"/>
                <w:color w:val="auto"/>
                <w:sz w:val="18"/>
                <w:szCs w:val="18"/>
              </w:rPr>
              <w:t>of</w:t>
            </w:r>
            <w:proofErr w:type="gramEnd"/>
            <w:r w:rsidRPr="00BD5F6C">
              <w:rPr>
                <w:rFonts w:asciiTheme="minorHAnsi" w:hAnsiTheme="minorHAnsi" w:cstheme="minorHAnsi"/>
                <w:color w:val="auto"/>
                <w:sz w:val="18"/>
                <w:szCs w:val="18"/>
              </w:rPr>
              <w:t xml:space="preserve"> Total Surveyed Floorspace</w:t>
            </w:r>
          </w:p>
        </w:tc>
        <w:tc>
          <w:tcPr>
            <w:tcW w:w="2036" w:type="dxa"/>
            <w:shd w:val="clear" w:color="auto" w:fill="E8E9E7" w:themeFill="background2" w:themeFillTint="66"/>
          </w:tcPr>
          <w:p w14:paraId="14F43960" w14:textId="77777777" w:rsidR="00430027" w:rsidRPr="00BD5F6C" w:rsidRDefault="00430027" w:rsidP="0017392B">
            <w:pPr>
              <w:pStyle w:val="Level1"/>
              <w:numPr>
                <w:ilvl w:val="0"/>
                <w:numId w:val="0"/>
              </w:num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D5F6C">
              <w:rPr>
                <w:rFonts w:asciiTheme="minorHAnsi" w:hAnsiTheme="minorHAnsi" w:cstheme="minorHAnsi"/>
                <w:color w:val="auto"/>
                <w:sz w:val="18"/>
                <w:szCs w:val="18"/>
              </w:rPr>
              <w:t>National Average (%)</w:t>
            </w:r>
          </w:p>
        </w:tc>
      </w:tr>
      <w:tr w:rsidR="00BD5F6C" w:rsidRPr="00BD5F6C" w14:paraId="2E51286C" w14:textId="77777777" w:rsidTr="00A72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4155F584" w14:textId="77777777" w:rsidR="00BD5F6C" w:rsidRPr="00BD5F6C" w:rsidRDefault="00BD5F6C" w:rsidP="00BD5F6C">
            <w:pPr>
              <w:pStyle w:val="Level1"/>
              <w:numPr>
                <w:ilvl w:val="0"/>
                <w:numId w:val="0"/>
              </w:numPr>
              <w:spacing w:before="0" w:after="0" w:line="240" w:lineRule="auto"/>
              <w:jc w:val="both"/>
              <w:rPr>
                <w:rFonts w:asciiTheme="minorHAnsi" w:hAnsiTheme="minorHAnsi" w:cstheme="minorHAnsi"/>
                <w:bCs/>
                <w:color w:val="auto"/>
                <w:sz w:val="18"/>
                <w:szCs w:val="18"/>
              </w:rPr>
            </w:pPr>
            <w:r w:rsidRPr="00BD5F6C">
              <w:rPr>
                <w:rFonts w:asciiTheme="minorHAnsi" w:hAnsiTheme="minorHAnsi" w:cstheme="minorHAnsi"/>
                <w:bCs/>
                <w:color w:val="auto"/>
                <w:sz w:val="18"/>
                <w:szCs w:val="18"/>
              </w:rPr>
              <w:t>Convenience</w:t>
            </w:r>
          </w:p>
        </w:tc>
        <w:tc>
          <w:tcPr>
            <w:tcW w:w="2350" w:type="dxa"/>
            <w:shd w:val="clear" w:color="auto" w:fill="auto"/>
            <w:vAlign w:val="center"/>
          </w:tcPr>
          <w:p w14:paraId="19B89981" w14:textId="60A70894" w:rsidR="00BD5F6C" w:rsidRPr="00BD5F6C" w:rsidRDefault="00BD5F6C" w:rsidP="00BD5F6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BD5F6C">
              <w:rPr>
                <w:rFonts w:asciiTheme="minorHAnsi" w:hAnsiTheme="minorHAnsi" w:cstheme="minorHAnsi"/>
                <w:sz w:val="18"/>
                <w:szCs w:val="18"/>
              </w:rPr>
              <w:t>3</w:t>
            </w:r>
            <w:r w:rsidR="00A72CB6">
              <w:rPr>
                <w:rFonts w:asciiTheme="minorHAnsi" w:hAnsiTheme="minorHAnsi" w:cstheme="minorHAnsi"/>
                <w:sz w:val="18"/>
                <w:szCs w:val="18"/>
              </w:rPr>
              <w:t>,</w:t>
            </w:r>
            <w:r w:rsidRPr="00BD5F6C">
              <w:rPr>
                <w:rFonts w:asciiTheme="minorHAnsi" w:hAnsiTheme="minorHAnsi" w:cstheme="minorHAnsi"/>
                <w:sz w:val="18"/>
                <w:szCs w:val="18"/>
              </w:rPr>
              <w:t>177</w:t>
            </w:r>
          </w:p>
        </w:tc>
        <w:tc>
          <w:tcPr>
            <w:tcW w:w="2141" w:type="dxa"/>
            <w:shd w:val="clear" w:color="auto" w:fill="auto"/>
            <w:vAlign w:val="center"/>
          </w:tcPr>
          <w:p w14:paraId="59E5A774" w14:textId="0F011BF3" w:rsidR="00BD5F6C" w:rsidRPr="00BD5F6C" w:rsidRDefault="00BD5F6C" w:rsidP="00BD5F6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BD5F6C">
              <w:rPr>
                <w:rFonts w:asciiTheme="minorHAnsi" w:hAnsiTheme="minorHAnsi" w:cstheme="minorHAnsi"/>
                <w:sz w:val="18"/>
                <w:szCs w:val="18"/>
              </w:rPr>
              <w:t>15.7%</w:t>
            </w:r>
          </w:p>
        </w:tc>
        <w:tc>
          <w:tcPr>
            <w:tcW w:w="2036" w:type="dxa"/>
            <w:shd w:val="clear" w:color="auto" w:fill="auto"/>
            <w:vAlign w:val="center"/>
          </w:tcPr>
          <w:p w14:paraId="5A55F2D1" w14:textId="77777777" w:rsidR="00BD5F6C" w:rsidRPr="00BD5F6C" w:rsidRDefault="00BD5F6C" w:rsidP="00BD5F6C">
            <w:pPr>
              <w:pStyle w:val="Level1"/>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BD5F6C">
              <w:rPr>
                <w:rFonts w:asciiTheme="minorHAnsi" w:hAnsiTheme="minorHAnsi" w:cstheme="minorHAnsi"/>
                <w:bCs/>
                <w:sz w:val="18"/>
                <w:szCs w:val="18"/>
              </w:rPr>
              <w:t>18.8%</w:t>
            </w:r>
          </w:p>
        </w:tc>
      </w:tr>
      <w:tr w:rsidR="00BD5F6C" w:rsidRPr="00BD5F6C" w14:paraId="21A4F318" w14:textId="77777777" w:rsidTr="00A72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7A8891AB" w14:textId="77777777" w:rsidR="00BD5F6C" w:rsidRPr="00BD5F6C" w:rsidRDefault="00BD5F6C" w:rsidP="00BD5F6C">
            <w:pPr>
              <w:pStyle w:val="Level1"/>
              <w:numPr>
                <w:ilvl w:val="0"/>
                <w:numId w:val="0"/>
              </w:numPr>
              <w:spacing w:before="0" w:after="0" w:line="240" w:lineRule="auto"/>
              <w:jc w:val="both"/>
              <w:rPr>
                <w:rFonts w:asciiTheme="minorHAnsi" w:hAnsiTheme="minorHAnsi" w:cstheme="minorHAnsi"/>
                <w:bCs/>
                <w:color w:val="auto"/>
                <w:sz w:val="18"/>
                <w:szCs w:val="18"/>
              </w:rPr>
            </w:pPr>
            <w:r w:rsidRPr="00BD5F6C">
              <w:rPr>
                <w:rFonts w:asciiTheme="minorHAnsi" w:hAnsiTheme="minorHAnsi" w:cstheme="minorHAnsi"/>
                <w:bCs/>
                <w:color w:val="auto"/>
                <w:sz w:val="18"/>
                <w:szCs w:val="18"/>
              </w:rPr>
              <w:t>Comparison</w:t>
            </w:r>
          </w:p>
        </w:tc>
        <w:tc>
          <w:tcPr>
            <w:tcW w:w="2350" w:type="dxa"/>
            <w:shd w:val="clear" w:color="auto" w:fill="auto"/>
            <w:vAlign w:val="center"/>
          </w:tcPr>
          <w:p w14:paraId="6449568A" w14:textId="0301069D" w:rsidR="00BD5F6C" w:rsidRPr="00BD5F6C" w:rsidRDefault="00BD5F6C" w:rsidP="00BD5F6C">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BD5F6C">
              <w:rPr>
                <w:rFonts w:asciiTheme="minorHAnsi" w:hAnsiTheme="minorHAnsi" w:cstheme="minorHAnsi"/>
                <w:sz w:val="18"/>
                <w:szCs w:val="18"/>
              </w:rPr>
              <w:t>8</w:t>
            </w:r>
            <w:r w:rsidR="00A72CB6">
              <w:rPr>
                <w:rFonts w:asciiTheme="minorHAnsi" w:hAnsiTheme="minorHAnsi" w:cstheme="minorHAnsi"/>
                <w:sz w:val="18"/>
                <w:szCs w:val="18"/>
              </w:rPr>
              <w:t>,</w:t>
            </w:r>
            <w:r w:rsidRPr="00BD5F6C">
              <w:rPr>
                <w:rFonts w:asciiTheme="minorHAnsi" w:hAnsiTheme="minorHAnsi" w:cstheme="minorHAnsi"/>
                <w:sz w:val="18"/>
                <w:szCs w:val="18"/>
              </w:rPr>
              <w:t>696</w:t>
            </w:r>
          </w:p>
        </w:tc>
        <w:tc>
          <w:tcPr>
            <w:tcW w:w="2141" w:type="dxa"/>
            <w:shd w:val="clear" w:color="auto" w:fill="auto"/>
            <w:vAlign w:val="center"/>
          </w:tcPr>
          <w:p w14:paraId="6C89CB11" w14:textId="050DEEED" w:rsidR="00BD5F6C" w:rsidRPr="00BD5F6C" w:rsidRDefault="00BD5F6C" w:rsidP="00BD5F6C">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BD5F6C">
              <w:rPr>
                <w:rFonts w:asciiTheme="minorHAnsi" w:hAnsiTheme="minorHAnsi" w:cstheme="minorHAnsi"/>
                <w:sz w:val="18"/>
                <w:szCs w:val="18"/>
              </w:rPr>
              <w:t>43.1%</w:t>
            </w:r>
          </w:p>
        </w:tc>
        <w:tc>
          <w:tcPr>
            <w:tcW w:w="2036" w:type="dxa"/>
            <w:shd w:val="clear" w:color="auto" w:fill="auto"/>
            <w:vAlign w:val="center"/>
          </w:tcPr>
          <w:p w14:paraId="7D402A55" w14:textId="77777777" w:rsidR="00BD5F6C" w:rsidRPr="00BD5F6C" w:rsidRDefault="00BD5F6C" w:rsidP="00BD5F6C">
            <w:pPr>
              <w:pStyle w:val="Level1"/>
              <w:numPr>
                <w:ilvl w:val="0"/>
                <w:numId w:val="0"/>
              </w:num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BD5F6C">
              <w:rPr>
                <w:rFonts w:asciiTheme="minorHAnsi" w:hAnsiTheme="minorHAnsi" w:cstheme="minorHAnsi"/>
                <w:bCs/>
                <w:sz w:val="18"/>
                <w:szCs w:val="18"/>
              </w:rPr>
              <w:t>38.7%</w:t>
            </w:r>
          </w:p>
        </w:tc>
      </w:tr>
      <w:tr w:rsidR="00BD5F6C" w:rsidRPr="00BD5F6C" w14:paraId="2A6C8DC9" w14:textId="77777777" w:rsidTr="00A72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500EAF11" w14:textId="77777777" w:rsidR="00BD5F6C" w:rsidRPr="00BD5F6C" w:rsidRDefault="00BD5F6C" w:rsidP="00BD5F6C">
            <w:pPr>
              <w:pStyle w:val="Level1"/>
              <w:numPr>
                <w:ilvl w:val="0"/>
                <w:numId w:val="0"/>
              </w:numPr>
              <w:spacing w:before="0" w:after="0" w:line="240" w:lineRule="auto"/>
              <w:jc w:val="both"/>
              <w:rPr>
                <w:rFonts w:asciiTheme="minorHAnsi" w:hAnsiTheme="minorHAnsi" w:cstheme="minorHAnsi"/>
                <w:bCs/>
                <w:color w:val="auto"/>
                <w:sz w:val="18"/>
                <w:szCs w:val="18"/>
              </w:rPr>
            </w:pPr>
            <w:r w:rsidRPr="00BD5F6C">
              <w:rPr>
                <w:rFonts w:asciiTheme="minorHAnsi" w:hAnsiTheme="minorHAnsi" w:cstheme="minorHAnsi"/>
                <w:bCs/>
                <w:color w:val="auto"/>
                <w:sz w:val="18"/>
                <w:szCs w:val="18"/>
              </w:rPr>
              <w:t>Service</w:t>
            </w:r>
          </w:p>
        </w:tc>
        <w:tc>
          <w:tcPr>
            <w:tcW w:w="2350" w:type="dxa"/>
            <w:shd w:val="clear" w:color="auto" w:fill="auto"/>
            <w:vAlign w:val="center"/>
          </w:tcPr>
          <w:p w14:paraId="5E5F06BA" w14:textId="59675747" w:rsidR="00BD5F6C" w:rsidRPr="00BD5F6C" w:rsidRDefault="00BD5F6C" w:rsidP="00BD5F6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BD5F6C">
              <w:rPr>
                <w:rFonts w:asciiTheme="minorHAnsi" w:hAnsiTheme="minorHAnsi" w:cstheme="minorHAnsi"/>
                <w:sz w:val="18"/>
                <w:szCs w:val="18"/>
              </w:rPr>
              <w:t>6</w:t>
            </w:r>
            <w:r w:rsidR="00A72CB6">
              <w:rPr>
                <w:rFonts w:asciiTheme="minorHAnsi" w:hAnsiTheme="minorHAnsi" w:cstheme="minorHAnsi"/>
                <w:sz w:val="18"/>
                <w:szCs w:val="18"/>
              </w:rPr>
              <w:t>,</w:t>
            </w:r>
            <w:r w:rsidRPr="00BD5F6C">
              <w:rPr>
                <w:rFonts w:asciiTheme="minorHAnsi" w:hAnsiTheme="minorHAnsi" w:cstheme="minorHAnsi"/>
                <w:sz w:val="18"/>
                <w:szCs w:val="18"/>
              </w:rPr>
              <w:t>605</w:t>
            </w:r>
          </w:p>
        </w:tc>
        <w:tc>
          <w:tcPr>
            <w:tcW w:w="2141" w:type="dxa"/>
            <w:shd w:val="clear" w:color="auto" w:fill="auto"/>
            <w:vAlign w:val="center"/>
          </w:tcPr>
          <w:p w14:paraId="7E91E874" w14:textId="7642F466" w:rsidR="00BD5F6C" w:rsidRPr="00BD5F6C" w:rsidRDefault="00BD5F6C" w:rsidP="00BD5F6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BD5F6C">
              <w:rPr>
                <w:rFonts w:asciiTheme="minorHAnsi" w:hAnsiTheme="minorHAnsi" w:cstheme="minorHAnsi"/>
                <w:sz w:val="18"/>
                <w:szCs w:val="18"/>
              </w:rPr>
              <w:t>32.7%</w:t>
            </w:r>
          </w:p>
        </w:tc>
        <w:tc>
          <w:tcPr>
            <w:tcW w:w="2036" w:type="dxa"/>
            <w:shd w:val="clear" w:color="auto" w:fill="auto"/>
            <w:vAlign w:val="center"/>
          </w:tcPr>
          <w:p w14:paraId="3E8FB702" w14:textId="77777777" w:rsidR="00BD5F6C" w:rsidRPr="00BD5F6C" w:rsidRDefault="00BD5F6C" w:rsidP="00BD5F6C">
            <w:pPr>
              <w:pStyle w:val="Level1"/>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BD5F6C">
              <w:rPr>
                <w:rFonts w:asciiTheme="minorHAnsi" w:hAnsiTheme="minorHAnsi" w:cstheme="minorHAnsi"/>
                <w:bCs/>
                <w:sz w:val="18"/>
                <w:szCs w:val="18"/>
              </w:rPr>
              <w:t>25.7%</w:t>
            </w:r>
          </w:p>
        </w:tc>
      </w:tr>
      <w:tr w:rsidR="00BD5F6C" w:rsidRPr="00BD5F6C" w14:paraId="62AD04F1" w14:textId="77777777" w:rsidTr="00A72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21882B7E" w14:textId="77777777" w:rsidR="00BD5F6C" w:rsidRPr="00BD5F6C" w:rsidRDefault="00BD5F6C" w:rsidP="00BD5F6C">
            <w:pPr>
              <w:pStyle w:val="Level1"/>
              <w:numPr>
                <w:ilvl w:val="0"/>
                <w:numId w:val="0"/>
              </w:numPr>
              <w:spacing w:before="0" w:after="0" w:line="240" w:lineRule="auto"/>
              <w:jc w:val="both"/>
              <w:rPr>
                <w:rFonts w:asciiTheme="minorHAnsi" w:hAnsiTheme="minorHAnsi" w:cstheme="minorHAnsi"/>
                <w:bCs/>
                <w:color w:val="auto"/>
                <w:sz w:val="18"/>
                <w:szCs w:val="18"/>
              </w:rPr>
            </w:pPr>
            <w:r w:rsidRPr="00BD5F6C">
              <w:rPr>
                <w:rFonts w:asciiTheme="minorHAnsi" w:hAnsiTheme="minorHAnsi" w:cstheme="minorHAnsi"/>
                <w:bCs/>
                <w:color w:val="auto"/>
                <w:sz w:val="18"/>
                <w:szCs w:val="18"/>
              </w:rPr>
              <w:t>Other</w:t>
            </w:r>
          </w:p>
        </w:tc>
        <w:tc>
          <w:tcPr>
            <w:tcW w:w="2350" w:type="dxa"/>
            <w:shd w:val="clear" w:color="auto" w:fill="auto"/>
            <w:vAlign w:val="center"/>
          </w:tcPr>
          <w:p w14:paraId="7FF94195" w14:textId="01A6EA44" w:rsidR="00BD5F6C" w:rsidRPr="00BD5F6C" w:rsidRDefault="00BD5F6C" w:rsidP="00BD5F6C">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BD5F6C">
              <w:rPr>
                <w:rFonts w:asciiTheme="minorHAnsi" w:hAnsiTheme="minorHAnsi" w:cstheme="minorHAnsi"/>
                <w:sz w:val="18"/>
                <w:szCs w:val="18"/>
              </w:rPr>
              <w:t>28</w:t>
            </w:r>
          </w:p>
        </w:tc>
        <w:tc>
          <w:tcPr>
            <w:tcW w:w="2141" w:type="dxa"/>
            <w:shd w:val="clear" w:color="auto" w:fill="auto"/>
            <w:vAlign w:val="center"/>
          </w:tcPr>
          <w:p w14:paraId="1855F5E8" w14:textId="7B75EAD2" w:rsidR="00BD5F6C" w:rsidRPr="00BD5F6C" w:rsidRDefault="00BD5F6C" w:rsidP="00BD5F6C">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BD5F6C">
              <w:rPr>
                <w:rFonts w:asciiTheme="minorHAnsi" w:hAnsiTheme="minorHAnsi" w:cstheme="minorHAnsi"/>
                <w:sz w:val="18"/>
                <w:szCs w:val="18"/>
              </w:rPr>
              <w:t>0.1%</w:t>
            </w:r>
          </w:p>
        </w:tc>
        <w:tc>
          <w:tcPr>
            <w:tcW w:w="2036" w:type="dxa"/>
            <w:shd w:val="clear" w:color="auto" w:fill="auto"/>
            <w:vAlign w:val="center"/>
          </w:tcPr>
          <w:p w14:paraId="34C773AA" w14:textId="77777777" w:rsidR="00BD5F6C" w:rsidRPr="00BD5F6C" w:rsidRDefault="00BD5F6C" w:rsidP="00BD5F6C">
            <w:pPr>
              <w:pStyle w:val="Level1"/>
              <w:numPr>
                <w:ilvl w:val="0"/>
                <w:numId w:val="0"/>
              </w:num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BD5F6C">
              <w:rPr>
                <w:rFonts w:asciiTheme="minorHAnsi" w:hAnsiTheme="minorHAnsi" w:cstheme="minorHAnsi"/>
                <w:bCs/>
                <w:sz w:val="18"/>
                <w:szCs w:val="18"/>
              </w:rPr>
              <w:t>0.7%</w:t>
            </w:r>
          </w:p>
        </w:tc>
      </w:tr>
      <w:tr w:rsidR="00BD5F6C" w:rsidRPr="00BD5F6C" w14:paraId="08B54890" w14:textId="77777777" w:rsidTr="00A72C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22A376A2" w14:textId="77777777" w:rsidR="00BD5F6C" w:rsidRPr="00BD5F6C" w:rsidRDefault="00BD5F6C" w:rsidP="00BD5F6C">
            <w:pPr>
              <w:pStyle w:val="Level1"/>
              <w:numPr>
                <w:ilvl w:val="0"/>
                <w:numId w:val="0"/>
              </w:numPr>
              <w:spacing w:before="0" w:after="0" w:line="240" w:lineRule="auto"/>
              <w:jc w:val="both"/>
              <w:rPr>
                <w:rFonts w:asciiTheme="minorHAnsi" w:hAnsiTheme="minorHAnsi" w:cstheme="minorHAnsi"/>
                <w:bCs/>
                <w:color w:val="auto"/>
                <w:sz w:val="18"/>
                <w:szCs w:val="18"/>
              </w:rPr>
            </w:pPr>
            <w:r w:rsidRPr="00BD5F6C">
              <w:rPr>
                <w:rFonts w:asciiTheme="minorHAnsi" w:hAnsiTheme="minorHAnsi" w:cstheme="minorHAnsi"/>
                <w:bCs/>
                <w:color w:val="auto"/>
                <w:sz w:val="18"/>
                <w:szCs w:val="18"/>
              </w:rPr>
              <w:t>Vacant</w:t>
            </w:r>
          </w:p>
        </w:tc>
        <w:tc>
          <w:tcPr>
            <w:tcW w:w="2350" w:type="dxa"/>
            <w:shd w:val="clear" w:color="auto" w:fill="auto"/>
            <w:vAlign w:val="center"/>
          </w:tcPr>
          <w:p w14:paraId="740AD999" w14:textId="6C8C1902" w:rsidR="00BD5F6C" w:rsidRPr="00BD5F6C" w:rsidRDefault="00BD5F6C" w:rsidP="00BD5F6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BD5F6C">
              <w:rPr>
                <w:rFonts w:asciiTheme="minorHAnsi" w:hAnsiTheme="minorHAnsi" w:cstheme="minorHAnsi"/>
                <w:sz w:val="18"/>
                <w:szCs w:val="18"/>
              </w:rPr>
              <w:t>1</w:t>
            </w:r>
            <w:r w:rsidR="00A72CB6">
              <w:rPr>
                <w:rFonts w:asciiTheme="minorHAnsi" w:hAnsiTheme="minorHAnsi" w:cstheme="minorHAnsi"/>
                <w:sz w:val="18"/>
                <w:szCs w:val="18"/>
              </w:rPr>
              <w:t>,</w:t>
            </w:r>
            <w:r w:rsidRPr="00BD5F6C">
              <w:rPr>
                <w:rFonts w:asciiTheme="minorHAnsi" w:hAnsiTheme="minorHAnsi" w:cstheme="minorHAnsi"/>
                <w:sz w:val="18"/>
                <w:szCs w:val="18"/>
              </w:rPr>
              <w:t>672</w:t>
            </w:r>
          </w:p>
        </w:tc>
        <w:tc>
          <w:tcPr>
            <w:tcW w:w="2141" w:type="dxa"/>
            <w:shd w:val="clear" w:color="auto" w:fill="auto"/>
            <w:vAlign w:val="center"/>
          </w:tcPr>
          <w:p w14:paraId="5F4ABDFD" w14:textId="27B5EDC1" w:rsidR="00BD5F6C" w:rsidRPr="00BD5F6C" w:rsidRDefault="00BD5F6C" w:rsidP="00BD5F6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BD5F6C">
              <w:rPr>
                <w:rFonts w:asciiTheme="minorHAnsi" w:hAnsiTheme="minorHAnsi" w:cstheme="minorHAnsi"/>
                <w:sz w:val="18"/>
                <w:szCs w:val="18"/>
              </w:rPr>
              <w:t>8.3%</w:t>
            </w:r>
          </w:p>
        </w:tc>
        <w:tc>
          <w:tcPr>
            <w:tcW w:w="2036" w:type="dxa"/>
            <w:shd w:val="clear" w:color="auto" w:fill="auto"/>
            <w:vAlign w:val="center"/>
          </w:tcPr>
          <w:p w14:paraId="5167730B" w14:textId="77777777" w:rsidR="00BD5F6C" w:rsidRPr="00BD5F6C" w:rsidRDefault="00BD5F6C" w:rsidP="00BD5F6C">
            <w:pPr>
              <w:pStyle w:val="Level1"/>
              <w:numPr>
                <w:ilvl w:val="0"/>
                <w:numId w:val="0"/>
              </w:num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BD5F6C">
              <w:rPr>
                <w:rFonts w:asciiTheme="minorHAnsi" w:hAnsiTheme="minorHAnsi" w:cstheme="minorHAnsi"/>
                <w:bCs/>
                <w:sz w:val="18"/>
                <w:szCs w:val="18"/>
              </w:rPr>
              <w:t>16.1%</w:t>
            </w:r>
          </w:p>
        </w:tc>
      </w:tr>
      <w:tr w:rsidR="00BD5F6C" w:rsidRPr="00BD5F6C" w14:paraId="09DA93D8" w14:textId="77777777" w:rsidTr="00A72C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shd w:val="clear" w:color="auto" w:fill="auto"/>
          </w:tcPr>
          <w:p w14:paraId="2DAD6E71" w14:textId="77777777" w:rsidR="00BD5F6C" w:rsidRPr="00BD5F6C" w:rsidRDefault="00BD5F6C" w:rsidP="00BD5F6C">
            <w:pPr>
              <w:pStyle w:val="Level1"/>
              <w:numPr>
                <w:ilvl w:val="0"/>
                <w:numId w:val="0"/>
              </w:numPr>
              <w:spacing w:before="0" w:after="0" w:line="240" w:lineRule="auto"/>
              <w:jc w:val="both"/>
              <w:rPr>
                <w:rFonts w:asciiTheme="minorHAnsi" w:hAnsiTheme="minorHAnsi" w:cstheme="minorHAnsi"/>
                <w:bCs/>
                <w:color w:val="auto"/>
                <w:sz w:val="18"/>
                <w:szCs w:val="18"/>
              </w:rPr>
            </w:pPr>
            <w:r w:rsidRPr="00BD5F6C">
              <w:rPr>
                <w:rFonts w:asciiTheme="minorHAnsi" w:hAnsiTheme="minorHAnsi" w:cstheme="minorHAnsi"/>
                <w:bCs/>
                <w:color w:val="auto"/>
                <w:sz w:val="18"/>
                <w:szCs w:val="18"/>
              </w:rPr>
              <w:t>Total</w:t>
            </w:r>
          </w:p>
        </w:tc>
        <w:tc>
          <w:tcPr>
            <w:tcW w:w="2350" w:type="dxa"/>
            <w:shd w:val="clear" w:color="auto" w:fill="auto"/>
            <w:vAlign w:val="center"/>
          </w:tcPr>
          <w:p w14:paraId="7172AC61" w14:textId="55A846E1" w:rsidR="00BD5F6C" w:rsidRPr="00BD5F6C" w:rsidRDefault="00BD5F6C" w:rsidP="00BD5F6C">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BD5F6C">
              <w:rPr>
                <w:rFonts w:asciiTheme="minorHAnsi" w:hAnsiTheme="minorHAnsi" w:cstheme="minorHAnsi"/>
                <w:bCs/>
                <w:color w:val="auto"/>
                <w:sz w:val="18"/>
                <w:szCs w:val="18"/>
              </w:rPr>
              <w:t>2</w:t>
            </w:r>
            <w:r w:rsidRPr="00BD5F6C">
              <w:rPr>
                <w:rFonts w:asciiTheme="minorHAnsi" w:hAnsiTheme="minorHAnsi" w:cstheme="minorHAnsi"/>
                <w:bCs/>
                <w:sz w:val="18"/>
                <w:szCs w:val="18"/>
              </w:rPr>
              <w:t>0</w:t>
            </w:r>
            <w:r w:rsidR="00A72CB6">
              <w:rPr>
                <w:rFonts w:asciiTheme="minorHAnsi" w:hAnsiTheme="minorHAnsi" w:cstheme="minorHAnsi"/>
                <w:bCs/>
                <w:sz w:val="18"/>
                <w:szCs w:val="18"/>
              </w:rPr>
              <w:t>,</w:t>
            </w:r>
            <w:r w:rsidRPr="00BD5F6C">
              <w:rPr>
                <w:rFonts w:asciiTheme="minorHAnsi" w:hAnsiTheme="minorHAnsi" w:cstheme="minorHAnsi"/>
                <w:bCs/>
                <w:sz w:val="18"/>
                <w:szCs w:val="18"/>
              </w:rPr>
              <w:t>178</w:t>
            </w:r>
          </w:p>
        </w:tc>
        <w:tc>
          <w:tcPr>
            <w:tcW w:w="2141" w:type="dxa"/>
            <w:shd w:val="clear" w:color="auto" w:fill="auto"/>
            <w:vAlign w:val="center"/>
          </w:tcPr>
          <w:p w14:paraId="574C0271" w14:textId="2506B923" w:rsidR="00BD5F6C" w:rsidRPr="00BD5F6C" w:rsidRDefault="00BD5F6C" w:rsidP="00BD5F6C">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BD5F6C">
              <w:rPr>
                <w:rFonts w:asciiTheme="minorHAnsi" w:hAnsiTheme="minorHAnsi" w:cstheme="minorHAnsi"/>
                <w:bCs/>
                <w:color w:val="auto"/>
                <w:sz w:val="18"/>
                <w:szCs w:val="18"/>
              </w:rPr>
              <w:t>1</w:t>
            </w:r>
            <w:r w:rsidRPr="00BD5F6C">
              <w:rPr>
                <w:rFonts w:asciiTheme="minorHAnsi" w:hAnsiTheme="minorHAnsi" w:cstheme="minorHAnsi"/>
                <w:bCs/>
                <w:sz w:val="18"/>
                <w:szCs w:val="18"/>
              </w:rPr>
              <w:t>00%</w:t>
            </w:r>
          </w:p>
        </w:tc>
        <w:tc>
          <w:tcPr>
            <w:tcW w:w="2036" w:type="dxa"/>
            <w:shd w:val="clear" w:color="auto" w:fill="auto"/>
            <w:vAlign w:val="center"/>
          </w:tcPr>
          <w:p w14:paraId="1A0696F9" w14:textId="77777777" w:rsidR="00BD5F6C" w:rsidRPr="00BD5F6C" w:rsidRDefault="00BD5F6C" w:rsidP="00BD5F6C">
            <w:pPr>
              <w:pStyle w:val="Level1"/>
              <w:numPr>
                <w:ilvl w:val="0"/>
                <w:numId w:val="0"/>
              </w:num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BD5F6C">
              <w:rPr>
                <w:rFonts w:asciiTheme="minorHAnsi" w:hAnsiTheme="minorHAnsi" w:cstheme="minorHAnsi"/>
                <w:bCs/>
                <w:sz w:val="18"/>
                <w:szCs w:val="18"/>
              </w:rPr>
              <w:t>100%</w:t>
            </w:r>
          </w:p>
        </w:tc>
      </w:tr>
    </w:tbl>
    <w:p w14:paraId="21668097" w14:textId="6DAD150B" w:rsidR="00430027" w:rsidRDefault="00430027" w:rsidP="00430027">
      <w:pPr>
        <w:pStyle w:val="Level1"/>
        <w:numPr>
          <w:ilvl w:val="0"/>
          <w:numId w:val="0"/>
        </w:numPr>
        <w:ind w:left="720"/>
        <w:jc w:val="both"/>
        <w:rPr>
          <w:sz w:val="16"/>
          <w:szCs w:val="16"/>
        </w:rPr>
      </w:pPr>
      <w:r>
        <w:rPr>
          <w:sz w:val="16"/>
          <w:szCs w:val="16"/>
        </w:rPr>
        <w:t>Source: Experian GOAD</w:t>
      </w:r>
    </w:p>
    <w:p w14:paraId="240D409C" w14:textId="77777777" w:rsidR="00E51D1B" w:rsidRPr="00B75C59" w:rsidRDefault="00E51D1B" w:rsidP="00430027">
      <w:pPr>
        <w:pStyle w:val="Level1"/>
        <w:numPr>
          <w:ilvl w:val="0"/>
          <w:numId w:val="0"/>
        </w:numPr>
        <w:ind w:left="720"/>
        <w:jc w:val="both"/>
        <w:rPr>
          <w:sz w:val="16"/>
          <w:szCs w:val="16"/>
        </w:rPr>
      </w:pPr>
    </w:p>
    <w:p w14:paraId="53346B3E" w14:textId="0A420EB9" w:rsidR="00FC7952" w:rsidRPr="0051686A" w:rsidRDefault="00A651DA" w:rsidP="00FC7952">
      <w:pPr>
        <w:pStyle w:val="Level1"/>
        <w:jc w:val="both"/>
      </w:pPr>
      <w:r w:rsidRPr="0051686A">
        <w:t xml:space="preserve">The 2022 household survey provides the following </w:t>
      </w:r>
      <w:r w:rsidR="00FC7952" w:rsidRPr="0051686A">
        <w:t>market share</w:t>
      </w:r>
      <w:r w:rsidRPr="0051686A">
        <w:t xml:space="preserve"> information for </w:t>
      </w:r>
      <w:r w:rsidR="0051686A" w:rsidRPr="0051686A">
        <w:t xml:space="preserve">main and top-up convenience goods shopping trips associated with </w:t>
      </w:r>
      <w:r w:rsidRPr="0051686A">
        <w:t>Brixham town centre:</w:t>
      </w:r>
    </w:p>
    <w:p w14:paraId="233FE122" w14:textId="77777777" w:rsidR="00E51D1B" w:rsidRDefault="00E51D1B" w:rsidP="005A7D7E">
      <w:pPr>
        <w:pStyle w:val="Level1"/>
        <w:numPr>
          <w:ilvl w:val="0"/>
          <w:numId w:val="0"/>
        </w:numPr>
        <w:ind w:left="720"/>
        <w:jc w:val="both"/>
        <w:rPr>
          <w:rStyle w:val="Emphasis"/>
        </w:rPr>
      </w:pPr>
    </w:p>
    <w:p w14:paraId="11D8EB31" w14:textId="75D5B9A5" w:rsidR="005A7D7E" w:rsidRPr="00EA138F" w:rsidRDefault="005A7D7E" w:rsidP="005A7D7E">
      <w:pPr>
        <w:pStyle w:val="Level1"/>
        <w:numPr>
          <w:ilvl w:val="0"/>
          <w:numId w:val="0"/>
        </w:numPr>
        <w:ind w:left="720"/>
        <w:jc w:val="both"/>
        <w:rPr>
          <w:rStyle w:val="Emphasis"/>
        </w:rPr>
      </w:pPr>
      <w:r>
        <w:rPr>
          <w:rStyle w:val="Emphasis"/>
        </w:rPr>
        <w:t>Table 4.16: first and second choice main food shopping market shares associated with Brixham town centre (2013 and 2022 retail studies)</w:t>
      </w:r>
    </w:p>
    <w:tbl>
      <w:tblPr>
        <w:tblStyle w:val="CustomTable2"/>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32"/>
        <w:gridCol w:w="743"/>
        <w:gridCol w:w="631"/>
        <w:gridCol w:w="631"/>
        <w:gridCol w:w="630"/>
        <w:gridCol w:w="630"/>
        <w:gridCol w:w="630"/>
        <w:gridCol w:w="630"/>
        <w:gridCol w:w="743"/>
        <w:gridCol w:w="630"/>
        <w:gridCol w:w="631"/>
        <w:gridCol w:w="631"/>
        <w:gridCol w:w="631"/>
        <w:gridCol w:w="630"/>
      </w:tblGrid>
      <w:tr w:rsidR="0019524F" w:rsidRPr="0019524F" w14:paraId="0DCC610E" w14:textId="77777777" w:rsidTr="00195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shd w:val="clear" w:color="auto" w:fill="D9D9D9" w:themeFill="background1" w:themeFillShade="D9"/>
          </w:tcPr>
          <w:p w14:paraId="49C37FB5" w14:textId="77777777" w:rsidR="005A7D7E" w:rsidRPr="0019524F" w:rsidRDefault="005A7D7E" w:rsidP="00A348EC">
            <w:pPr>
              <w:pStyle w:val="Level1"/>
              <w:numPr>
                <w:ilvl w:val="0"/>
                <w:numId w:val="0"/>
              </w:numPr>
              <w:spacing w:before="0" w:after="0" w:line="240" w:lineRule="auto"/>
              <w:jc w:val="both"/>
              <w:rPr>
                <w:rFonts w:asciiTheme="minorHAnsi" w:hAnsiTheme="minorHAnsi" w:cstheme="minorHAnsi"/>
                <w:color w:val="auto"/>
                <w:sz w:val="18"/>
                <w:szCs w:val="18"/>
              </w:rPr>
            </w:pPr>
            <w:r w:rsidRPr="0019524F">
              <w:rPr>
                <w:rFonts w:asciiTheme="minorHAnsi" w:hAnsiTheme="minorHAnsi" w:cstheme="minorHAnsi"/>
                <w:color w:val="auto"/>
                <w:sz w:val="18"/>
                <w:szCs w:val="18"/>
              </w:rPr>
              <w:t>CENTRE</w:t>
            </w:r>
          </w:p>
        </w:tc>
        <w:tc>
          <w:tcPr>
            <w:tcW w:w="4527" w:type="dxa"/>
            <w:gridSpan w:val="7"/>
            <w:shd w:val="clear" w:color="auto" w:fill="D9D9D9" w:themeFill="background1" w:themeFillShade="D9"/>
          </w:tcPr>
          <w:p w14:paraId="6C07127A" w14:textId="77777777" w:rsidR="005A7D7E" w:rsidRPr="0019524F" w:rsidRDefault="005A7D7E" w:rsidP="00A348EC">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19524F">
              <w:rPr>
                <w:rFonts w:asciiTheme="minorHAnsi" w:hAnsiTheme="minorHAnsi" w:cstheme="minorHAnsi"/>
                <w:color w:val="auto"/>
                <w:sz w:val="18"/>
                <w:szCs w:val="18"/>
              </w:rPr>
              <w:t>First Choice Main Food</w:t>
            </w:r>
          </w:p>
        </w:tc>
        <w:tc>
          <w:tcPr>
            <w:tcW w:w="4526" w:type="dxa"/>
            <w:gridSpan w:val="7"/>
            <w:shd w:val="clear" w:color="auto" w:fill="D9D9D9" w:themeFill="background1" w:themeFillShade="D9"/>
          </w:tcPr>
          <w:p w14:paraId="665CB659" w14:textId="77777777" w:rsidR="005A7D7E" w:rsidRPr="0019524F" w:rsidRDefault="005A7D7E" w:rsidP="00A348EC">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19524F">
              <w:rPr>
                <w:rFonts w:asciiTheme="minorHAnsi" w:hAnsiTheme="minorHAnsi" w:cstheme="minorHAnsi"/>
                <w:color w:val="auto"/>
                <w:sz w:val="18"/>
                <w:szCs w:val="18"/>
              </w:rPr>
              <w:t>Second Choice Main Food</w:t>
            </w:r>
          </w:p>
        </w:tc>
      </w:tr>
      <w:tr w:rsidR="0019524F" w:rsidRPr="0019524F" w14:paraId="07275C78" w14:textId="77777777" w:rsidTr="00C6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shd w:val="clear" w:color="auto" w:fill="D9D9D9" w:themeFill="background1" w:themeFillShade="D9"/>
          </w:tcPr>
          <w:p w14:paraId="74B41F10" w14:textId="77777777" w:rsidR="005A7D7E" w:rsidRPr="0019524F" w:rsidRDefault="005A7D7E" w:rsidP="00A348EC">
            <w:pPr>
              <w:pStyle w:val="Level1"/>
              <w:numPr>
                <w:ilvl w:val="0"/>
                <w:numId w:val="0"/>
              </w:numPr>
              <w:spacing w:before="0" w:after="0" w:line="240" w:lineRule="auto"/>
              <w:jc w:val="both"/>
              <w:rPr>
                <w:rFonts w:asciiTheme="minorHAnsi" w:hAnsiTheme="minorHAnsi" w:cstheme="minorHAnsi"/>
                <w:b/>
                <w:color w:val="auto"/>
                <w:sz w:val="18"/>
                <w:szCs w:val="18"/>
              </w:rPr>
            </w:pPr>
          </w:p>
        </w:tc>
        <w:tc>
          <w:tcPr>
            <w:tcW w:w="632" w:type="dxa"/>
            <w:shd w:val="clear" w:color="auto" w:fill="D9D9D9" w:themeFill="background1" w:themeFillShade="D9"/>
          </w:tcPr>
          <w:p w14:paraId="3D18A5DE"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2</w:t>
            </w:r>
          </w:p>
        </w:tc>
        <w:tc>
          <w:tcPr>
            <w:tcW w:w="743" w:type="dxa"/>
            <w:shd w:val="clear" w:color="auto" w:fill="D9D9D9" w:themeFill="background1" w:themeFillShade="D9"/>
          </w:tcPr>
          <w:p w14:paraId="75A015A1"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3</w:t>
            </w:r>
          </w:p>
        </w:tc>
        <w:tc>
          <w:tcPr>
            <w:tcW w:w="631" w:type="dxa"/>
            <w:shd w:val="clear" w:color="auto" w:fill="D9D9D9" w:themeFill="background1" w:themeFillShade="D9"/>
          </w:tcPr>
          <w:p w14:paraId="196AB57B"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4</w:t>
            </w:r>
          </w:p>
        </w:tc>
        <w:tc>
          <w:tcPr>
            <w:tcW w:w="631" w:type="dxa"/>
            <w:shd w:val="clear" w:color="auto" w:fill="D9D9D9" w:themeFill="background1" w:themeFillShade="D9"/>
          </w:tcPr>
          <w:p w14:paraId="2DC0EA0E"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5</w:t>
            </w:r>
          </w:p>
        </w:tc>
        <w:tc>
          <w:tcPr>
            <w:tcW w:w="630" w:type="dxa"/>
            <w:shd w:val="clear" w:color="auto" w:fill="D9D9D9" w:themeFill="background1" w:themeFillShade="D9"/>
          </w:tcPr>
          <w:p w14:paraId="5CDFE1AB"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6</w:t>
            </w:r>
          </w:p>
        </w:tc>
        <w:tc>
          <w:tcPr>
            <w:tcW w:w="630" w:type="dxa"/>
            <w:shd w:val="clear" w:color="auto" w:fill="D9D9D9" w:themeFill="background1" w:themeFillShade="D9"/>
          </w:tcPr>
          <w:p w14:paraId="13E13B02"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7</w:t>
            </w:r>
          </w:p>
        </w:tc>
        <w:tc>
          <w:tcPr>
            <w:tcW w:w="630" w:type="dxa"/>
            <w:shd w:val="clear" w:color="auto" w:fill="D9D9D9" w:themeFill="background1" w:themeFillShade="D9"/>
          </w:tcPr>
          <w:p w14:paraId="42A1860E"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8</w:t>
            </w:r>
          </w:p>
        </w:tc>
        <w:tc>
          <w:tcPr>
            <w:tcW w:w="630" w:type="dxa"/>
            <w:shd w:val="clear" w:color="auto" w:fill="D9D9D9" w:themeFill="background1" w:themeFillShade="D9"/>
          </w:tcPr>
          <w:p w14:paraId="49A0A81E"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2</w:t>
            </w:r>
          </w:p>
        </w:tc>
        <w:tc>
          <w:tcPr>
            <w:tcW w:w="743" w:type="dxa"/>
            <w:shd w:val="clear" w:color="auto" w:fill="D9D9D9" w:themeFill="background1" w:themeFillShade="D9"/>
          </w:tcPr>
          <w:p w14:paraId="335E695B"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3</w:t>
            </w:r>
          </w:p>
        </w:tc>
        <w:tc>
          <w:tcPr>
            <w:tcW w:w="630" w:type="dxa"/>
            <w:shd w:val="clear" w:color="auto" w:fill="D9D9D9" w:themeFill="background1" w:themeFillShade="D9"/>
          </w:tcPr>
          <w:p w14:paraId="47FC9576"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4</w:t>
            </w:r>
          </w:p>
        </w:tc>
        <w:tc>
          <w:tcPr>
            <w:tcW w:w="631" w:type="dxa"/>
            <w:shd w:val="clear" w:color="auto" w:fill="D9D9D9" w:themeFill="background1" w:themeFillShade="D9"/>
          </w:tcPr>
          <w:p w14:paraId="3FFE9BB2"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5</w:t>
            </w:r>
          </w:p>
        </w:tc>
        <w:tc>
          <w:tcPr>
            <w:tcW w:w="631" w:type="dxa"/>
            <w:shd w:val="clear" w:color="auto" w:fill="D9D9D9" w:themeFill="background1" w:themeFillShade="D9"/>
          </w:tcPr>
          <w:p w14:paraId="25A7CE9D"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6</w:t>
            </w:r>
          </w:p>
        </w:tc>
        <w:tc>
          <w:tcPr>
            <w:tcW w:w="631" w:type="dxa"/>
            <w:shd w:val="clear" w:color="auto" w:fill="D9D9D9" w:themeFill="background1" w:themeFillShade="D9"/>
          </w:tcPr>
          <w:p w14:paraId="31AE136F"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7</w:t>
            </w:r>
          </w:p>
        </w:tc>
        <w:tc>
          <w:tcPr>
            <w:tcW w:w="630" w:type="dxa"/>
            <w:shd w:val="clear" w:color="auto" w:fill="D9D9D9" w:themeFill="background1" w:themeFillShade="D9"/>
          </w:tcPr>
          <w:p w14:paraId="7E2C5E37" w14:textId="77777777" w:rsidR="005A7D7E" w:rsidRPr="0019524F"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9524F">
              <w:rPr>
                <w:rFonts w:asciiTheme="minorHAnsi" w:hAnsiTheme="minorHAnsi" w:cstheme="minorHAnsi"/>
                <w:b/>
                <w:color w:val="auto"/>
                <w:sz w:val="18"/>
                <w:szCs w:val="18"/>
              </w:rPr>
              <w:t>8</w:t>
            </w:r>
          </w:p>
        </w:tc>
      </w:tr>
      <w:tr w:rsidR="0019524F" w:rsidRPr="0019524F" w14:paraId="54754E09" w14:textId="77777777" w:rsidTr="001952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0C131E12" w14:textId="77777777" w:rsidR="005A7D7E" w:rsidRPr="0019524F" w:rsidRDefault="005A7D7E" w:rsidP="00A348EC">
            <w:pPr>
              <w:pStyle w:val="Level1"/>
              <w:numPr>
                <w:ilvl w:val="0"/>
                <w:numId w:val="0"/>
              </w:numPr>
              <w:spacing w:before="0" w:after="0" w:line="240" w:lineRule="auto"/>
              <w:jc w:val="center"/>
              <w:rPr>
                <w:rFonts w:asciiTheme="minorHAnsi" w:hAnsiTheme="minorHAnsi" w:cstheme="minorHAnsi"/>
                <w:b/>
                <w:color w:val="auto"/>
                <w:sz w:val="18"/>
                <w:szCs w:val="18"/>
              </w:rPr>
            </w:pPr>
            <w:r w:rsidRPr="0019524F">
              <w:rPr>
                <w:rFonts w:asciiTheme="minorHAnsi" w:hAnsiTheme="minorHAnsi" w:cstheme="minorHAnsi"/>
                <w:b/>
                <w:color w:val="auto"/>
                <w:sz w:val="18"/>
                <w:szCs w:val="18"/>
              </w:rPr>
              <w:t>2013 Retail Study</w:t>
            </w:r>
          </w:p>
        </w:tc>
      </w:tr>
      <w:tr w:rsidR="0019524F" w:rsidRPr="0019524F" w14:paraId="3D480365" w14:textId="77777777" w:rsidTr="00195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shd w:val="clear" w:color="auto" w:fill="auto"/>
          </w:tcPr>
          <w:p w14:paraId="333FA3A2" w14:textId="21A92C8A" w:rsidR="00C60F0E" w:rsidRPr="0019524F" w:rsidRDefault="00C60F0E" w:rsidP="00C60F0E">
            <w:pPr>
              <w:pStyle w:val="Level1"/>
              <w:numPr>
                <w:ilvl w:val="0"/>
                <w:numId w:val="0"/>
              </w:numPr>
              <w:spacing w:before="0" w:after="0" w:line="240" w:lineRule="auto"/>
              <w:jc w:val="both"/>
              <w:rPr>
                <w:rFonts w:asciiTheme="minorHAnsi" w:hAnsiTheme="minorHAnsi" w:cstheme="minorHAnsi"/>
                <w:bCs/>
                <w:color w:val="auto"/>
                <w:sz w:val="18"/>
                <w:szCs w:val="18"/>
              </w:rPr>
            </w:pPr>
            <w:r w:rsidRPr="0019524F">
              <w:rPr>
                <w:rFonts w:asciiTheme="minorHAnsi" w:hAnsiTheme="minorHAnsi" w:cstheme="minorHAnsi"/>
                <w:bCs/>
                <w:color w:val="auto"/>
                <w:sz w:val="18"/>
                <w:szCs w:val="18"/>
              </w:rPr>
              <w:t>Brixham town centre</w:t>
            </w:r>
          </w:p>
        </w:tc>
        <w:tc>
          <w:tcPr>
            <w:tcW w:w="632" w:type="dxa"/>
            <w:shd w:val="clear" w:color="auto" w:fill="auto"/>
            <w:vAlign w:val="bottom"/>
          </w:tcPr>
          <w:p w14:paraId="2B755B10" w14:textId="696BFF2B"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743" w:type="dxa"/>
            <w:shd w:val="clear" w:color="auto" w:fill="auto"/>
            <w:vAlign w:val="bottom"/>
          </w:tcPr>
          <w:p w14:paraId="50334D27" w14:textId="6F290529"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13%</w:t>
            </w:r>
          </w:p>
        </w:tc>
        <w:tc>
          <w:tcPr>
            <w:tcW w:w="631" w:type="dxa"/>
            <w:shd w:val="clear" w:color="auto" w:fill="auto"/>
            <w:vAlign w:val="bottom"/>
          </w:tcPr>
          <w:p w14:paraId="5B23B0ED" w14:textId="13B7EF5B"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1" w:type="dxa"/>
            <w:shd w:val="clear" w:color="auto" w:fill="auto"/>
            <w:vAlign w:val="bottom"/>
          </w:tcPr>
          <w:p w14:paraId="03475330" w14:textId="12663A79"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0" w:type="dxa"/>
            <w:shd w:val="clear" w:color="auto" w:fill="auto"/>
            <w:vAlign w:val="bottom"/>
          </w:tcPr>
          <w:p w14:paraId="624EF8CE" w14:textId="76DDE136"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0" w:type="dxa"/>
            <w:shd w:val="clear" w:color="auto" w:fill="auto"/>
            <w:vAlign w:val="bottom"/>
          </w:tcPr>
          <w:p w14:paraId="0AABE2AA" w14:textId="3915C9BB"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0" w:type="dxa"/>
            <w:shd w:val="clear" w:color="auto" w:fill="auto"/>
            <w:vAlign w:val="bottom"/>
          </w:tcPr>
          <w:p w14:paraId="7F23467B" w14:textId="13E8E12E"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0" w:type="dxa"/>
            <w:shd w:val="clear" w:color="auto" w:fill="auto"/>
            <w:vAlign w:val="bottom"/>
          </w:tcPr>
          <w:p w14:paraId="0753DBC4" w14:textId="681357CF"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743" w:type="dxa"/>
            <w:shd w:val="clear" w:color="auto" w:fill="auto"/>
            <w:vAlign w:val="bottom"/>
          </w:tcPr>
          <w:p w14:paraId="3722A414" w14:textId="491C7F95"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20%</w:t>
            </w:r>
          </w:p>
        </w:tc>
        <w:tc>
          <w:tcPr>
            <w:tcW w:w="630" w:type="dxa"/>
            <w:shd w:val="clear" w:color="auto" w:fill="auto"/>
            <w:vAlign w:val="bottom"/>
          </w:tcPr>
          <w:p w14:paraId="46FD5DBF" w14:textId="655759BC"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1" w:type="dxa"/>
            <w:shd w:val="clear" w:color="auto" w:fill="auto"/>
            <w:vAlign w:val="bottom"/>
          </w:tcPr>
          <w:p w14:paraId="010230FF" w14:textId="631A5CA2"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1" w:type="dxa"/>
            <w:shd w:val="clear" w:color="auto" w:fill="auto"/>
            <w:vAlign w:val="bottom"/>
          </w:tcPr>
          <w:p w14:paraId="4C1E5A7D" w14:textId="05609CCE"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1" w:type="dxa"/>
            <w:shd w:val="clear" w:color="auto" w:fill="auto"/>
            <w:vAlign w:val="bottom"/>
          </w:tcPr>
          <w:p w14:paraId="43823B90" w14:textId="666C382A"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0" w:type="dxa"/>
            <w:shd w:val="clear" w:color="auto" w:fill="auto"/>
            <w:vAlign w:val="bottom"/>
          </w:tcPr>
          <w:p w14:paraId="7633D38F" w14:textId="60B39F56"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r>
      <w:tr w:rsidR="0019524F" w:rsidRPr="0019524F" w14:paraId="5F50EA60" w14:textId="77777777" w:rsidTr="00A34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7976D832" w14:textId="77777777" w:rsidR="00C60F0E" w:rsidRPr="0019524F" w:rsidRDefault="00C60F0E" w:rsidP="00C60F0E">
            <w:pPr>
              <w:pStyle w:val="Level1"/>
              <w:numPr>
                <w:ilvl w:val="0"/>
                <w:numId w:val="0"/>
              </w:numPr>
              <w:spacing w:before="0" w:after="0" w:line="240" w:lineRule="auto"/>
              <w:jc w:val="center"/>
              <w:rPr>
                <w:rFonts w:asciiTheme="minorHAnsi" w:hAnsiTheme="minorHAnsi" w:cstheme="minorHAnsi"/>
                <w:b/>
                <w:color w:val="auto"/>
                <w:sz w:val="18"/>
                <w:szCs w:val="18"/>
              </w:rPr>
            </w:pPr>
            <w:r w:rsidRPr="0019524F">
              <w:rPr>
                <w:rFonts w:asciiTheme="minorHAnsi" w:hAnsiTheme="minorHAnsi" w:cstheme="minorHAnsi"/>
                <w:b/>
                <w:color w:val="auto"/>
                <w:sz w:val="18"/>
                <w:szCs w:val="18"/>
              </w:rPr>
              <w:t>2022 Retail Study</w:t>
            </w:r>
          </w:p>
        </w:tc>
      </w:tr>
      <w:tr w:rsidR="0019524F" w:rsidRPr="0019524F" w14:paraId="07CCA275" w14:textId="77777777" w:rsidTr="00195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0" w:type="dxa"/>
            <w:shd w:val="clear" w:color="auto" w:fill="auto"/>
          </w:tcPr>
          <w:p w14:paraId="3E3C5A96" w14:textId="7FD129E3" w:rsidR="00C60F0E" w:rsidRPr="0019524F" w:rsidRDefault="00C60F0E" w:rsidP="00C60F0E">
            <w:pPr>
              <w:pStyle w:val="Level1"/>
              <w:numPr>
                <w:ilvl w:val="0"/>
                <w:numId w:val="0"/>
              </w:numPr>
              <w:spacing w:before="0" w:after="0" w:line="240" w:lineRule="auto"/>
              <w:jc w:val="both"/>
              <w:rPr>
                <w:rFonts w:asciiTheme="minorHAnsi" w:hAnsiTheme="minorHAnsi" w:cstheme="minorHAnsi"/>
                <w:bCs/>
                <w:color w:val="auto"/>
                <w:sz w:val="18"/>
                <w:szCs w:val="18"/>
              </w:rPr>
            </w:pPr>
            <w:r w:rsidRPr="0019524F">
              <w:rPr>
                <w:rFonts w:asciiTheme="minorHAnsi" w:hAnsiTheme="minorHAnsi" w:cstheme="minorHAnsi"/>
                <w:bCs/>
                <w:color w:val="auto"/>
                <w:sz w:val="18"/>
                <w:szCs w:val="18"/>
              </w:rPr>
              <w:t>Brixham town centre</w:t>
            </w:r>
          </w:p>
        </w:tc>
        <w:tc>
          <w:tcPr>
            <w:tcW w:w="632" w:type="dxa"/>
            <w:shd w:val="clear" w:color="auto" w:fill="auto"/>
            <w:vAlign w:val="bottom"/>
          </w:tcPr>
          <w:p w14:paraId="2C6C140B" w14:textId="16768450"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743" w:type="dxa"/>
            <w:shd w:val="clear" w:color="auto" w:fill="auto"/>
            <w:vAlign w:val="bottom"/>
          </w:tcPr>
          <w:p w14:paraId="4949C4E2" w14:textId="5389B9F0"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10%</w:t>
            </w:r>
          </w:p>
        </w:tc>
        <w:tc>
          <w:tcPr>
            <w:tcW w:w="631" w:type="dxa"/>
            <w:shd w:val="clear" w:color="auto" w:fill="auto"/>
            <w:vAlign w:val="bottom"/>
          </w:tcPr>
          <w:p w14:paraId="2E12F89B" w14:textId="6A914BD5"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1" w:type="dxa"/>
            <w:shd w:val="clear" w:color="auto" w:fill="auto"/>
            <w:vAlign w:val="bottom"/>
          </w:tcPr>
          <w:p w14:paraId="28D8185E" w14:textId="2B09E227"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0" w:type="dxa"/>
            <w:shd w:val="clear" w:color="auto" w:fill="auto"/>
            <w:vAlign w:val="bottom"/>
          </w:tcPr>
          <w:p w14:paraId="052BA19F" w14:textId="264421E0"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0" w:type="dxa"/>
            <w:shd w:val="clear" w:color="auto" w:fill="auto"/>
            <w:vAlign w:val="bottom"/>
          </w:tcPr>
          <w:p w14:paraId="75E41192" w14:textId="5F0C1131"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0" w:type="dxa"/>
            <w:shd w:val="clear" w:color="auto" w:fill="auto"/>
            <w:vAlign w:val="bottom"/>
          </w:tcPr>
          <w:p w14:paraId="498312D0" w14:textId="4C93D14F"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0" w:type="dxa"/>
            <w:shd w:val="clear" w:color="auto" w:fill="auto"/>
            <w:vAlign w:val="bottom"/>
          </w:tcPr>
          <w:p w14:paraId="44758A4E" w14:textId="5D661374"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743" w:type="dxa"/>
            <w:shd w:val="clear" w:color="auto" w:fill="auto"/>
            <w:vAlign w:val="bottom"/>
          </w:tcPr>
          <w:p w14:paraId="6C47BCE2" w14:textId="2056F408"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2</w:t>
            </w:r>
            <w:r w:rsidR="0019524F">
              <w:rPr>
                <w:rFonts w:asciiTheme="minorHAnsi" w:hAnsiTheme="minorHAnsi" w:cstheme="minorHAnsi"/>
                <w:color w:val="auto"/>
                <w:sz w:val="18"/>
                <w:szCs w:val="18"/>
              </w:rPr>
              <w:t>3</w:t>
            </w:r>
            <w:r w:rsidRPr="0019524F">
              <w:rPr>
                <w:rFonts w:asciiTheme="minorHAnsi" w:hAnsiTheme="minorHAnsi" w:cstheme="minorHAnsi"/>
                <w:color w:val="auto"/>
                <w:sz w:val="18"/>
                <w:szCs w:val="18"/>
              </w:rPr>
              <w:t>%</w:t>
            </w:r>
          </w:p>
        </w:tc>
        <w:tc>
          <w:tcPr>
            <w:tcW w:w="630" w:type="dxa"/>
            <w:shd w:val="clear" w:color="auto" w:fill="auto"/>
            <w:vAlign w:val="bottom"/>
          </w:tcPr>
          <w:p w14:paraId="17260F2F" w14:textId="78D1D4B1"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1" w:type="dxa"/>
            <w:shd w:val="clear" w:color="auto" w:fill="auto"/>
            <w:vAlign w:val="bottom"/>
          </w:tcPr>
          <w:p w14:paraId="2A2132E6" w14:textId="0DF18E48"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1" w:type="dxa"/>
            <w:shd w:val="clear" w:color="auto" w:fill="auto"/>
            <w:vAlign w:val="bottom"/>
          </w:tcPr>
          <w:p w14:paraId="56AA7D91" w14:textId="149A364B"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1" w:type="dxa"/>
            <w:shd w:val="clear" w:color="auto" w:fill="auto"/>
            <w:vAlign w:val="bottom"/>
          </w:tcPr>
          <w:p w14:paraId="659FFF9C" w14:textId="27354E42"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c>
          <w:tcPr>
            <w:tcW w:w="630" w:type="dxa"/>
            <w:shd w:val="clear" w:color="auto" w:fill="auto"/>
            <w:vAlign w:val="bottom"/>
          </w:tcPr>
          <w:p w14:paraId="461DFF01" w14:textId="5431C4F9" w:rsidR="00C60F0E" w:rsidRPr="0019524F"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9524F">
              <w:rPr>
                <w:rFonts w:asciiTheme="minorHAnsi" w:hAnsiTheme="minorHAnsi" w:cstheme="minorHAnsi"/>
                <w:color w:val="auto"/>
                <w:sz w:val="18"/>
                <w:szCs w:val="18"/>
              </w:rPr>
              <w:t>0%</w:t>
            </w:r>
          </w:p>
        </w:tc>
      </w:tr>
    </w:tbl>
    <w:p w14:paraId="0FC69C38" w14:textId="2B745832" w:rsidR="005A7D7E" w:rsidRDefault="005A7D7E" w:rsidP="005A7D7E">
      <w:pPr>
        <w:pStyle w:val="Level1"/>
        <w:numPr>
          <w:ilvl w:val="0"/>
          <w:numId w:val="0"/>
        </w:numPr>
        <w:ind w:left="720"/>
      </w:pPr>
      <w:r>
        <w:t xml:space="preserve">    </w:t>
      </w:r>
    </w:p>
    <w:p w14:paraId="2968407F" w14:textId="1F7F02CF" w:rsidR="00E51D1B" w:rsidRDefault="00E51D1B" w:rsidP="005A7D7E">
      <w:pPr>
        <w:pStyle w:val="Level1"/>
        <w:numPr>
          <w:ilvl w:val="0"/>
          <w:numId w:val="0"/>
        </w:numPr>
        <w:ind w:left="720"/>
      </w:pPr>
    </w:p>
    <w:p w14:paraId="5163D3B4" w14:textId="1AD4A039" w:rsidR="005A7D7E" w:rsidRPr="00EA138F" w:rsidRDefault="005A7D7E" w:rsidP="005A7D7E">
      <w:pPr>
        <w:pStyle w:val="Level1"/>
        <w:numPr>
          <w:ilvl w:val="0"/>
          <w:numId w:val="0"/>
        </w:numPr>
        <w:ind w:left="720"/>
        <w:jc w:val="both"/>
        <w:rPr>
          <w:rStyle w:val="Emphasis"/>
        </w:rPr>
      </w:pPr>
      <w:r>
        <w:rPr>
          <w:rStyle w:val="Emphasis"/>
        </w:rPr>
        <w:lastRenderedPageBreak/>
        <w:t>Table 4.17: first and second choice top-up food shopping market shares associated with Brixham town centre (2013 and 2022 retail studies)</w:t>
      </w:r>
    </w:p>
    <w:tbl>
      <w:tblPr>
        <w:tblStyle w:val="CustomTable2"/>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631"/>
        <w:gridCol w:w="743"/>
        <w:gridCol w:w="716"/>
        <w:gridCol w:w="630"/>
        <w:gridCol w:w="630"/>
        <w:gridCol w:w="630"/>
        <w:gridCol w:w="630"/>
        <w:gridCol w:w="630"/>
        <w:gridCol w:w="743"/>
        <w:gridCol w:w="716"/>
        <w:gridCol w:w="630"/>
        <w:gridCol w:w="630"/>
        <w:gridCol w:w="630"/>
        <w:gridCol w:w="628"/>
      </w:tblGrid>
      <w:tr w:rsidR="0052574B" w:rsidRPr="0052574B" w14:paraId="4705E53E" w14:textId="77777777" w:rsidTr="00C6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D9D9D9" w:themeFill="background1" w:themeFillShade="D9"/>
          </w:tcPr>
          <w:p w14:paraId="7DBD858A" w14:textId="77777777" w:rsidR="005A7D7E" w:rsidRPr="0052574B" w:rsidRDefault="005A7D7E" w:rsidP="00A348EC">
            <w:pPr>
              <w:pStyle w:val="Level1"/>
              <w:numPr>
                <w:ilvl w:val="0"/>
                <w:numId w:val="0"/>
              </w:numPr>
              <w:spacing w:before="0" w:after="0" w:line="240" w:lineRule="auto"/>
              <w:jc w:val="both"/>
              <w:rPr>
                <w:rFonts w:asciiTheme="minorHAnsi" w:hAnsiTheme="minorHAnsi" w:cstheme="minorHAnsi"/>
                <w:color w:val="auto"/>
                <w:sz w:val="18"/>
                <w:szCs w:val="18"/>
              </w:rPr>
            </w:pPr>
            <w:r w:rsidRPr="0052574B">
              <w:rPr>
                <w:rFonts w:asciiTheme="minorHAnsi" w:hAnsiTheme="minorHAnsi" w:cstheme="minorHAnsi"/>
                <w:color w:val="auto"/>
                <w:sz w:val="18"/>
                <w:szCs w:val="18"/>
              </w:rPr>
              <w:t>CENTRE</w:t>
            </w:r>
          </w:p>
        </w:tc>
        <w:tc>
          <w:tcPr>
            <w:tcW w:w="4610" w:type="dxa"/>
            <w:gridSpan w:val="7"/>
            <w:shd w:val="clear" w:color="auto" w:fill="D9D9D9" w:themeFill="background1" w:themeFillShade="D9"/>
          </w:tcPr>
          <w:p w14:paraId="6AB90793" w14:textId="77777777" w:rsidR="005A7D7E" w:rsidRPr="0052574B" w:rsidRDefault="005A7D7E" w:rsidP="00A348EC">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52574B">
              <w:rPr>
                <w:rFonts w:asciiTheme="minorHAnsi" w:hAnsiTheme="minorHAnsi" w:cstheme="minorHAnsi"/>
                <w:color w:val="auto"/>
                <w:sz w:val="18"/>
                <w:szCs w:val="18"/>
              </w:rPr>
              <w:t>First Choice Top-Up Food</w:t>
            </w:r>
          </w:p>
        </w:tc>
        <w:tc>
          <w:tcPr>
            <w:tcW w:w="4607" w:type="dxa"/>
            <w:gridSpan w:val="7"/>
            <w:shd w:val="clear" w:color="auto" w:fill="D9D9D9" w:themeFill="background1" w:themeFillShade="D9"/>
          </w:tcPr>
          <w:p w14:paraId="576489C3" w14:textId="77777777" w:rsidR="005A7D7E" w:rsidRPr="0052574B" w:rsidRDefault="005A7D7E" w:rsidP="00A348EC">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52574B">
              <w:rPr>
                <w:rFonts w:asciiTheme="minorHAnsi" w:hAnsiTheme="minorHAnsi" w:cstheme="minorHAnsi"/>
                <w:color w:val="auto"/>
                <w:sz w:val="18"/>
                <w:szCs w:val="18"/>
              </w:rPr>
              <w:t>Second Choice Top-Up Food</w:t>
            </w:r>
          </w:p>
        </w:tc>
      </w:tr>
      <w:tr w:rsidR="0052574B" w:rsidRPr="0052574B" w14:paraId="182602AF" w14:textId="77777777" w:rsidTr="00C6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D9D9D9" w:themeFill="background1" w:themeFillShade="D9"/>
          </w:tcPr>
          <w:p w14:paraId="4838487A" w14:textId="77777777" w:rsidR="005A7D7E" w:rsidRPr="0052574B" w:rsidRDefault="005A7D7E" w:rsidP="00A348EC">
            <w:pPr>
              <w:pStyle w:val="Level1"/>
              <w:numPr>
                <w:ilvl w:val="0"/>
                <w:numId w:val="0"/>
              </w:numPr>
              <w:spacing w:before="0" w:after="0" w:line="240" w:lineRule="auto"/>
              <w:jc w:val="both"/>
              <w:rPr>
                <w:rFonts w:asciiTheme="minorHAnsi" w:hAnsiTheme="minorHAnsi" w:cstheme="minorHAnsi"/>
                <w:b/>
                <w:color w:val="auto"/>
                <w:sz w:val="18"/>
                <w:szCs w:val="18"/>
              </w:rPr>
            </w:pPr>
          </w:p>
        </w:tc>
        <w:tc>
          <w:tcPr>
            <w:tcW w:w="631" w:type="dxa"/>
            <w:shd w:val="clear" w:color="auto" w:fill="D9D9D9" w:themeFill="background1" w:themeFillShade="D9"/>
          </w:tcPr>
          <w:p w14:paraId="324138B4"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2</w:t>
            </w:r>
          </w:p>
        </w:tc>
        <w:tc>
          <w:tcPr>
            <w:tcW w:w="743" w:type="dxa"/>
            <w:shd w:val="clear" w:color="auto" w:fill="D9D9D9" w:themeFill="background1" w:themeFillShade="D9"/>
          </w:tcPr>
          <w:p w14:paraId="0B2916B4"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3</w:t>
            </w:r>
          </w:p>
        </w:tc>
        <w:tc>
          <w:tcPr>
            <w:tcW w:w="716" w:type="dxa"/>
            <w:shd w:val="clear" w:color="auto" w:fill="D9D9D9" w:themeFill="background1" w:themeFillShade="D9"/>
          </w:tcPr>
          <w:p w14:paraId="4258AB8A"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4</w:t>
            </w:r>
          </w:p>
        </w:tc>
        <w:tc>
          <w:tcPr>
            <w:tcW w:w="630" w:type="dxa"/>
            <w:shd w:val="clear" w:color="auto" w:fill="D9D9D9" w:themeFill="background1" w:themeFillShade="D9"/>
          </w:tcPr>
          <w:p w14:paraId="5EB9B728"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5</w:t>
            </w:r>
          </w:p>
        </w:tc>
        <w:tc>
          <w:tcPr>
            <w:tcW w:w="630" w:type="dxa"/>
            <w:shd w:val="clear" w:color="auto" w:fill="D9D9D9" w:themeFill="background1" w:themeFillShade="D9"/>
          </w:tcPr>
          <w:p w14:paraId="15B45433"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6</w:t>
            </w:r>
          </w:p>
        </w:tc>
        <w:tc>
          <w:tcPr>
            <w:tcW w:w="630" w:type="dxa"/>
            <w:shd w:val="clear" w:color="auto" w:fill="D9D9D9" w:themeFill="background1" w:themeFillShade="D9"/>
          </w:tcPr>
          <w:p w14:paraId="420ED3C3"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7</w:t>
            </w:r>
          </w:p>
        </w:tc>
        <w:tc>
          <w:tcPr>
            <w:tcW w:w="630" w:type="dxa"/>
            <w:shd w:val="clear" w:color="auto" w:fill="D9D9D9" w:themeFill="background1" w:themeFillShade="D9"/>
          </w:tcPr>
          <w:p w14:paraId="4DDEB243"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8</w:t>
            </w:r>
          </w:p>
        </w:tc>
        <w:tc>
          <w:tcPr>
            <w:tcW w:w="630" w:type="dxa"/>
            <w:shd w:val="clear" w:color="auto" w:fill="D9D9D9" w:themeFill="background1" w:themeFillShade="D9"/>
          </w:tcPr>
          <w:p w14:paraId="736986AF"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2</w:t>
            </w:r>
          </w:p>
        </w:tc>
        <w:tc>
          <w:tcPr>
            <w:tcW w:w="743" w:type="dxa"/>
            <w:shd w:val="clear" w:color="auto" w:fill="D9D9D9" w:themeFill="background1" w:themeFillShade="D9"/>
          </w:tcPr>
          <w:p w14:paraId="3260D951"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3</w:t>
            </w:r>
          </w:p>
        </w:tc>
        <w:tc>
          <w:tcPr>
            <w:tcW w:w="716" w:type="dxa"/>
            <w:shd w:val="clear" w:color="auto" w:fill="D9D9D9" w:themeFill="background1" w:themeFillShade="D9"/>
          </w:tcPr>
          <w:p w14:paraId="487DC813"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4</w:t>
            </w:r>
          </w:p>
        </w:tc>
        <w:tc>
          <w:tcPr>
            <w:tcW w:w="630" w:type="dxa"/>
            <w:shd w:val="clear" w:color="auto" w:fill="D9D9D9" w:themeFill="background1" w:themeFillShade="D9"/>
          </w:tcPr>
          <w:p w14:paraId="1C715DF7"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5</w:t>
            </w:r>
          </w:p>
        </w:tc>
        <w:tc>
          <w:tcPr>
            <w:tcW w:w="630" w:type="dxa"/>
            <w:shd w:val="clear" w:color="auto" w:fill="D9D9D9" w:themeFill="background1" w:themeFillShade="D9"/>
          </w:tcPr>
          <w:p w14:paraId="442E9722"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6</w:t>
            </w:r>
          </w:p>
        </w:tc>
        <w:tc>
          <w:tcPr>
            <w:tcW w:w="630" w:type="dxa"/>
            <w:shd w:val="clear" w:color="auto" w:fill="D9D9D9" w:themeFill="background1" w:themeFillShade="D9"/>
          </w:tcPr>
          <w:p w14:paraId="4A68DB5A"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7</w:t>
            </w:r>
          </w:p>
        </w:tc>
        <w:tc>
          <w:tcPr>
            <w:tcW w:w="628" w:type="dxa"/>
            <w:shd w:val="clear" w:color="auto" w:fill="D9D9D9" w:themeFill="background1" w:themeFillShade="D9"/>
          </w:tcPr>
          <w:p w14:paraId="33B3EA08" w14:textId="77777777" w:rsidR="005A7D7E" w:rsidRPr="0052574B" w:rsidRDefault="005A7D7E" w:rsidP="00A348EC">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52574B">
              <w:rPr>
                <w:rFonts w:asciiTheme="minorHAnsi" w:hAnsiTheme="minorHAnsi" w:cstheme="minorHAnsi"/>
                <w:b/>
                <w:color w:val="auto"/>
                <w:sz w:val="18"/>
                <w:szCs w:val="18"/>
              </w:rPr>
              <w:t>8</w:t>
            </w:r>
          </w:p>
        </w:tc>
      </w:tr>
      <w:tr w:rsidR="0052574B" w:rsidRPr="0052574B" w14:paraId="45D18B71" w14:textId="77777777" w:rsidTr="00A34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0541BBE2" w14:textId="77777777" w:rsidR="005A7D7E" w:rsidRPr="0052574B" w:rsidRDefault="005A7D7E" w:rsidP="00A348EC">
            <w:pPr>
              <w:pStyle w:val="Level1"/>
              <w:numPr>
                <w:ilvl w:val="0"/>
                <w:numId w:val="0"/>
              </w:numPr>
              <w:spacing w:before="0" w:after="0" w:line="240" w:lineRule="auto"/>
              <w:jc w:val="center"/>
              <w:rPr>
                <w:rFonts w:asciiTheme="minorHAnsi" w:hAnsiTheme="minorHAnsi" w:cstheme="minorHAnsi"/>
                <w:b/>
                <w:color w:val="auto"/>
                <w:sz w:val="18"/>
                <w:szCs w:val="18"/>
              </w:rPr>
            </w:pPr>
            <w:r w:rsidRPr="0052574B">
              <w:rPr>
                <w:rFonts w:asciiTheme="minorHAnsi" w:hAnsiTheme="minorHAnsi" w:cstheme="minorHAnsi"/>
                <w:b/>
                <w:color w:val="auto"/>
                <w:sz w:val="18"/>
                <w:szCs w:val="18"/>
              </w:rPr>
              <w:t>2013 Retail Study</w:t>
            </w:r>
          </w:p>
        </w:tc>
      </w:tr>
      <w:tr w:rsidR="0052574B" w:rsidRPr="0052574B" w14:paraId="2F23549E" w14:textId="77777777" w:rsidTr="00525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14:paraId="12DF4CB0" w14:textId="70467B7A" w:rsidR="00C60F0E" w:rsidRPr="0052574B" w:rsidRDefault="00C60F0E" w:rsidP="00C60F0E">
            <w:pPr>
              <w:pStyle w:val="Level1"/>
              <w:numPr>
                <w:ilvl w:val="0"/>
                <w:numId w:val="0"/>
              </w:numPr>
              <w:spacing w:before="0" w:after="0" w:line="240" w:lineRule="auto"/>
              <w:jc w:val="both"/>
              <w:rPr>
                <w:rFonts w:asciiTheme="minorHAnsi" w:hAnsiTheme="minorHAnsi" w:cstheme="minorHAnsi"/>
                <w:bCs/>
                <w:color w:val="auto"/>
                <w:sz w:val="18"/>
                <w:szCs w:val="18"/>
              </w:rPr>
            </w:pPr>
            <w:r w:rsidRPr="0052574B">
              <w:rPr>
                <w:rFonts w:asciiTheme="minorHAnsi" w:hAnsiTheme="minorHAnsi" w:cstheme="minorHAnsi"/>
                <w:bCs/>
                <w:color w:val="auto"/>
                <w:sz w:val="18"/>
                <w:szCs w:val="18"/>
              </w:rPr>
              <w:t>Brixham town centre</w:t>
            </w:r>
          </w:p>
        </w:tc>
        <w:tc>
          <w:tcPr>
            <w:tcW w:w="631" w:type="dxa"/>
            <w:shd w:val="clear" w:color="auto" w:fill="auto"/>
            <w:vAlign w:val="bottom"/>
          </w:tcPr>
          <w:p w14:paraId="1B8DBF3A" w14:textId="7D3CF931"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743" w:type="dxa"/>
            <w:shd w:val="clear" w:color="auto" w:fill="auto"/>
            <w:vAlign w:val="bottom"/>
          </w:tcPr>
          <w:p w14:paraId="27EDCBE5" w14:textId="2730B6FA"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35%</w:t>
            </w:r>
          </w:p>
        </w:tc>
        <w:tc>
          <w:tcPr>
            <w:tcW w:w="716" w:type="dxa"/>
            <w:shd w:val="clear" w:color="auto" w:fill="auto"/>
            <w:vAlign w:val="bottom"/>
          </w:tcPr>
          <w:p w14:paraId="68B3D007" w14:textId="12E85723"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30" w:type="dxa"/>
            <w:shd w:val="clear" w:color="auto" w:fill="auto"/>
            <w:vAlign w:val="bottom"/>
          </w:tcPr>
          <w:p w14:paraId="55409374" w14:textId="766383AC"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30" w:type="dxa"/>
            <w:shd w:val="clear" w:color="auto" w:fill="auto"/>
            <w:vAlign w:val="bottom"/>
          </w:tcPr>
          <w:p w14:paraId="2965AD19" w14:textId="62BF52E5"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30" w:type="dxa"/>
            <w:shd w:val="clear" w:color="auto" w:fill="auto"/>
            <w:vAlign w:val="bottom"/>
          </w:tcPr>
          <w:p w14:paraId="3CAE5766" w14:textId="60DC0D4E"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30" w:type="dxa"/>
            <w:shd w:val="clear" w:color="auto" w:fill="auto"/>
            <w:vAlign w:val="bottom"/>
          </w:tcPr>
          <w:p w14:paraId="075BAA31" w14:textId="74F75BAC"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30" w:type="dxa"/>
            <w:shd w:val="clear" w:color="auto" w:fill="auto"/>
            <w:vAlign w:val="bottom"/>
          </w:tcPr>
          <w:p w14:paraId="629CCDE0" w14:textId="5084DCBB"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743" w:type="dxa"/>
            <w:shd w:val="clear" w:color="auto" w:fill="auto"/>
            <w:vAlign w:val="bottom"/>
          </w:tcPr>
          <w:p w14:paraId="3492ED6E" w14:textId="1414C688"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51%</w:t>
            </w:r>
          </w:p>
        </w:tc>
        <w:tc>
          <w:tcPr>
            <w:tcW w:w="716" w:type="dxa"/>
            <w:shd w:val="clear" w:color="auto" w:fill="auto"/>
            <w:vAlign w:val="bottom"/>
          </w:tcPr>
          <w:p w14:paraId="03AB73C0" w14:textId="7C1105A7"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2%</w:t>
            </w:r>
          </w:p>
        </w:tc>
        <w:tc>
          <w:tcPr>
            <w:tcW w:w="630" w:type="dxa"/>
            <w:shd w:val="clear" w:color="auto" w:fill="auto"/>
            <w:vAlign w:val="bottom"/>
          </w:tcPr>
          <w:p w14:paraId="6384379B" w14:textId="3412C4FD"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30" w:type="dxa"/>
            <w:shd w:val="clear" w:color="auto" w:fill="auto"/>
            <w:vAlign w:val="bottom"/>
          </w:tcPr>
          <w:p w14:paraId="6256319D" w14:textId="4F1BF859"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30" w:type="dxa"/>
            <w:shd w:val="clear" w:color="auto" w:fill="auto"/>
            <w:vAlign w:val="bottom"/>
          </w:tcPr>
          <w:p w14:paraId="1FBA3AFD" w14:textId="7F135162"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28" w:type="dxa"/>
            <w:shd w:val="clear" w:color="auto" w:fill="auto"/>
            <w:vAlign w:val="bottom"/>
          </w:tcPr>
          <w:p w14:paraId="4675C56A" w14:textId="232621C0"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r>
      <w:tr w:rsidR="0052574B" w:rsidRPr="0052574B" w14:paraId="4B71AD6E" w14:textId="77777777" w:rsidTr="00A34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015C428C" w14:textId="77777777" w:rsidR="00C60F0E" w:rsidRPr="0052574B" w:rsidRDefault="00C60F0E" w:rsidP="00C60F0E">
            <w:pPr>
              <w:pStyle w:val="Level1"/>
              <w:numPr>
                <w:ilvl w:val="0"/>
                <w:numId w:val="0"/>
              </w:numPr>
              <w:spacing w:before="0" w:after="0" w:line="240" w:lineRule="auto"/>
              <w:jc w:val="center"/>
              <w:rPr>
                <w:rFonts w:asciiTheme="minorHAnsi" w:hAnsiTheme="minorHAnsi" w:cstheme="minorHAnsi"/>
                <w:b/>
                <w:color w:val="auto"/>
                <w:sz w:val="18"/>
                <w:szCs w:val="18"/>
              </w:rPr>
            </w:pPr>
            <w:r w:rsidRPr="0052574B">
              <w:rPr>
                <w:rFonts w:asciiTheme="minorHAnsi" w:hAnsiTheme="minorHAnsi" w:cstheme="minorHAnsi"/>
                <w:b/>
                <w:color w:val="auto"/>
                <w:sz w:val="18"/>
                <w:szCs w:val="18"/>
              </w:rPr>
              <w:t>2022 Retail Study</w:t>
            </w:r>
          </w:p>
        </w:tc>
      </w:tr>
      <w:tr w:rsidR="0052574B" w:rsidRPr="0052574B" w14:paraId="1CA626C3" w14:textId="77777777" w:rsidTr="00525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6" w:type="dxa"/>
            <w:shd w:val="clear" w:color="auto" w:fill="auto"/>
          </w:tcPr>
          <w:p w14:paraId="6317341F" w14:textId="1E2DCD74" w:rsidR="00C60F0E" w:rsidRPr="0052574B" w:rsidRDefault="00C60F0E" w:rsidP="00C60F0E">
            <w:pPr>
              <w:pStyle w:val="Level1"/>
              <w:numPr>
                <w:ilvl w:val="0"/>
                <w:numId w:val="0"/>
              </w:numPr>
              <w:spacing w:before="0" w:after="0" w:line="240" w:lineRule="auto"/>
              <w:jc w:val="both"/>
              <w:rPr>
                <w:rFonts w:asciiTheme="minorHAnsi" w:hAnsiTheme="minorHAnsi" w:cstheme="minorHAnsi"/>
                <w:bCs/>
                <w:color w:val="auto"/>
                <w:sz w:val="18"/>
                <w:szCs w:val="18"/>
              </w:rPr>
            </w:pPr>
            <w:r w:rsidRPr="0052574B">
              <w:rPr>
                <w:rFonts w:asciiTheme="minorHAnsi" w:hAnsiTheme="minorHAnsi" w:cstheme="minorHAnsi"/>
                <w:bCs/>
                <w:color w:val="auto"/>
                <w:sz w:val="18"/>
                <w:szCs w:val="18"/>
              </w:rPr>
              <w:t>Brixham town centre</w:t>
            </w:r>
          </w:p>
        </w:tc>
        <w:tc>
          <w:tcPr>
            <w:tcW w:w="631" w:type="dxa"/>
            <w:shd w:val="clear" w:color="auto" w:fill="auto"/>
            <w:vAlign w:val="bottom"/>
          </w:tcPr>
          <w:p w14:paraId="0C37626E" w14:textId="0FC3771A"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743" w:type="dxa"/>
            <w:shd w:val="clear" w:color="auto" w:fill="auto"/>
            <w:vAlign w:val="bottom"/>
          </w:tcPr>
          <w:p w14:paraId="43C7CF48" w14:textId="7EFEA866"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3</w:t>
            </w:r>
            <w:r w:rsidR="0052574B">
              <w:rPr>
                <w:rFonts w:asciiTheme="minorHAnsi" w:hAnsiTheme="minorHAnsi" w:cstheme="minorHAnsi"/>
                <w:color w:val="auto"/>
                <w:sz w:val="18"/>
                <w:szCs w:val="18"/>
              </w:rPr>
              <w:t>9</w:t>
            </w:r>
            <w:r w:rsidRPr="0052574B">
              <w:rPr>
                <w:rFonts w:asciiTheme="minorHAnsi" w:hAnsiTheme="minorHAnsi" w:cstheme="minorHAnsi"/>
                <w:color w:val="auto"/>
                <w:sz w:val="18"/>
                <w:szCs w:val="18"/>
              </w:rPr>
              <w:t>%</w:t>
            </w:r>
          </w:p>
        </w:tc>
        <w:tc>
          <w:tcPr>
            <w:tcW w:w="716" w:type="dxa"/>
            <w:shd w:val="clear" w:color="auto" w:fill="auto"/>
            <w:vAlign w:val="bottom"/>
          </w:tcPr>
          <w:p w14:paraId="6367D545" w14:textId="0A8F58FA"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0.4%</w:t>
            </w:r>
          </w:p>
        </w:tc>
        <w:tc>
          <w:tcPr>
            <w:tcW w:w="630" w:type="dxa"/>
            <w:shd w:val="clear" w:color="auto" w:fill="auto"/>
            <w:vAlign w:val="bottom"/>
          </w:tcPr>
          <w:p w14:paraId="216DA949" w14:textId="2B958195"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r w:rsidR="0052574B">
              <w:rPr>
                <w:rFonts w:asciiTheme="minorHAnsi" w:hAnsiTheme="minorHAnsi" w:cstheme="minorHAnsi"/>
                <w:color w:val="auto"/>
                <w:sz w:val="18"/>
                <w:szCs w:val="18"/>
              </w:rPr>
              <w:t>4</w:t>
            </w:r>
            <w:r w:rsidRPr="0052574B">
              <w:rPr>
                <w:rFonts w:asciiTheme="minorHAnsi" w:hAnsiTheme="minorHAnsi" w:cstheme="minorHAnsi"/>
                <w:color w:val="auto"/>
                <w:sz w:val="18"/>
                <w:szCs w:val="18"/>
              </w:rPr>
              <w:t>%</w:t>
            </w:r>
          </w:p>
        </w:tc>
        <w:tc>
          <w:tcPr>
            <w:tcW w:w="630" w:type="dxa"/>
            <w:shd w:val="clear" w:color="auto" w:fill="auto"/>
            <w:vAlign w:val="bottom"/>
          </w:tcPr>
          <w:p w14:paraId="07041A9B" w14:textId="1FE3372B"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30" w:type="dxa"/>
            <w:shd w:val="clear" w:color="auto" w:fill="auto"/>
            <w:vAlign w:val="bottom"/>
          </w:tcPr>
          <w:p w14:paraId="437D71EB" w14:textId="29287459"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30" w:type="dxa"/>
            <w:shd w:val="clear" w:color="auto" w:fill="auto"/>
            <w:vAlign w:val="bottom"/>
          </w:tcPr>
          <w:p w14:paraId="3E881465" w14:textId="7FCF3C94"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30" w:type="dxa"/>
            <w:shd w:val="clear" w:color="auto" w:fill="auto"/>
            <w:vAlign w:val="bottom"/>
          </w:tcPr>
          <w:p w14:paraId="0583403C" w14:textId="27409547"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743" w:type="dxa"/>
            <w:shd w:val="clear" w:color="auto" w:fill="auto"/>
            <w:vAlign w:val="bottom"/>
          </w:tcPr>
          <w:p w14:paraId="1743F399" w14:textId="56668B71"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1</w:t>
            </w:r>
            <w:r w:rsidR="0052574B">
              <w:rPr>
                <w:rFonts w:asciiTheme="minorHAnsi" w:hAnsiTheme="minorHAnsi" w:cstheme="minorHAnsi"/>
                <w:color w:val="auto"/>
                <w:sz w:val="18"/>
                <w:szCs w:val="18"/>
              </w:rPr>
              <w:t>8</w:t>
            </w:r>
            <w:r w:rsidRPr="0052574B">
              <w:rPr>
                <w:rFonts w:asciiTheme="minorHAnsi" w:hAnsiTheme="minorHAnsi" w:cstheme="minorHAnsi"/>
                <w:color w:val="auto"/>
                <w:sz w:val="18"/>
                <w:szCs w:val="18"/>
              </w:rPr>
              <w:t>%</w:t>
            </w:r>
          </w:p>
        </w:tc>
        <w:tc>
          <w:tcPr>
            <w:tcW w:w="716" w:type="dxa"/>
            <w:shd w:val="clear" w:color="auto" w:fill="auto"/>
            <w:vAlign w:val="bottom"/>
          </w:tcPr>
          <w:p w14:paraId="24E4F818" w14:textId="11B3507F"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30" w:type="dxa"/>
            <w:shd w:val="clear" w:color="auto" w:fill="auto"/>
            <w:vAlign w:val="bottom"/>
          </w:tcPr>
          <w:p w14:paraId="7F0E7D71" w14:textId="5D6E9B12"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30" w:type="dxa"/>
            <w:shd w:val="clear" w:color="auto" w:fill="auto"/>
            <w:vAlign w:val="bottom"/>
          </w:tcPr>
          <w:p w14:paraId="69EF5840" w14:textId="5105E6C3"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30" w:type="dxa"/>
            <w:shd w:val="clear" w:color="auto" w:fill="auto"/>
            <w:vAlign w:val="bottom"/>
          </w:tcPr>
          <w:p w14:paraId="1E19875D" w14:textId="155FBBCE"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c>
          <w:tcPr>
            <w:tcW w:w="628" w:type="dxa"/>
            <w:shd w:val="clear" w:color="auto" w:fill="auto"/>
            <w:vAlign w:val="bottom"/>
          </w:tcPr>
          <w:p w14:paraId="546AB4C7" w14:textId="7D62A133" w:rsidR="00C60F0E" w:rsidRPr="0052574B" w:rsidRDefault="00C60F0E" w:rsidP="00C60F0E">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52574B">
              <w:rPr>
                <w:rFonts w:asciiTheme="minorHAnsi" w:hAnsiTheme="minorHAnsi" w:cstheme="minorHAnsi"/>
                <w:color w:val="auto"/>
                <w:sz w:val="18"/>
                <w:szCs w:val="18"/>
              </w:rPr>
              <w:t>0%</w:t>
            </w:r>
          </w:p>
        </w:tc>
      </w:tr>
    </w:tbl>
    <w:p w14:paraId="7D93EA06" w14:textId="735B7EA1" w:rsidR="00A651DA" w:rsidRPr="00A93EE4" w:rsidRDefault="005A7D7E" w:rsidP="005A7D7E">
      <w:pPr>
        <w:pStyle w:val="ListBullet"/>
        <w:numPr>
          <w:ilvl w:val="0"/>
          <w:numId w:val="0"/>
        </w:numPr>
        <w:ind w:left="1077" w:hanging="357"/>
        <w:rPr>
          <w:highlight w:val="yellow"/>
        </w:rPr>
      </w:pPr>
      <w:r>
        <w:t xml:space="preserve">                                                                                                                                                                                              </w:t>
      </w:r>
    </w:p>
    <w:p w14:paraId="4E24D0ED" w14:textId="4EC1485F" w:rsidR="00630101" w:rsidRDefault="0052574B" w:rsidP="00FC7952">
      <w:pPr>
        <w:pStyle w:val="Level1"/>
        <w:jc w:val="both"/>
      </w:pPr>
      <w:r w:rsidRPr="0052574B">
        <w:t xml:space="preserve">The summary data contained in Tables 4.16 and 4.17 shows that Brixham town centre has a main and top-up food shopping catchment which is </w:t>
      </w:r>
      <w:r>
        <w:t xml:space="preserve">confined to Zone 3 only.  Due to the size of the stores present in the town centre, it is unsurprising that the town centre’s top-up food market share is higher than main food, with Table 4.17 above indicating that around one third of all </w:t>
      </w:r>
      <w:proofErr w:type="gramStart"/>
      <w:r w:rsidR="00630101">
        <w:t>first choice</w:t>
      </w:r>
      <w:proofErr w:type="gramEnd"/>
      <w:r w:rsidR="00630101">
        <w:t xml:space="preserve"> </w:t>
      </w:r>
      <w:r>
        <w:t xml:space="preserve">top-up food shopping trips from Zone 3 residents are attracted to the centre.  The </w:t>
      </w:r>
      <w:r w:rsidR="00630101">
        <w:t xml:space="preserve">(first choice) </w:t>
      </w:r>
      <w:r>
        <w:t xml:space="preserve">proportion </w:t>
      </w:r>
      <w:proofErr w:type="gramStart"/>
      <w:r>
        <w:t>at</w:t>
      </w:r>
      <w:proofErr w:type="gramEnd"/>
      <w:r>
        <w:t xml:space="preserve"> 2022 is 39%, which is a small </w:t>
      </w:r>
      <w:r w:rsidR="00E51D1B">
        <w:t>i</w:t>
      </w:r>
      <w:r>
        <w:t>ncrease in the 35% share used in the 2013 retail</w:t>
      </w:r>
      <w:r w:rsidR="00630101">
        <w:t xml:space="preserve"> study.  However, the share of second choice trips has fallen from 51% in 2013 to 18% in 2022.</w:t>
      </w:r>
    </w:p>
    <w:p w14:paraId="1AD3B638" w14:textId="77777777" w:rsidR="00385E51" w:rsidRDefault="00630101" w:rsidP="00FC7952">
      <w:pPr>
        <w:pStyle w:val="Level1"/>
        <w:jc w:val="both"/>
      </w:pPr>
      <w:r>
        <w:t>For main food shopping, the market share levels for both first choice and second choice trips amongst Zone 3 residents have not altered significantly between 2013 and 2022.  The proportion of first choice trips amongst Zone 3 residents has fallen from 13% to 10%, whilst there has been a small increase from 20% to 23% for second choice main food trips.</w:t>
      </w:r>
    </w:p>
    <w:p w14:paraId="3BC136EE" w14:textId="798C4C67" w:rsidR="009319C8" w:rsidRPr="0052574B" w:rsidRDefault="00385E51" w:rsidP="00FC7952">
      <w:pPr>
        <w:pStyle w:val="Level1"/>
        <w:jc w:val="both"/>
      </w:pPr>
      <w:r>
        <w:t>Table 4.18 below conducts a similar exercise for comparison goods trips / market share levels (by zone) for Brixham town centre between the 2013 and 2022 data.</w:t>
      </w:r>
    </w:p>
    <w:p w14:paraId="38611CE7" w14:textId="77777777" w:rsidR="00E51D1B" w:rsidRDefault="00E51D1B" w:rsidP="009319C8">
      <w:pPr>
        <w:pStyle w:val="Level1"/>
        <w:numPr>
          <w:ilvl w:val="0"/>
          <w:numId w:val="0"/>
        </w:numPr>
        <w:ind w:left="720"/>
        <w:jc w:val="both"/>
        <w:rPr>
          <w:i/>
          <w:iCs/>
        </w:rPr>
      </w:pPr>
    </w:p>
    <w:p w14:paraId="617015F9" w14:textId="77777777" w:rsidR="00E51D1B" w:rsidRDefault="00E51D1B" w:rsidP="009319C8">
      <w:pPr>
        <w:pStyle w:val="Level1"/>
        <w:numPr>
          <w:ilvl w:val="0"/>
          <w:numId w:val="0"/>
        </w:numPr>
        <w:ind w:left="720"/>
        <w:jc w:val="both"/>
        <w:rPr>
          <w:i/>
          <w:iCs/>
        </w:rPr>
      </w:pPr>
    </w:p>
    <w:p w14:paraId="5E0891F6" w14:textId="77777777" w:rsidR="00E51D1B" w:rsidRDefault="00E51D1B" w:rsidP="009319C8">
      <w:pPr>
        <w:pStyle w:val="Level1"/>
        <w:numPr>
          <w:ilvl w:val="0"/>
          <w:numId w:val="0"/>
        </w:numPr>
        <w:ind w:left="720"/>
        <w:jc w:val="both"/>
        <w:rPr>
          <w:i/>
          <w:iCs/>
        </w:rPr>
      </w:pPr>
    </w:p>
    <w:p w14:paraId="3867C523" w14:textId="77777777" w:rsidR="00E51D1B" w:rsidRDefault="00E51D1B" w:rsidP="009319C8">
      <w:pPr>
        <w:pStyle w:val="Level1"/>
        <w:numPr>
          <w:ilvl w:val="0"/>
          <w:numId w:val="0"/>
        </w:numPr>
        <w:ind w:left="720"/>
        <w:jc w:val="both"/>
        <w:rPr>
          <w:i/>
          <w:iCs/>
        </w:rPr>
      </w:pPr>
    </w:p>
    <w:p w14:paraId="7F1036B2" w14:textId="77777777" w:rsidR="00E51D1B" w:rsidRDefault="00E51D1B" w:rsidP="009319C8">
      <w:pPr>
        <w:pStyle w:val="Level1"/>
        <w:numPr>
          <w:ilvl w:val="0"/>
          <w:numId w:val="0"/>
        </w:numPr>
        <w:ind w:left="720"/>
        <w:jc w:val="both"/>
        <w:rPr>
          <w:i/>
          <w:iCs/>
        </w:rPr>
      </w:pPr>
    </w:p>
    <w:p w14:paraId="636452FC" w14:textId="77777777" w:rsidR="00E51D1B" w:rsidRDefault="00E51D1B" w:rsidP="009319C8">
      <w:pPr>
        <w:pStyle w:val="Level1"/>
        <w:numPr>
          <w:ilvl w:val="0"/>
          <w:numId w:val="0"/>
        </w:numPr>
        <w:ind w:left="720"/>
        <w:jc w:val="both"/>
        <w:rPr>
          <w:i/>
          <w:iCs/>
        </w:rPr>
      </w:pPr>
    </w:p>
    <w:p w14:paraId="4C84BFD0" w14:textId="77777777" w:rsidR="00E51D1B" w:rsidRDefault="00E51D1B" w:rsidP="009319C8">
      <w:pPr>
        <w:pStyle w:val="Level1"/>
        <w:numPr>
          <w:ilvl w:val="0"/>
          <w:numId w:val="0"/>
        </w:numPr>
        <w:ind w:left="720"/>
        <w:jc w:val="both"/>
        <w:rPr>
          <w:i/>
          <w:iCs/>
        </w:rPr>
      </w:pPr>
    </w:p>
    <w:p w14:paraId="17C4B839" w14:textId="77777777" w:rsidR="00E51D1B" w:rsidRDefault="00E51D1B" w:rsidP="009319C8">
      <w:pPr>
        <w:pStyle w:val="Level1"/>
        <w:numPr>
          <w:ilvl w:val="0"/>
          <w:numId w:val="0"/>
        </w:numPr>
        <w:ind w:left="720"/>
        <w:jc w:val="both"/>
        <w:rPr>
          <w:i/>
          <w:iCs/>
        </w:rPr>
      </w:pPr>
    </w:p>
    <w:p w14:paraId="497F15E3" w14:textId="77777777" w:rsidR="00E51D1B" w:rsidRDefault="00E51D1B" w:rsidP="009319C8">
      <w:pPr>
        <w:pStyle w:val="Level1"/>
        <w:numPr>
          <w:ilvl w:val="0"/>
          <w:numId w:val="0"/>
        </w:numPr>
        <w:ind w:left="720"/>
        <w:jc w:val="both"/>
        <w:rPr>
          <w:i/>
          <w:iCs/>
        </w:rPr>
      </w:pPr>
    </w:p>
    <w:p w14:paraId="24838C2E" w14:textId="77777777" w:rsidR="00E51D1B" w:rsidRDefault="00E51D1B" w:rsidP="009319C8">
      <w:pPr>
        <w:pStyle w:val="Level1"/>
        <w:numPr>
          <w:ilvl w:val="0"/>
          <w:numId w:val="0"/>
        </w:numPr>
        <w:ind w:left="720"/>
        <w:jc w:val="both"/>
        <w:rPr>
          <w:i/>
          <w:iCs/>
        </w:rPr>
      </w:pPr>
    </w:p>
    <w:p w14:paraId="197DCF0F" w14:textId="77777777" w:rsidR="00E51D1B" w:rsidRDefault="00E51D1B" w:rsidP="009319C8">
      <w:pPr>
        <w:pStyle w:val="Level1"/>
        <w:numPr>
          <w:ilvl w:val="0"/>
          <w:numId w:val="0"/>
        </w:numPr>
        <w:ind w:left="720"/>
        <w:jc w:val="both"/>
        <w:rPr>
          <w:i/>
          <w:iCs/>
        </w:rPr>
      </w:pPr>
    </w:p>
    <w:p w14:paraId="7E304640" w14:textId="77777777" w:rsidR="00E51D1B" w:rsidRDefault="00E51D1B" w:rsidP="009319C8">
      <w:pPr>
        <w:pStyle w:val="Level1"/>
        <w:numPr>
          <w:ilvl w:val="0"/>
          <w:numId w:val="0"/>
        </w:numPr>
        <w:ind w:left="720"/>
        <w:jc w:val="both"/>
        <w:rPr>
          <w:i/>
          <w:iCs/>
        </w:rPr>
      </w:pPr>
    </w:p>
    <w:p w14:paraId="2A2DA38A" w14:textId="0A7D263A" w:rsidR="009319C8" w:rsidRPr="00862EC4" w:rsidRDefault="009319C8" w:rsidP="009319C8">
      <w:pPr>
        <w:pStyle w:val="Level1"/>
        <w:numPr>
          <w:ilvl w:val="0"/>
          <w:numId w:val="0"/>
        </w:numPr>
        <w:ind w:left="720"/>
        <w:jc w:val="both"/>
        <w:rPr>
          <w:i/>
          <w:iCs/>
        </w:rPr>
      </w:pPr>
      <w:r w:rsidRPr="0052574B">
        <w:rPr>
          <w:i/>
          <w:iCs/>
        </w:rPr>
        <w:lastRenderedPageBreak/>
        <w:t>Table 4.1</w:t>
      </w:r>
      <w:r w:rsidR="00385E51">
        <w:rPr>
          <w:i/>
          <w:iCs/>
        </w:rPr>
        <w:t>8</w:t>
      </w:r>
      <w:r w:rsidRPr="0052574B">
        <w:rPr>
          <w:i/>
          <w:iCs/>
        </w:rPr>
        <w:t>: first and second choice comparison</w:t>
      </w:r>
      <w:r>
        <w:rPr>
          <w:i/>
          <w:iCs/>
        </w:rPr>
        <w:t xml:space="preserve"> goods </w:t>
      </w:r>
      <w:r w:rsidRPr="00862EC4">
        <w:rPr>
          <w:i/>
          <w:iCs/>
        </w:rPr>
        <w:t xml:space="preserve">market shares associated with </w:t>
      </w:r>
      <w:r>
        <w:rPr>
          <w:i/>
          <w:iCs/>
        </w:rPr>
        <w:t xml:space="preserve">Brixham </w:t>
      </w:r>
      <w:r w:rsidRPr="00862EC4">
        <w:rPr>
          <w:i/>
          <w:iCs/>
        </w:rPr>
        <w:t xml:space="preserve">town </w:t>
      </w:r>
      <w:r>
        <w:rPr>
          <w:i/>
          <w:iCs/>
        </w:rPr>
        <w:t xml:space="preserve">centre </w:t>
      </w:r>
      <w:r w:rsidRPr="00862EC4">
        <w:rPr>
          <w:i/>
          <w:iCs/>
        </w:rPr>
        <w:t>(2013 and 2022 retail studies)</w:t>
      </w:r>
    </w:p>
    <w:tbl>
      <w:tblPr>
        <w:tblStyle w:val="CustomTable2"/>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613"/>
        <w:gridCol w:w="676"/>
        <w:gridCol w:w="675"/>
        <w:gridCol w:w="668"/>
        <w:gridCol w:w="611"/>
        <w:gridCol w:w="611"/>
        <w:gridCol w:w="612"/>
        <w:gridCol w:w="673"/>
        <w:gridCol w:w="675"/>
        <w:gridCol w:w="675"/>
        <w:gridCol w:w="673"/>
        <w:gridCol w:w="611"/>
        <w:gridCol w:w="611"/>
        <w:gridCol w:w="612"/>
      </w:tblGrid>
      <w:tr w:rsidR="009319C8" w:rsidRPr="00493E12" w14:paraId="43A70C29" w14:textId="77777777" w:rsidTr="00A34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D9D9D9" w:themeFill="background1" w:themeFillShade="D9"/>
          </w:tcPr>
          <w:p w14:paraId="33E7A679" w14:textId="77777777" w:rsidR="009319C8" w:rsidRPr="00493E12" w:rsidRDefault="009319C8" w:rsidP="00A348EC">
            <w:pPr>
              <w:spacing w:before="0"/>
              <w:ind w:left="0" w:right="0"/>
              <w:jc w:val="both"/>
              <w:rPr>
                <w:rFonts w:asciiTheme="minorHAnsi" w:hAnsiTheme="minorHAnsi" w:cstheme="minorHAnsi"/>
                <w:color w:val="auto"/>
                <w:sz w:val="18"/>
                <w:szCs w:val="18"/>
              </w:rPr>
            </w:pPr>
            <w:r w:rsidRPr="00493E12">
              <w:rPr>
                <w:rFonts w:asciiTheme="minorHAnsi" w:hAnsiTheme="minorHAnsi" w:cstheme="minorHAnsi"/>
                <w:b w:val="0"/>
                <w:color w:val="auto"/>
                <w:sz w:val="18"/>
                <w:szCs w:val="18"/>
              </w:rPr>
              <w:t>CENTRE</w:t>
            </w:r>
          </w:p>
        </w:tc>
        <w:tc>
          <w:tcPr>
            <w:tcW w:w="4466" w:type="dxa"/>
            <w:gridSpan w:val="7"/>
            <w:shd w:val="clear" w:color="auto" w:fill="D9D9D9" w:themeFill="background1" w:themeFillShade="D9"/>
          </w:tcPr>
          <w:p w14:paraId="58EA326B" w14:textId="77777777" w:rsidR="009319C8" w:rsidRPr="00493E12" w:rsidRDefault="009319C8" w:rsidP="00A348EC">
            <w:pPr>
              <w:spacing w:before="0"/>
              <w:ind w:left="0"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493E12">
              <w:rPr>
                <w:rFonts w:asciiTheme="minorHAnsi" w:hAnsiTheme="minorHAnsi" w:cstheme="minorHAnsi"/>
                <w:b w:val="0"/>
                <w:color w:val="auto"/>
                <w:sz w:val="18"/>
                <w:szCs w:val="18"/>
              </w:rPr>
              <w:t>First Choice Destination</w:t>
            </w:r>
          </w:p>
        </w:tc>
        <w:tc>
          <w:tcPr>
            <w:tcW w:w="4530" w:type="dxa"/>
            <w:gridSpan w:val="7"/>
            <w:shd w:val="clear" w:color="auto" w:fill="D9D9D9" w:themeFill="background1" w:themeFillShade="D9"/>
          </w:tcPr>
          <w:p w14:paraId="2B9D1122" w14:textId="77777777" w:rsidR="009319C8" w:rsidRPr="00493E12" w:rsidRDefault="009319C8" w:rsidP="00A348EC">
            <w:pPr>
              <w:spacing w:before="0"/>
              <w:ind w:left="0"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493E12">
              <w:rPr>
                <w:rFonts w:asciiTheme="minorHAnsi" w:hAnsiTheme="minorHAnsi" w:cstheme="minorHAnsi"/>
                <w:b w:val="0"/>
                <w:color w:val="auto"/>
                <w:sz w:val="18"/>
                <w:szCs w:val="18"/>
              </w:rPr>
              <w:t>Second Choice Destination</w:t>
            </w:r>
          </w:p>
        </w:tc>
      </w:tr>
      <w:tr w:rsidR="009319C8" w:rsidRPr="00493E12" w14:paraId="1DC7B0D1" w14:textId="77777777" w:rsidTr="00A34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D9D9D9" w:themeFill="background1" w:themeFillShade="D9"/>
          </w:tcPr>
          <w:p w14:paraId="7A8A4D51" w14:textId="77777777" w:rsidR="009319C8" w:rsidRPr="00493E12" w:rsidRDefault="009319C8" w:rsidP="00A348EC">
            <w:pPr>
              <w:spacing w:before="0"/>
              <w:ind w:left="0" w:right="0"/>
              <w:jc w:val="both"/>
              <w:rPr>
                <w:rFonts w:asciiTheme="minorHAnsi" w:hAnsiTheme="minorHAnsi" w:cstheme="minorHAnsi"/>
                <w:b/>
                <w:color w:val="auto"/>
                <w:sz w:val="18"/>
                <w:szCs w:val="18"/>
              </w:rPr>
            </w:pPr>
          </w:p>
        </w:tc>
        <w:tc>
          <w:tcPr>
            <w:tcW w:w="613" w:type="dxa"/>
            <w:shd w:val="clear" w:color="auto" w:fill="D9D9D9" w:themeFill="background1" w:themeFillShade="D9"/>
          </w:tcPr>
          <w:p w14:paraId="26C5271F"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2</w:t>
            </w:r>
          </w:p>
        </w:tc>
        <w:tc>
          <w:tcPr>
            <w:tcW w:w="676" w:type="dxa"/>
            <w:shd w:val="clear" w:color="auto" w:fill="D9D9D9" w:themeFill="background1" w:themeFillShade="D9"/>
          </w:tcPr>
          <w:p w14:paraId="747A8C20"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3</w:t>
            </w:r>
          </w:p>
        </w:tc>
        <w:tc>
          <w:tcPr>
            <w:tcW w:w="675" w:type="dxa"/>
            <w:shd w:val="clear" w:color="auto" w:fill="D9D9D9" w:themeFill="background1" w:themeFillShade="D9"/>
          </w:tcPr>
          <w:p w14:paraId="1C5EACDA"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4</w:t>
            </w:r>
          </w:p>
        </w:tc>
        <w:tc>
          <w:tcPr>
            <w:tcW w:w="668" w:type="dxa"/>
            <w:shd w:val="clear" w:color="auto" w:fill="D9D9D9" w:themeFill="background1" w:themeFillShade="D9"/>
          </w:tcPr>
          <w:p w14:paraId="7719D92B"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5</w:t>
            </w:r>
          </w:p>
        </w:tc>
        <w:tc>
          <w:tcPr>
            <w:tcW w:w="611" w:type="dxa"/>
            <w:shd w:val="clear" w:color="auto" w:fill="D9D9D9" w:themeFill="background1" w:themeFillShade="D9"/>
          </w:tcPr>
          <w:p w14:paraId="35AD4CBE"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6</w:t>
            </w:r>
          </w:p>
        </w:tc>
        <w:tc>
          <w:tcPr>
            <w:tcW w:w="611" w:type="dxa"/>
            <w:shd w:val="clear" w:color="auto" w:fill="D9D9D9" w:themeFill="background1" w:themeFillShade="D9"/>
          </w:tcPr>
          <w:p w14:paraId="5465F442"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7</w:t>
            </w:r>
          </w:p>
        </w:tc>
        <w:tc>
          <w:tcPr>
            <w:tcW w:w="612" w:type="dxa"/>
            <w:shd w:val="clear" w:color="auto" w:fill="D9D9D9" w:themeFill="background1" w:themeFillShade="D9"/>
          </w:tcPr>
          <w:p w14:paraId="66585CA5"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8</w:t>
            </w:r>
          </w:p>
        </w:tc>
        <w:tc>
          <w:tcPr>
            <w:tcW w:w="673" w:type="dxa"/>
            <w:shd w:val="clear" w:color="auto" w:fill="D9D9D9" w:themeFill="background1" w:themeFillShade="D9"/>
          </w:tcPr>
          <w:p w14:paraId="66E70985"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2</w:t>
            </w:r>
          </w:p>
        </w:tc>
        <w:tc>
          <w:tcPr>
            <w:tcW w:w="675" w:type="dxa"/>
            <w:shd w:val="clear" w:color="auto" w:fill="D9D9D9" w:themeFill="background1" w:themeFillShade="D9"/>
          </w:tcPr>
          <w:p w14:paraId="48651C84"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3</w:t>
            </w:r>
          </w:p>
        </w:tc>
        <w:tc>
          <w:tcPr>
            <w:tcW w:w="675" w:type="dxa"/>
            <w:shd w:val="clear" w:color="auto" w:fill="D9D9D9" w:themeFill="background1" w:themeFillShade="D9"/>
          </w:tcPr>
          <w:p w14:paraId="6A03CEB0"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4</w:t>
            </w:r>
          </w:p>
        </w:tc>
        <w:tc>
          <w:tcPr>
            <w:tcW w:w="673" w:type="dxa"/>
            <w:shd w:val="clear" w:color="auto" w:fill="D9D9D9" w:themeFill="background1" w:themeFillShade="D9"/>
          </w:tcPr>
          <w:p w14:paraId="2F1D34DE"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5</w:t>
            </w:r>
          </w:p>
        </w:tc>
        <w:tc>
          <w:tcPr>
            <w:tcW w:w="611" w:type="dxa"/>
            <w:shd w:val="clear" w:color="auto" w:fill="D9D9D9" w:themeFill="background1" w:themeFillShade="D9"/>
          </w:tcPr>
          <w:p w14:paraId="0E81F6F4"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6</w:t>
            </w:r>
          </w:p>
        </w:tc>
        <w:tc>
          <w:tcPr>
            <w:tcW w:w="611" w:type="dxa"/>
            <w:shd w:val="clear" w:color="auto" w:fill="D9D9D9" w:themeFill="background1" w:themeFillShade="D9"/>
          </w:tcPr>
          <w:p w14:paraId="2AEB9B00"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7</w:t>
            </w:r>
          </w:p>
        </w:tc>
        <w:tc>
          <w:tcPr>
            <w:tcW w:w="612" w:type="dxa"/>
            <w:shd w:val="clear" w:color="auto" w:fill="D9D9D9" w:themeFill="background1" w:themeFillShade="D9"/>
          </w:tcPr>
          <w:p w14:paraId="2BA616DC" w14:textId="77777777" w:rsidR="009319C8" w:rsidRPr="00493E12" w:rsidRDefault="009319C8" w:rsidP="00A348E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493E12">
              <w:rPr>
                <w:rFonts w:asciiTheme="minorHAnsi" w:hAnsiTheme="minorHAnsi" w:cstheme="minorHAnsi"/>
                <w:b/>
                <w:color w:val="auto"/>
                <w:sz w:val="18"/>
                <w:szCs w:val="18"/>
              </w:rPr>
              <w:t>8</w:t>
            </w:r>
          </w:p>
        </w:tc>
      </w:tr>
      <w:tr w:rsidR="009319C8" w:rsidRPr="00493E12" w14:paraId="25FDCF23" w14:textId="77777777" w:rsidTr="00A34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10D712ED" w14:textId="77777777" w:rsidR="009319C8" w:rsidRPr="00493E12" w:rsidRDefault="009319C8" w:rsidP="00A348EC">
            <w:pPr>
              <w:spacing w:before="0"/>
              <w:ind w:left="0" w:right="0"/>
              <w:jc w:val="center"/>
              <w:rPr>
                <w:rFonts w:asciiTheme="minorHAnsi" w:hAnsiTheme="minorHAnsi" w:cstheme="minorHAnsi"/>
                <w:b/>
                <w:color w:val="auto"/>
                <w:sz w:val="18"/>
                <w:szCs w:val="18"/>
              </w:rPr>
            </w:pPr>
            <w:r w:rsidRPr="003E7679">
              <w:rPr>
                <w:rFonts w:asciiTheme="minorHAnsi" w:hAnsiTheme="minorHAnsi" w:cstheme="minorHAnsi"/>
                <w:b/>
                <w:color w:val="C00000"/>
                <w:sz w:val="18"/>
                <w:szCs w:val="18"/>
              </w:rPr>
              <w:t>2013 Retail Study</w:t>
            </w:r>
          </w:p>
        </w:tc>
      </w:tr>
      <w:tr w:rsidR="00511BD4" w:rsidRPr="00493E12" w14:paraId="183D41F8" w14:textId="77777777" w:rsidTr="00493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15003EAB" w14:textId="77777777" w:rsidR="00511BD4" w:rsidRPr="00493E12" w:rsidRDefault="00511BD4" w:rsidP="00511BD4">
            <w:pPr>
              <w:spacing w:before="0"/>
              <w:ind w:left="0" w:right="0"/>
              <w:rPr>
                <w:rFonts w:asciiTheme="minorHAnsi" w:hAnsiTheme="minorHAnsi" w:cstheme="minorHAnsi"/>
                <w:bCs/>
                <w:color w:val="auto"/>
                <w:sz w:val="18"/>
                <w:szCs w:val="18"/>
              </w:rPr>
            </w:pPr>
            <w:r w:rsidRPr="00493E12">
              <w:rPr>
                <w:rFonts w:asciiTheme="minorHAnsi" w:hAnsiTheme="minorHAnsi" w:cstheme="minorHAnsi"/>
                <w:bCs/>
                <w:color w:val="auto"/>
                <w:sz w:val="18"/>
                <w:szCs w:val="18"/>
              </w:rPr>
              <w:t>Clothes / footwear</w:t>
            </w:r>
          </w:p>
        </w:tc>
        <w:tc>
          <w:tcPr>
            <w:tcW w:w="613" w:type="dxa"/>
            <w:shd w:val="clear" w:color="auto" w:fill="auto"/>
            <w:vAlign w:val="bottom"/>
          </w:tcPr>
          <w:p w14:paraId="4570EE80" w14:textId="4A602CC0"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76" w:type="dxa"/>
            <w:shd w:val="clear" w:color="auto" w:fill="auto"/>
            <w:vAlign w:val="bottom"/>
          </w:tcPr>
          <w:p w14:paraId="187A902D" w14:textId="66A1949E"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4%</w:t>
            </w:r>
          </w:p>
        </w:tc>
        <w:tc>
          <w:tcPr>
            <w:tcW w:w="675" w:type="dxa"/>
            <w:shd w:val="clear" w:color="auto" w:fill="auto"/>
            <w:vAlign w:val="bottom"/>
          </w:tcPr>
          <w:p w14:paraId="30F9C280" w14:textId="5FCF6D8E"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68" w:type="dxa"/>
            <w:shd w:val="clear" w:color="auto" w:fill="auto"/>
            <w:vAlign w:val="bottom"/>
          </w:tcPr>
          <w:p w14:paraId="78A76C28" w14:textId="33AAB99A"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1" w:type="dxa"/>
            <w:shd w:val="clear" w:color="auto" w:fill="auto"/>
            <w:vAlign w:val="bottom"/>
          </w:tcPr>
          <w:p w14:paraId="49ED3B8F" w14:textId="379F1AB1"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1" w:type="dxa"/>
            <w:shd w:val="clear" w:color="auto" w:fill="auto"/>
            <w:vAlign w:val="bottom"/>
          </w:tcPr>
          <w:p w14:paraId="2D12AEB3" w14:textId="6DCFD8A8"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2" w:type="dxa"/>
            <w:shd w:val="clear" w:color="auto" w:fill="auto"/>
            <w:vAlign w:val="bottom"/>
          </w:tcPr>
          <w:p w14:paraId="40C4C306" w14:textId="59B7957F"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73" w:type="dxa"/>
            <w:shd w:val="clear" w:color="auto" w:fill="auto"/>
            <w:vAlign w:val="bottom"/>
          </w:tcPr>
          <w:p w14:paraId="577A8748" w14:textId="72EF1BB3"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75" w:type="dxa"/>
            <w:shd w:val="clear" w:color="auto" w:fill="auto"/>
            <w:vAlign w:val="bottom"/>
          </w:tcPr>
          <w:p w14:paraId="12A4C7A6" w14:textId="5A0697D0"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5%</w:t>
            </w:r>
          </w:p>
        </w:tc>
        <w:tc>
          <w:tcPr>
            <w:tcW w:w="675" w:type="dxa"/>
            <w:shd w:val="clear" w:color="auto" w:fill="auto"/>
            <w:vAlign w:val="bottom"/>
          </w:tcPr>
          <w:p w14:paraId="568BF3C2" w14:textId="49FAF515"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73" w:type="dxa"/>
            <w:shd w:val="clear" w:color="auto" w:fill="auto"/>
            <w:vAlign w:val="bottom"/>
          </w:tcPr>
          <w:p w14:paraId="52134C1E" w14:textId="3B98FD65"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1" w:type="dxa"/>
            <w:shd w:val="clear" w:color="auto" w:fill="auto"/>
            <w:vAlign w:val="bottom"/>
          </w:tcPr>
          <w:p w14:paraId="495BF14A" w14:textId="773DF291"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1" w:type="dxa"/>
            <w:shd w:val="clear" w:color="auto" w:fill="auto"/>
            <w:vAlign w:val="bottom"/>
          </w:tcPr>
          <w:p w14:paraId="67448E47" w14:textId="1E8F8D94"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2" w:type="dxa"/>
            <w:shd w:val="clear" w:color="auto" w:fill="auto"/>
            <w:vAlign w:val="bottom"/>
          </w:tcPr>
          <w:p w14:paraId="4C13374C" w14:textId="043725A2"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r>
      <w:tr w:rsidR="00511BD4" w:rsidRPr="00493E12" w14:paraId="367DFA3D" w14:textId="77777777" w:rsidTr="00493E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01187507" w14:textId="77777777" w:rsidR="00511BD4" w:rsidRPr="00493E12" w:rsidRDefault="00511BD4" w:rsidP="00511BD4">
            <w:pPr>
              <w:spacing w:before="0"/>
              <w:ind w:left="0" w:right="0"/>
              <w:rPr>
                <w:rFonts w:asciiTheme="minorHAnsi" w:hAnsiTheme="minorHAnsi" w:cstheme="minorHAnsi"/>
                <w:bCs/>
                <w:color w:val="auto"/>
                <w:sz w:val="18"/>
                <w:szCs w:val="18"/>
              </w:rPr>
            </w:pPr>
            <w:r w:rsidRPr="00493E12">
              <w:rPr>
                <w:rFonts w:asciiTheme="minorHAnsi" w:hAnsiTheme="minorHAnsi" w:cstheme="minorHAnsi"/>
                <w:bCs/>
                <w:color w:val="auto"/>
                <w:sz w:val="18"/>
                <w:szCs w:val="18"/>
              </w:rPr>
              <w:t>Furniture / floorcoverings / textiles</w:t>
            </w:r>
          </w:p>
        </w:tc>
        <w:tc>
          <w:tcPr>
            <w:tcW w:w="613" w:type="dxa"/>
            <w:shd w:val="clear" w:color="auto" w:fill="auto"/>
            <w:vAlign w:val="bottom"/>
          </w:tcPr>
          <w:p w14:paraId="224E4E48" w14:textId="4E1098C5"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76" w:type="dxa"/>
            <w:shd w:val="clear" w:color="auto" w:fill="auto"/>
            <w:vAlign w:val="bottom"/>
          </w:tcPr>
          <w:p w14:paraId="311DF79A" w14:textId="6DC18CB0"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22%</w:t>
            </w:r>
          </w:p>
        </w:tc>
        <w:tc>
          <w:tcPr>
            <w:tcW w:w="675" w:type="dxa"/>
            <w:shd w:val="clear" w:color="auto" w:fill="auto"/>
            <w:vAlign w:val="bottom"/>
          </w:tcPr>
          <w:p w14:paraId="65B08CF2" w14:textId="353F34F3"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68" w:type="dxa"/>
            <w:shd w:val="clear" w:color="auto" w:fill="auto"/>
            <w:vAlign w:val="bottom"/>
          </w:tcPr>
          <w:p w14:paraId="411C18BC" w14:textId="54DF0F3D"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1" w:type="dxa"/>
            <w:shd w:val="clear" w:color="auto" w:fill="auto"/>
            <w:vAlign w:val="bottom"/>
          </w:tcPr>
          <w:p w14:paraId="6DEDCD58" w14:textId="0C588383"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1" w:type="dxa"/>
            <w:shd w:val="clear" w:color="auto" w:fill="auto"/>
            <w:vAlign w:val="bottom"/>
          </w:tcPr>
          <w:p w14:paraId="56EB9C22" w14:textId="3AB9DEBB"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2" w:type="dxa"/>
            <w:shd w:val="clear" w:color="auto" w:fill="auto"/>
            <w:vAlign w:val="bottom"/>
          </w:tcPr>
          <w:p w14:paraId="27D1A53C" w14:textId="07A270DF"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73" w:type="dxa"/>
            <w:shd w:val="clear" w:color="auto" w:fill="auto"/>
            <w:vAlign w:val="bottom"/>
          </w:tcPr>
          <w:p w14:paraId="30BCC351" w14:textId="7DD0D2AE"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75" w:type="dxa"/>
            <w:shd w:val="clear" w:color="auto" w:fill="auto"/>
            <w:vAlign w:val="bottom"/>
          </w:tcPr>
          <w:p w14:paraId="549DD011" w14:textId="4F2F5BD7"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8%</w:t>
            </w:r>
          </w:p>
        </w:tc>
        <w:tc>
          <w:tcPr>
            <w:tcW w:w="675" w:type="dxa"/>
            <w:shd w:val="clear" w:color="auto" w:fill="auto"/>
            <w:vAlign w:val="bottom"/>
          </w:tcPr>
          <w:p w14:paraId="45440D9E" w14:textId="66E3200B"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73" w:type="dxa"/>
            <w:shd w:val="clear" w:color="auto" w:fill="auto"/>
            <w:vAlign w:val="bottom"/>
          </w:tcPr>
          <w:p w14:paraId="5ECB4063" w14:textId="32513724"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1" w:type="dxa"/>
            <w:shd w:val="clear" w:color="auto" w:fill="auto"/>
            <w:vAlign w:val="bottom"/>
          </w:tcPr>
          <w:p w14:paraId="3671F593" w14:textId="70BD1E31"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1" w:type="dxa"/>
            <w:shd w:val="clear" w:color="auto" w:fill="auto"/>
            <w:vAlign w:val="bottom"/>
          </w:tcPr>
          <w:p w14:paraId="4CE6D98D" w14:textId="223C2DE5"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2" w:type="dxa"/>
            <w:shd w:val="clear" w:color="auto" w:fill="auto"/>
            <w:vAlign w:val="bottom"/>
          </w:tcPr>
          <w:p w14:paraId="4F34C532" w14:textId="79B979D6" w:rsidR="00511BD4" w:rsidRPr="00493E12" w:rsidRDefault="00511BD4" w:rsidP="00511BD4">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r>
      <w:tr w:rsidR="00511BD4" w:rsidRPr="00493E12" w14:paraId="51403421" w14:textId="77777777" w:rsidTr="00493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19F5BF4B" w14:textId="77777777" w:rsidR="00511BD4" w:rsidRPr="00493E12" w:rsidRDefault="00511BD4" w:rsidP="00511BD4">
            <w:pPr>
              <w:spacing w:before="0"/>
              <w:ind w:left="0" w:right="0"/>
              <w:rPr>
                <w:rFonts w:asciiTheme="minorHAnsi" w:hAnsiTheme="minorHAnsi" w:cstheme="minorHAnsi"/>
                <w:bCs/>
                <w:color w:val="auto"/>
                <w:sz w:val="18"/>
                <w:szCs w:val="18"/>
              </w:rPr>
            </w:pPr>
            <w:r w:rsidRPr="00493E12">
              <w:rPr>
                <w:rFonts w:asciiTheme="minorHAnsi" w:hAnsiTheme="minorHAnsi" w:cstheme="minorHAnsi"/>
                <w:bCs/>
                <w:color w:val="auto"/>
                <w:sz w:val="18"/>
                <w:szCs w:val="18"/>
              </w:rPr>
              <w:t>DIY goods</w:t>
            </w:r>
          </w:p>
        </w:tc>
        <w:tc>
          <w:tcPr>
            <w:tcW w:w="613" w:type="dxa"/>
            <w:shd w:val="clear" w:color="auto" w:fill="auto"/>
            <w:vAlign w:val="bottom"/>
          </w:tcPr>
          <w:p w14:paraId="03B85E84" w14:textId="5FECE866"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76" w:type="dxa"/>
            <w:shd w:val="clear" w:color="auto" w:fill="auto"/>
            <w:vAlign w:val="bottom"/>
          </w:tcPr>
          <w:p w14:paraId="530E9F41" w14:textId="1E9C8173"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17%</w:t>
            </w:r>
          </w:p>
        </w:tc>
        <w:tc>
          <w:tcPr>
            <w:tcW w:w="675" w:type="dxa"/>
            <w:shd w:val="clear" w:color="auto" w:fill="auto"/>
            <w:vAlign w:val="bottom"/>
          </w:tcPr>
          <w:p w14:paraId="73006E61" w14:textId="751EDDEF"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68" w:type="dxa"/>
            <w:shd w:val="clear" w:color="auto" w:fill="auto"/>
            <w:vAlign w:val="bottom"/>
          </w:tcPr>
          <w:p w14:paraId="72978369" w14:textId="3C350CC4"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1" w:type="dxa"/>
            <w:shd w:val="clear" w:color="auto" w:fill="auto"/>
            <w:vAlign w:val="bottom"/>
          </w:tcPr>
          <w:p w14:paraId="39993CDE" w14:textId="5A378741"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1" w:type="dxa"/>
            <w:shd w:val="clear" w:color="auto" w:fill="auto"/>
            <w:vAlign w:val="bottom"/>
          </w:tcPr>
          <w:p w14:paraId="46C0F5E0" w14:textId="1F4CB077"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2" w:type="dxa"/>
            <w:shd w:val="clear" w:color="auto" w:fill="auto"/>
            <w:vAlign w:val="bottom"/>
          </w:tcPr>
          <w:p w14:paraId="73A57B6C" w14:textId="5C1A95A1"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73" w:type="dxa"/>
            <w:shd w:val="clear" w:color="auto" w:fill="auto"/>
            <w:vAlign w:val="bottom"/>
          </w:tcPr>
          <w:p w14:paraId="2E7CD167" w14:textId="02EB1783"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2%</w:t>
            </w:r>
          </w:p>
        </w:tc>
        <w:tc>
          <w:tcPr>
            <w:tcW w:w="675" w:type="dxa"/>
            <w:shd w:val="clear" w:color="auto" w:fill="auto"/>
            <w:vAlign w:val="bottom"/>
          </w:tcPr>
          <w:p w14:paraId="057A16F1" w14:textId="0FF19DC9"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22%</w:t>
            </w:r>
          </w:p>
        </w:tc>
        <w:tc>
          <w:tcPr>
            <w:tcW w:w="675" w:type="dxa"/>
            <w:shd w:val="clear" w:color="auto" w:fill="auto"/>
            <w:vAlign w:val="bottom"/>
          </w:tcPr>
          <w:p w14:paraId="37CEC9B5" w14:textId="433EED68"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73" w:type="dxa"/>
            <w:shd w:val="clear" w:color="auto" w:fill="auto"/>
            <w:vAlign w:val="bottom"/>
          </w:tcPr>
          <w:p w14:paraId="131CFA66" w14:textId="602680E7"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1" w:type="dxa"/>
            <w:shd w:val="clear" w:color="auto" w:fill="auto"/>
            <w:vAlign w:val="bottom"/>
          </w:tcPr>
          <w:p w14:paraId="59BEE622" w14:textId="402BFAC1"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1" w:type="dxa"/>
            <w:shd w:val="clear" w:color="auto" w:fill="auto"/>
            <w:vAlign w:val="bottom"/>
          </w:tcPr>
          <w:p w14:paraId="0B8F8058" w14:textId="723F99F9"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c>
          <w:tcPr>
            <w:tcW w:w="612" w:type="dxa"/>
            <w:shd w:val="clear" w:color="auto" w:fill="auto"/>
            <w:vAlign w:val="bottom"/>
          </w:tcPr>
          <w:p w14:paraId="1B3B6937" w14:textId="0D02D9D3" w:rsidR="00511BD4" w:rsidRPr="00493E12" w:rsidRDefault="00511BD4" w:rsidP="00511BD4">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sz w:val="18"/>
                <w:szCs w:val="18"/>
              </w:rPr>
              <w:t>0%</w:t>
            </w:r>
          </w:p>
        </w:tc>
      </w:tr>
      <w:tr w:rsidR="008025B6" w:rsidRPr="00493E12" w14:paraId="739EAD80" w14:textId="77777777" w:rsidTr="00493E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271CA4F7" w14:textId="77777777" w:rsidR="008025B6" w:rsidRPr="00493E12" w:rsidRDefault="008025B6" w:rsidP="008025B6">
            <w:pPr>
              <w:ind w:left="0"/>
              <w:rPr>
                <w:rFonts w:asciiTheme="minorHAnsi" w:hAnsiTheme="minorHAnsi" w:cstheme="minorHAnsi"/>
                <w:bCs/>
                <w:sz w:val="18"/>
                <w:szCs w:val="18"/>
              </w:rPr>
            </w:pPr>
            <w:r w:rsidRPr="00493E12">
              <w:rPr>
                <w:rFonts w:asciiTheme="minorHAnsi" w:hAnsiTheme="minorHAnsi" w:cstheme="minorHAnsi"/>
                <w:bCs/>
                <w:sz w:val="18"/>
                <w:szCs w:val="18"/>
              </w:rPr>
              <w:t>Domestic appliances</w:t>
            </w:r>
          </w:p>
        </w:tc>
        <w:tc>
          <w:tcPr>
            <w:tcW w:w="613" w:type="dxa"/>
            <w:shd w:val="clear" w:color="auto" w:fill="auto"/>
            <w:vAlign w:val="bottom"/>
          </w:tcPr>
          <w:p w14:paraId="10F15C71" w14:textId="6D31E221"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6" w:type="dxa"/>
            <w:shd w:val="clear" w:color="auto" w:fill="auto"/>
            <w:vAlign w:val="bottom"/>
          </w:tcPr>
          <w:p w14:paraId="1674242F" w14:textId="2DBD061F"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41%</w:t>
            </w:r>
          </w:p>
        </w:tc>
        <w:tc>
          <w:tcPr>
            <w:tcW w:w="675" w:type="dxa"/>
            <w:shd w:val="clear" w:color="auto" w:fill="auto"/>
            <w:vAlign w:val="bottom"/>
          </w:tcPr>
          <w:p w14:paraId="009CDD58" w14:textId="47A0B019"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68" w:type="dxa"/>
            <w:shd w:val="clear" w:color="auto" w:fill="auto"/>
            <w:vAlign w:val="bottom"/>
          </w:tcPr>
          <w:p w14:paraId="1CE42A46" w14:textId="7A908AF1"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783686D6" w14:textId="162F33EB"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5EDFA90D" w14:textId="2BE7754C"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2" w:type="dxa"/>
            <w:shd w:val="clear" w:color="auto" w:fill="auto"/>
            <w:vAlign w:val="bottom"/>
          </w:tcPr>
          <w:p w14:paraId="45655022" w14:textId="698B9D8D"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3" w:type="dxa"/>
            <w:shd w:val="clear" w:color="auto" w:fill="auto"/>
            <w:vAlign w:val="bottom"/>
          </w:tcPr>
          <w:p w14:paraId="5ABFFE38" w14:textId="2C282C3A"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5" w:type="dxa"/>
            <w:shd w:val="clear" w:color="auto" w:fill="auto"/>
            <w:vAlign w:val="bottom"/>
          </w:tcPr>
          <w:p w14:paraId="12888A54" w14:textId="1C35662B"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16%</w:t>
            </w:r>
          </w:p>
        </w:tc>
        <w:tc>
          <w:tcPr>
            <w:tcW w:w="675" w:type="dxa"/>
            <w:shd w:val="clear" w:color="auto" w:fill="auto"/>
            <w:vAlign w:val="bottom"/>
          </w:tcPr>
          <w:p w14:paraId="1B2F8625" w14:textId="479D42D5"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3" w:type="dxa"/>
            <w:shd w:val="clear" w:color="auto" w:fill="auto"/>
            <w:vAlign w:val="bottom"/>
          </w:tcPr>
          <w:p w14:paraId="0939F3D0" w14:textId="7719BC98"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0F4B3926" w14:textId="3164FD8B"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53DC1E53" w14:textId="0A5F8DBF"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2" w:type="dxa"/>
            <w:shd w:val="clear" w:color="auto" w:fill="auto"/>
            <w:vAlign w:val="bottom"/>
          </w:tcPr>
          <w:p w14:paraId="3E8446D8" w14:textId="0ECDA079"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r>
      <w:tr w:rsidR="008025B6" w:rsidRPr="00493E12" w14:paraId="70294F0C" w14:textId="77777777" w:rsidTr="00493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2972E9F5" w14:textId="77777777" w:rsidR="008025B6" w:rsidRPr="00493E12" w:rsidRDefault="008025B6" w:rsidP="008025B6">
            <w:pPr>
              <w:ind w:left="0"/>
              <w:rPr>
                <w:rFonts w:asciiTheme="minorHAnsi" w:hAnsiTheme="minorHAnsi" w:cstheme="minorHAnsi"/>
                <w:bCs/>
                <w:sz w:val="18"/>
                <w:szCs w:val="18"/>
              </w:rPr>
            </w:pPr>
            <w:r w:rsidRPr="00493E12">
              <w:rPr>
                <w:rFonts w:asciiTheme="minorHAnsi" w:hAnsiTheme="minorHAnsi" w:cstheme="minorHAnsi"/>
                <w:bCs/>
                <w:sz w:val="18"/>
                <w:szCs w:val="18"/>
              </w:rPr>
              <w:t>Small electrical goods</w:t>
            </w:r>
          </w:p>
        </w:tc>
        <w:tc>
          <w:tcPr>
            <w:tcW w:w="613" w:type="dxa"/>
            <w:shd w:val="clear" w:color="auto" w:fill="auto"/>
            <w:vAlign w:val="bottom"/>
          </w:tcPr>
          <w:p w14:paraId="3886298E" w14:textId="6FC00CC2"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6" w:type="dxa"/>
            <w:shd w:val="clear" w:color="auto" w:fill="auto"/>
            <w:vAlign w:val="bottom"/>
          </w:tcPr>
          <w:p w14:paraId="0DF5065A" w14:textId="35B65CFF"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42%</w:t>
            </w:r>
          </w:p>
        </w:tc>
        <w:tc>
          <w:tcPr>
            <w:tcW w:w="675" w:type="dxa"/>
            <w:shd w:val="clear" w:color="auto" w:fill="auto"/>
            <w:vAlign w:val="bottom"/>
          </w:tcPr>
          <w:p w14:paraId="0C017567" w14:textId="301A797B"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1%</w:t>
            </w:r>
          </w:p>
        </w:tc>
        <w:tc>
          <w:tcPr>
            <w:tcW w:w="668" w:type="dxa"/>
            <w:shd w:val="clear" w:color="auto" w:fill="auto"/>
            <w:vAlign w:val="bottom"/>
          </w:tcPr>
          <w:p w14:paraId="2F01A791" w14:textId="02B32B2B"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6D863386" w14:textId="2E8BCF0A"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50739151" w14:textId="449271E0"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2" w:type="dxa"/>
            <w:shd w:val="clear" w:color="auto" w:fill="auto"/>
            <w:vAlign w:val="bottom"/>
          </w:tcPr>
          <w:p w14:paraId="7C9AB128" w14:textId="4127748B"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3" w:type="dxa"/>
            <w:shd w:val="clear" w:color="auto" w:fill="auto"/>
            <w:vAlign w:val="bottom"/>
          </w:tcPr>
          <w:p w14:paraId="558B387A" w14:textId="21AECDFE"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5" w:type="dxa"/>
            <w:shd w:val="clear" w:color="auto" w:fill="auto"/>
            <w:vAlign w:val="bottom"/>
          </w:tcPr>
          <w:p w14:paraId="59027E5B" w14:textId="4A21466A"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15%</w:t>
            </w:r>
          </w:p>
        </w:tc>
        <w:tc>
          <w:tcPr>
            <w:tcW w:w="675" w:type="dxa"/>
            <w:shd w:val="clear" w:color="auto" w:fill="auto"/>
            <w:vAlign w:val="bottom"/>
          </w:tcPr>
          <w:p w14:paraId="4FB64153" w14:textId="799732BC"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3" w:type="dxa"/>
            <w:shd w:val="clear" w:color="auto" w:fill="auto"/>
            <w:vAlign w:val="bottom"/>
          </w:tcPr>
          <w:p w14:paraId="1DF4E5F2" w14:textId="38825B85"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572631C1" w14:textId="7BFDD5A7"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3%</w:t>
            </w:r>
          </w:p>
        </w:tc>
        <w:tc>
          <w:tcPr>
            <w:tcW w:w="611" w:type="dxa"/>
            <w:shd w:val="clear" w:color="auto" w:fill="auto"/>
            <w:vAlign w:val="bottom"/>
          </w:tcPr>
          <w:p w14:paraId="6F4FA5D5" w14:textId="53FA6DCA"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2" w:type="dxa"/>
            <w:shd w:val="clear" w:color="auto" w:fill="auto"/>
            <w:vAlign w:val="bottom"/>
          </w:tcPr>
          <w:p w14:paraId="5D99CBB9" w14:textId="4952BD9E"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r>
      <w:tr w:rsidR="008025B6" w:rsidRPr="00493E12" w14:paraId="49AB695A" w14:textId="77777777" w:rsidTr="00493E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7BCA6D33" w14:textId="77777777" w:rsidR="008025B6" w:rsidRPr="00493E12" w:rsidRDefault="008025B6" w:rsidP="008025B6">
            <w:pPr>
              <w:ind w:left="0"/>
              <w:rPr>
                <w:rFonts w:asciiTheme="minorHAnsi" w:hAnsiTheme="minorHAnsi" w:cstheme="minorHAnsi"/>
                <w:bCs/>
                <w:sz w:val="18"/>
                <w:szCs w:val="18"/>
              </w:rPr>
            </w:pPr>
            <w:r w:rsidRPr="00493E12">
              <w:rPr>
                <w:rFonts w:asciiTheme="minorHAnsi" w:hAnsiTheme="minorHAnsi" w:cstheme="minorHAnsi"/>
                <w:bCs/>
                <w:sz w:val="18"/>
                <w:szCs w:val="18"/>
              </w:rPr>
              <w:t>Personal / luxury goods</w:t>
            </w:r>
          </w:p>
        </w:tc>
        <w:tc>
          <w:tcPr>
            <w:tcW w:w="613" w:type="dxa"/>
            <w:shd w:val="clear" w:color="auto" w:fill="auto"/>
            <w:vAlign w:val="bottom"/>
          </w:tcPr>
          <w:p w14:paraId="1FCC48D2" w14:textId="7C30C814"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6" w:type="dxa"/>
            <w:shd w:val="clear" w:color="auto" w:fill="auto"/>
            <w:vAlign w:val="bottom"/>
          </w:tcPr>
          <w:p w14:paraId="7B126D89" w14:textId="7678AEA8"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46%</w:t>
            </w:r>
          </w:p>
        </w:tc>
        <w:tc>
          <w:tcPr>
            <w:tcW w:w="675" w:type="dxa"/>
            <w:shd w:val="clear" w:color="auto" w:fill="auto"/>
            <w:vAlign w:val="bottom"/>
          </w:tcPr>
          <w:p w14:paraId="0D012B64" w14:textId="0ED16BEE"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68" w:type="dxa"/>
            <w:shd w:val="clear" w:color="auto" w:fill="auto"/>
            <w:vAlign w:val="bottom"/>
          </w:tcPr>
          <w:p w14:paraId="00EA504E" w14:textId="1326378B"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381783EC" w14:textId="3C2D9E2C"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792CC86D" w14:textId="3D19CD2F"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2" w:type="dxa"/>
            <w:shd w:val="clear" w:color="auto" w:fill="auto"/>
            <w:vAlign w:val="bottom"/>
          </w:tcPr>
          <w:p w14:paraId="46120525" w14:textId="21E15DB1"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3" w:type="dxa"/>
            <w:shd w:val="clear" w:color="auto" w:fill="auto"/>
            <w:vAlign w:val="bottom"/>
          </w:tcPr>
          <w:p w14:paraId="3C5C268C" w14:textId="5DD40C11"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5" w:type="dxa"/>
            <w:shd w:val="clear" w:color="auto" w:fill="auto"/>
            <w:vAlign w:val="bottom"/>
          </w:tcPr>
          <w:p w14:paraId="363F94FD" w14:textId="2ADFCDEE"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16%</w:t>
            </w:r>
          </w:p>
        </w:tc>
        <w:tc>
          <w:tcPr>
            <w:tcW w:w="675" w:type="dxa"/>
            <w:shd w:val="clear" w:color="auto" w:fill="auto"/>
            <w:vAlign w:val="bottom"/>
          </w:tcPr>
          <w:p w14:paraId="4043765E" w14:textId="66EBF08F"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3" w:type="dxa"/>
            <w:shd w:val="clear" w:color="auto" w:fill="auto"/>
            <w:vAlign w:val="bottom"/>
          </w:tcPr>
          <w:p w14:paraId="7720C06C" w14:textId="04789AA2"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3E82EBFE" w14:textId="21D0F5EC"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3FA43362" w14:textId="687713A2"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2" w:type="dxa"/>
            <w:shd w:val="clear" w:color="auto" w:fill="auto"/>
            <w:vAlign w:val="bottom"/>
          </w:tcPr>
          <w:p w14:paraId="195414B7" w14:textId="3B3910D5"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r>
      <w:tr w:rsidR="008025B6" w:rsidRPr="00493E12" w14:paraId="4542E9ED" w14:textId="77777777" w:rsidTr="00493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4FF5765D" w14:textId="77777777" w:rsidR="008025B6" w:rsidRPr="00493E12" w:rsidRDefault="008025B6" w:rsidP="008025B6">
            <w:pPr>
              <w:ind w:left="0"/>
              <w:rPr>
                <w:rFonts w:asciiTheme="minorHAnsi" w:hAnsiTheme="minorHAnsi" w:cstheme="minorHAnsi"/>
                <w:bCs/>
                <w:sz w:val="18"/>
                <w:szCs w:val="18"/>
              </w:rPr>
            </w:pPr>
            <w:r w:rsidRPr="00493E12">
              <w:rPr>
                <w:rFonts w:asciiTheme="minorHAnsi" w:hAnsiTheme="minorHAnsi" w:cstheme="minorHAnsi"/>
                <w:bCs/>
                <w:sz w:val="18"/>
                <w:szCs w:val="18"/>
              </w:rPr>
              <w:t>Recreational goods</w:t>
            </w:r>
          </w:p>
        </w:tc>
        <w:tc>
          <w:tcPr>
            <w:tcW w:w="613" w:type="dxa"/>
            <w:shd w:val="clear" w:color="auto" w:fill="auto"/>
            <w:vAlign w:val="bottom"/>
          </w:tcPr>
          <w:p w14:paraId="16CAB15E" w14:textId="5B219DB4"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6" w:type="dxa"/>
            <w:shd w:val="clear" w:color="auto" w:fill="auto"/>
            <w:vAlign w:val="bottom"/>
          </w:tcPr>
          <w:p w14:paraId="790325FB" w14:textId="33ABEEAA"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7%</w:t>
            </w:r>
          </w:p>
        </w:tc>
        <w:tc>
          <w:tcPr>
            <w:tcW w:w="675" w:type="dxa"/>
            <w:shd w:val="clear" w:color="auto" w:fill="auto"/>
            <w:vAlign w:val="bottom"/>
          </w:tcPr>
          <w:p w14:paraId="08D50F4A" w14:textId="65EFB54A"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68" w:type="dxa"/>
            <w:shd w:val="clear" w:color="auto" w:fill="auto"/>
            <w:vAlign w:val="bottom"/>
          </w:tcPr>
          <w:p w14:paraId="70B83C28" w14:textId="380AC74D"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66E8C629" w14:textId="108CB2A3"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0B070803" w14:textId="00ADCCA5"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2" w:type="dxa"/>
            <w:shd w:val="clear" w:color="auto" w:fill="auto"/>
            <w:vAlign w:val="bottom"/>
          </w:tcPr>
          <w:p w14:paraId="27CB0AE5" w14:textId="2690769D"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3" w:type="dxa"/>
            <w:shd w:val="clear" w:color="auto" w:fill="auto"/>
            <w:vAlign w:val="bottom"/>
          </w:tcPr>
          <w:p w14:paraId="336DC8B0" w14:textId="0F232002"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5" w:type="dxa"/>
            <w:shd w:val="clear" w:color="auto" w:fill="auto"/>
            <w:vAlign w:val="bottom"/>
          </w:tcPr>
          <w:p w14:paraId="15B8C515" w14:textId="518FA9D4"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12%</w:t>
            </w:r>
          </w:p>
        </w:tc>
        <w:tc>
          <w:tcPr>
            <w:tcW w:w="675" w:type="dxa"/>
            <w:shd w:val="clear" w:color="auto" w:fill="auto"/>
            <w:vAlign w:val="bottom"/>
          </w:tcPr>
          <w:p w14:paraId="6C6D727F" w14:textId="0F731BF3"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73" w:type="dxa"/>
            <w:shd w:val="clear" w:color="auto" w:fill="auto"/>
            <w:vAlign w:val="bottom"/>
          </w:tcPr>
          <w:p w14:paraId="3DCE50FF" w14:textId="4E03E0B0"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2F061EFB" w14:textId="05CFAE9C"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1" w:type="dxa"/>
            <w:shd w:val="clear" w:color="auto" w:fill="auto"/>
            <w:vAlign w:val="bottom"/>
          </w:tcPr>
          <w:p w14:paraId="18DF3C95" w14:textId="0B6A5504"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c>
          <w:tcPr>
            <w:tcW w:w="612" w:type="dxa"/>
            <w:shd w:val="clear" w:color="auto" w:fill="auto"/>
            <w:vAlign w:val="bottom"/>
          </w:tcPr>
          <w:p w14:paraId="4723D8D9" w14:textId="094C32BA"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sz w:val="18"/>
                <w:szCs w:val="18"/>
              </w:rPr>
              <w:t>0%</w:t>
            </w:r>
          </w:p>
        </w:tc>
      </w:tr>
      <w:tr w:rsidR="008025B6" w:rsidRPr="00493E12" w14:paraId="4AD063D2" w14:textId="77777777" w:rsidTr="00A34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331514EC" w14:textId="77777777" w:rsidR="008025B6" w:rsidRPr="00493E12" w:rsidRDefault="008025B6" w:rsidP="008025B6">
            <w:pPr>
              <w:spacing w:before="0"/>
              <w:ind w:left="0" w:right="0"/>
              <w:jc w:val="center"/>
              <w:rPr>
                <w:rFonts w:asciiTheme="minorHAnsi" w:hAnsiTheme="minorHAnsi" w:cstheme="minorHAnsi"/>
                <w:b/>
                <w:color w:val="auto"/>
                <w:sz w:val="18"/>
                <w:szCs w:val="18"/>
              </w:rPr>
            </w:pPr>
            <w:r w:rsidRPr="003E7679">
              <w:rPr>
                <w:rFonts w:asciiTheme="minorHAnsi" w:hAnsiTheme="minorHAnsi" w:cstheme="minorHAnsi"/>
                <w:b/>
                <w:color w:val="C00000"/>
                <w:sz w:val="18"/>
                <w:szCs w:val="18"/>
              </w:rPr>
              <w:t>2022 Retail Study</w:t>
            </w:r>
          </w:p>
        </w:tc>
      </w:tr>
      <w:tr w:rsidR="008025B6" w:rsidRPr="00493E12" w14:paraId="0B725778" w14:textId="77777777" w:rsidTr="00493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37925112" w14:textId="77777777" w:rsidR="008025B6" w:rsidRPr="00493E12" w:rsidRDefault="008025B6" w:rsidP="008025B6">
            <w:pPr>
              <w:spacing w:before="0"/>
              <w:ind w:left="0" w:right="0"/>
              <w:rPr>
                <w:rFonts w:asciiTheme="minorHAnsi" w:hAnsiTheme="minorHAnsi" w:cstheme="minorHAnsi"/>
                <w:bCs/>
                <w:color w:val="auto"/>
                <w:sz w:val="18"/>
                <w:szCs w:val="18"/>
              </w:rPr>
            </w:pPr>
            <w:r w:rsidRPr="00493E12">
              <w:rPr>
                <w:rFonts w:asciiTheme="minorHAnsi" w:hAnsiTheme="minorHAnsi" w:cstheme="minorHAnsi"/>
                <w:bCs/>
                <w:color w:val="auto"/>
                <w:sz w:val="18"/>
                <w:szCs w:val="18"/>
              </w:rPr>
              <w:t>Clothes / footwear</w:t>
            </w:r>
          </w:p>
        </w:tc>
        <w:tc>
          <w:tcPr>
            <w:tcW w:w="613" w:type="dxa"/>
            <w:shd w:val="clear" w:color="auto" w:fill="auto"/>
            <w:vAlign w:val="bottom"/>
          </w:tcPr>
          <w:p w14:paraId="033CFAF5" w14:textId="5F654D8D"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76" w:type="dxa"/>
            <w:shd w:val="clear" w:color="auto" w:fill="auto"/>
            <w:vAlign w:val="bottom"/>
          </w:tcPr>
          <w:p w14:paraId="55742D31" w14:textId="54ED4BA2" w:rsidR="008025B6" w:rsidRPr="00493E12" w:rsidRDefault="00493E12"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10</w:t>
            </w:r>
            <w:r w:rsidR="008025B6" w:rsidRPr="00493E12">
              <w:rPr>
                <w:rFonts w:asciiTheme="minorHAnsi" w:hAnsiTheme="minorHAnsi" w:cstheme="minorHAnsi"/>
                <w:color w:val="000000"/>
                <w:sz w:val="18"/>
                <w:szCs w:val="18"/>
              </w:rPr>
              <w:t>%</w:t>
            </w:r>
          </w:p>
        </w:tc>
        <w:tc>
          <w:tcPr>
            <w:tcW w:w="675" w:type="dxa"/>
            <w:shd w:val="clear" w:color="auto" w:fill="auto"/>
            <w:vAlign w:val="bottom"/>
          </w:tcPr>
          <w:p w14:paraId="64F6A6BD" w14:textId="27DA7B28"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68" w:type="dxa"/>
            <w:shd w:val="clear" w:color="auto" w:fill="auto"/>
            <w:vAlign w:val="bottom"/>
          </w:tcPr>
          <w:p w14:paraId="65678DC1" w14:textId="1460D29B"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50B610EF" w14:textId="7962FE6D"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73B48945" w14:textId="32300192"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70032435" w14:textId="3407193C"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73" w:type="dxa"/>
            <w:shd w:val="clear" w:color="auto" w:fill="auto"/>
            <w:vAlign w:val="bottom"/>
          </w:tcPr>
          <w:p w14:paraId="4391071B" w14:textId="69E9EA38"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75" w:type="dxa"/>
            <w:shd w:val="clear" w:color="auto" w:fill="auto"/>
            <w:vAlign w:val="bottom"/>
          </w:tcPr>
          <w:p w14:paraId="2DCA6868" w14:textId="3665A074" w:rsidR="008025B6" w:rsidRPr="00493E12" w:rsidRDefault="00493E12"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9</w:t>
            </w:r>
            <w:r w:rsidR="008025B6" w:rsidRPr="00493E12">
              <w:rPr>
                <w:rFonts w:asciiTheme="minorHAnsi" w:hAnsiTheme="minorHAnsi" w:cstheme="minorHAnsi"/>
                <w:color w:val="000000"/>
                <w:sz w:val="18"/>
                <w:szCs w:val="18"/>
              </w:rPr>
              <w:t>%</w:t>
            </w:r>
          </w:p>
        </w:tc>
        <w:tc>
          <w:tcPr>
            <w:tcW w:w="675" w:type="dxa"/>
            <w:shd w:val="clear" w:color="auto" w:fill="auto"/>
            <w:vAlign w:val="bottom"/>
          </w:tcPr>
          <w:p w14:paraId="49143034" w14:textId="0F84163A"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1%</w:t>
            </w:r>
          </w:p>
        </w:tc>
        <w:tc>
          <w:tcPr>
            <w:tcW w:w="673" w:type="dxa"/>
            <w:shd w:val="clear" w:color="auto" w:fill="auto"/>
            <w:vAlign w:val="bottom"/>
          </w:tcPr>
          <w:p w14:paraId="268A0D3D" w14:textId="0B2A8893"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192AA88A" w14:textId="42881426"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149085A2" w14:textId="52EBA9EC"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076366FB" w14:textId="507E1202"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r>
      <w:tr w:rsidR="008025B6" w:rsidRPr="00493E12" w14:paraId="4A767E9C" w14:textId="77777777" w:rsidTr="00493E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3C92577B" w14:textId="77777777" w:rsidR="008025B6" w:rsidRPr="00493E12" w:rsidRDefault="008025B6" w:rsidP="008025B6">
            <w:pPr>
              <w:spacing w:before="0"/>
              <w:ind w:left="0" w:right="0"/>
              <w:rPr>
                <w:rFonts w:asciiTheme="minorHAnsi" w:hAnsiTheme="minorHAnsi" w:cstheme="minorHAnsi"/>
                <w:bCs/>
                <w:color w:val="auto"/>
                <w:sz w:val="18"/>
                <w:szCs w:val="18"/>
              </w:rPr>
            </w:pPr>
            <w:r w:rsidRPr="00493E12">
              <w:rPr>
                <w:rFonts w:asciiTheme="minorHAnsi" w:hAnsiTheme="minorHAnsi" w:cstheme="minorHAnsi"/>
                <w:bCs/>
                <w:color w:val="auto"/>
                <w:sz w:val="18"/>
                <w:szCs w:val="18"/>
              </w:rPr>
              <w:t>Furniture / floorcoverings / textiles</w:t>
            </w:r>
          </w:p>
        </w:tc>
        <w:tc>
          <w:tcPr>
            <w:tcW w:w="613" w:type="dxa"/>
            <w:shd w:val="clear" w:color="auto" w:fill="auto"/>
            <w:vAlign w:val="bottom"/>
          </w:tcPr>
          <w:p w14:paraId="5532EF10" w14:textId="0F85A63B" w:rsidR="008025B6" w:rsidRPr="00493E12" w:rsidRDefault="008025B6"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76" w:type="dxa"/>
            <w:shd w:val="clear" w:color="auto" w:fill="auto"/>
            <w:vAlign w:val="bottom"/>
          </w:tcPr>
          <w:p w14:paraId="1E0A0970" w14:textId="3F727B56" w:rsidR="008025B6" w:rsidRPr="00493E12" w:rsidRDefault="008025B6"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29%</w:t>
            </w:r>
          </w:p>
        </w:tc>
        <w:tc>
          <w:tcPr>
            <w:tcW w:w="675" w:type="dxa"/>
            <w:shd w:val="clear" w:color="auto" w:fill="auto"/>
            <w:vAlign w:val="bottom"/>
          </w:tcPr>
          <w:p w14:paraId="0218D240" w14:textId="60CA2C0F" w:rsidR="008025B6" w:rsidRPr="00493E12" w:rsidRDefault="008025B6"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1%</w:t>
            </w:r>
          </w:p>
        </w:tc>
        <w:tc>
          <w:tcPr>
            <w:tcW w:w="668" w:type="dxa"/>
            <w:shd w:val="clear" w:color="auto" w:fill="auto"/>
            <w:vAlign w:val="bottom"/>
          </w:tcPr>
          <w:p w14:paraId="0D469C72" w14:textId="586126CF" w:rsidR="008025B6" w:rsidRPr="00493E12" w:rsidRDefault="008025B6"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68EC87EC" w14:textId="766FB327" w:rsidR="008025B6" w:rsidRPr="00493E12" w:rsidRDefault="008025B6"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552756A5" w14:textId="3D7C8117" w:rsidR="008025B6" w:rsidRPr="00493E12" w:rsidRDefault="008025B6"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6133D467" w14:textId="4D6E4784" w:rsidR="008025B6" w:rsidRPr="00493E12" w:rsidRDefault="008025B6"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73" w:type="dxa"/>
            <w:shd w:val="clear" w:color="auto" w:fill="auto"/>
            <w:vAlign w:val="bottom"/>
          </w:tcPr>
          <w:p w14:paraId="1C6852CE" w14:textId="7C7F3E54" w:rsidR="008025B6" w:rsidRPr="00493E12" w:rsidRDefault="008025B6"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75" w:type="dxa"/>
            <w:shd w:val="clear" w:color="auto" w:fill="auto"/>
            <w:vAlign w:val="bottom"/>
          </w:tcPr>
          <w:p w14:paraId="693D6513" w14:textId="191B59D3" w:rsidR="008025B6" w:rsidRPr="00493E12" w:rsidRDefault="00493E12"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16</w:t>
            </w:r>
            <w:r w:rsidR="008025B6" w:rsidRPr="00493E12">
              <w:rPr>
                <w:rFonts w:asciiTheme="minorHAnsi" w:hAnsiTheme="minorHAnsi" w:cstheme="minorHAnsi"/>
                <w:color w:val="000000"/>
                <w:sz w:val="18"/>
                <w:szCs w:val="18"/>
              </w:rPr>
              <w:t>%</w:t>
            </w:r>
          </w:p>
        </w:tc>
        <w:tc>
          <w:tcPr>
            <w:tcW w:w="675" w:type="dxa"/>
            <w:shd w:val="clear" w:color="auto" w:fill="auto"/>
            <w:vAlign w:val="bottom"/>
          </w:tcPr>
          <w:p w14:paraId="735B8B9A" w14:textId="32CD0BF0" w:rsidR="008025B6" w:rsidRPr="00493E12" w:rsidRDefault="008025B6"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73" w:type="dxa"/>
            <w:shd w:val="clear" w:color="auto" w:fill="auto"/>
            <w:vAlign w:val="bottom"/>
          </w:tcPr>
          <w:p w14:paraId="1A077CE6" w14:textId="2FEA3C63" w:rsidR="008025B6" w:rsidRPr="00493E12" w:rsidRDefault="008025B6"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2C4F310A" w14:textId="5D9DCB38" w:rsidR="008025B6" w:rsidRPr="00493E12" w:rsidRDefault="008025B6"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751909EC" w14:textId="0F77B218" w:rsidR="008025B6" w:rsidRPr="00493E12" w:rsidRDefault="008025B6"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5C9E92E7" w14:textId="2AB88457" w:rsidR="008025B6" w:rsidRPr="00493E12" w:rsidRDefault="008025B6" w:rsidP="008025B6">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r>
      <w:tr w:rsidR="008025B6" w:rsidRPr="00493E12" w14:paraId="10AE9B85" w14:textId="77777777" w:rsidTr="00493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3EE40695" w14:textId="77777777" w:rsidR="008025B6" w:rsidRPr="00493E12" w:rsidRDefault="008025B6" w:rsidP="008025B6">
            <w:pPr>
              <w:spacing w:before="0"/>
              <w:ind w:left="0" w:right="0"/>
              <w:rPr>
                <w:rFonts w:asciiTheme="minorHAnsi" w:hAnsiTheme="minorHAnsi" w:cstheme="minorHAnsi"/>
                <w:bCs/>
                <w:color w:val="auto"/>
                <w:sz w:val="18"/>
                <w:szCs w:val="18"/>
              </w:rPr>
            </w:pPr>
            <w:r w:rsidRPr="00493E12">
              <w:rPr>
                <w:rFonts w:asciiTheme="minorHAnsi" w:hAnsiTheme="minorHAnsi" w:cstheme="minorHAnsi"/>
                <w:bCs/>
                <w:color w:val="auto"/>
                <w:sz w:val="18"/>
                <w:szCs w:val="18"/>
              </w:rPr>
              <w:t>DIY goods</w:t>
            </w:r>
          </w:p>
        </w:tc>
        <w:tc>
          <w:tcPr>
            <w:tcW w:w="613" w:type="dxa"/>
            <w:shd w:val="clear" w:color="auto" w:fill="auto"/>
            <w:vAlign w:val="bottom"/>
          </w:tcPr>
          <w:p w14:paraId="4CDD48C9" w14:textId="4090347C" w:rsidR="008025B6" w:rsidRPr="00493E12" w:rsidRDefault="00811BD9"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1</w:t>
            </w:r>
            <w:r w:rsidR="008025B6" w:rsidRPr="00493E12">
              <w:rPr>
                <w:rFonts w:asciiTheme="minorHAnsi" w:hAnsiTheme="minorHAnsi" w:cstheme="minorHAnsi"/>
                <w:color w:val="000000"/>
                <w:sz w:val="18"/>
                <w:szCs w:val="18"/>
              </w:rPr>
              <w:t>%</w:t>
            </w:r>
          </w:p>
        </w:tc>
        <w:tc>
          <w:tcPr>
            <w:tcW w:w="676" w:type="dxa"/>
            <w:shd w:val="clear" w:color="auto" w:fill="auto"/>
            <w:vAlign w:val="bottom"/>
          </w:tcPr>
          <w:p w14:paraId="603E2BDF" w14:textId="1F6C3867" w:rsidR="008025B6" w:rsidRPr="00493E12" w:rsidRDefault="00811BD9"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30</w:t>
            </w:r>
            <w:r w:rsidR="008025B6" w:rsidRPr="00493E12">
              <w:rPr>
                <w:rFonts w:asciiTheme="minorHAnsi" w:hAnsiTheme="minorHAnsi" w:cstheme="minorHAnsi"/>
                <w:color w:val="000000"/>
                <w:sz w:val="18"/>
                <w:szCs w:val="18"/>
              </w:rPr>
              <w:t>%</w:t>
            </w:r>
          </w:p>
        </w:tc>
        <w:tc>
          <w:tcPr>
            <w:tcW w:w="675" w:type="dxa"/>
            <w:shd w:val="clear" w:color="auto" w:fill="auto"/>
            <w:vAlign w:val="bottom"/>
          </w:tcPr>
          <w:p w14:paraId="4C25F695" w14:textId="7C30846F"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68" w:type="dxa"/>
            <w:shd w:val="clear" w:color="auto" w:fill="auto"/>
            <w:vAlign w:val="bottom"/>
          </w:tcPr>
          <w:p w14:paraId="67719389" w14:textId="2C7953D3"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0B35CDB5" w14:textId="7E7DF7FE"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2A21518D" w14:textId="2BE606B4"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5B425BEC" w14:textId="256C6BAB"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73" w:type="dxa"/>
            <w:shd w:val="clear" w:color="auto" w:fill="auto"/>
            <w:vAlign w:val="bottom"/>
          </w:tcPr>
          <w:p w14:paraId="1BCD5470" w14:textId="6DFEE108"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75" w:type="dxa"/>
            <w:shd w:val="clear" w:color="auto" w:fill="auto"/>
            <w:vAlign w:val="bottom"/>
          </w:tcPr>
          <w:p w14:paraId="2F2D0F26" w14:textId="19FB70B4"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2</w:t>
            </w:r>
            <w:r w:rsidR="00811BD9">
              <w:rPr>
                <w:rFonts w:asciiTheme="minorHAnsi" w:hAnsiTheme="minorHAnsi" w:cstheme="minorHAnsi"/>
                <w:color w:val="000000"/>
                <w:sz w:val="18"/>
                <w:szCs w:val="18"/>
              </w:rPr>
              <w:t>6</w:t>
            </w:r>
            <w:r w:rsidRPr="00493E12">
              <w:rPr>
                <w:rFonts w:asciiTheme="minorHAnsi" w:hAnsiTheme="minorHAnsi" w:cstheme="minorHAnsi"/>
                <w:color w:val="000000"/>
                <w:sz w:val="18"/>
                <w:szCs w:val="18"/>
              </w:rPr>
              <w:t>%</w:t>
            </w:r>
          </w:p>
        </w:tc>
        <w:tc>
          <w:tcPr>
            <w:tcW w:w="675" w:type="dxa"/>
            <w:shd w:val="clear" w:color="auto" w:fill="auto"/>
            <w:vAlign w:val="bottom"/>
          </w:tcPr>
          <w:p w14:paraId="6EAB0310" w14:textId="787071D2"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73" w:type="dxa"/>
            <w:shd w:val="clear" w:color="auto" w:fill="auto"/>
            <w:vAlign w:val="bottom"/>
          </w:tcPr>
          <w:p w14:paraId="31A169FC" w14:textId="751AF7F8"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186BB50D" w14:textId="1347F899"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770D78A7" w14:textId="0DAE6F91"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5ADAA311" w14:textId="68D6B217" w:rsidR="008025B6" w:rsidRPr="00493E12" w:rsidRDefault="008025B6" w:rsidP="008025B6">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493E12">
              <w:rPr>
                <w:rFonts w:asciiTheme="minorHAnsi" w:hAnsiTheme="minorHAnsi" w:cstheme="minorHAnsi"/>
                <w:color w:val="000000"/>
                <w:sz w:val="18"/>
                <w:szCs w:val="18"/>
              </w:rPr>
              <w:t>0%</w:t>
            </w:r>
          </w:p>
        </w:tc>
      </w:tr>
      <w:tr w:rsidR="008025B6" w:rsidRPr="00493E12" w14:paraId="508F3241" w14:textId="77777777" w:rsidTr="00493E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1590F6B7" w14:textId="77777777" w:rsidR="008025B6" w:rsidRPr="00493E12" w:rsidRDefault="008025B6" w:rsidP="008025B6">
            <w:pPr>
              <w:rPr>
                <w:rFonts w:asciiTheme="minorHAnsi" w:hAnsiTheme="minorHAnsi" w:cstheme="minorHAnsi"/>
                <w:bCs/>
                <w:sz w:val="18"/>
                <w:szCs w:val="18"/>
              </w:rPr>
            </w:pPr>
            <w:r w:rsidRPr="00493E12">
              <w:rPr>
                <w:rFonts w:asciiTheme="minorHAnsi" w:hAnsiTheme="minorHAnsi" w:cstheme="minorHAnsi"/>
                <w:bCs/>
                <w:sz w:val="18"/>
                <w:szCs w:val="18"/>
              </w:rPr>
              <w:t>Domestic appliances</w:t>
            </w:r>
          </w:p>
        </w:tc>
        <w:tc>
          <w:tcPr>
            <w:tcW w:w="613" w:type="dxa"/>
            <w:shd w:val="clear" w:color="auto" w:fill="auto"/>
            <w:vAlign w:val="bottom"/>
          </w:tcPr>
          <w:p w14:paraId="75558333" w14:textId="7D321797"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6" w:type="dxa"/>
            <w:shd w:val="clear" w:color="auto" w:fill="auto"/>
            <w:vAlign w:val="bottom"/>
          </w:tcPr>
          <w:p w14:paraId="6C97289F" w14:textId="2E66FD87"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1%</w:t>
            </w:r>
          </w:p>
        </w:tc>
        <w:tc>
          <w:tcPr>
            <w:tcW w:w="675" w:type="dxa"/>
            <w:shd w:val="clear" w:color="auto" w:fill="auto"/>
            <w:vAlign w:val="bottom"/>
          </w:tcPr>
          <w:p w14:paraId="7DFE4795" w14:textId="19F5F718"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68" w:type="dxa"/>
            <w:shd w:val="clear" w:color="auto" w:fill="auto"/>
            <w:vAlign w:val="bottom"/>
          </w:tcPr>
          <w:p w14:paraId="1F0D07A8" w14:textId="2128D3A7"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51EB7A7E" w14:textId="2DBE5D04"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51C71208" w14:textId="452186F2"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5D0BAA13" w14:textId="4772BE14"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3" w:type="dxa"/>
            <w:shd w:val="clear" w:color="auto" w:fill="auto"/>
            <w:vAlign w:val="bottom"/>
          </w:tcPr>
          <w:p w14:paraId="23888DB2" w14:textId="5BC1DC57"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5" w:type="dxa"/>
            <w:shd w:val="clear" w:color="auto" w:fill="auto"/>
            <w:vAlign w:val="bottom"/>
          </w:tcPr>
          <w:p w14:paraId="48B0A3A1" w14:textId="712EB201" w:rsidR="008025B6" w:rsidRPr="00493E12" w:rsidRDefault="00811BD9"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6</w:t>
            </w:r>
            <w:r w:rsidR="008025B6" w:rsidRPr="00493E12">
              <w:rPr>
                <w:rFonts w:asciiTheme="minorHAnsi" w:hAnsiTheme="minorHAnsi" w:cstheme="minorHAnsi"/>
                <w:color w:val="000000"/>
                <w:sz w:val="18"/>
                <w:szCs w:val="18"/>
              </w:rPr>
              <w:t>%</w:t>
            </w:r>
          </w:p>
        </w:tc>
        <w:tc>
          <w:tcPr>
            <w:tcW w:w="675" w:type="dxa"/>
            <w:shd w:val="clear" w:color="auto" w:fill="auto"/>
            <w:vAlign w:val="bottom"/>
          </w:tcPr>
          <w:p w14:paraId="3B8239A5" w14:textId="062B6D3D"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3" w:type="dxa"/>
            <w:shd w:val="clear" w:color="auto" w:fill="auto"/>
            <w:vAlign w:val="bottom"/>
          </w:tcPr>
          <w:p w14:paraId="0DEA46D6" w14:textId="6B5645F6"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6FAC35B0" w14:textId="534B64EC"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3C9498C0" w14:textId="52A4CC3B"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2BB4C250" w14:textId="6F890235"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r>
      <w:tr w:rsidR="008025B6" w:rsidRPr="00493E12" w14:paraId="369D0AFC" w14:textId="77777777" w:rsidTr="00493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2087D47D" w14:textId="77777777" w:rsidR="008025B6" w:rsidRPr="00493E12" w:rsidRDefault="008025B6" w:rsidP="008025B6">
            <w:pPr>
              <w:rPr>
                <w:rFonts w:asciiTheme="minorHAnsi" w:hAnsiTheme="minorHAnsi" w:cstheme="minorHAnsi"/>
                <w:bCs/>
                <w:sz w:val="18"/>
                <w:szCs w:val="18"/>
              </w:rPr>
            </w:pPr>
            <w:r w:rsidRPr="00493E12">
              <w:rPr>
                <w:rFonts w:asciiTheme="minorHAnsi" w:hAnsiTheme="minorHAnsi" w:cstheme="minorHAnsi"/>
                <w:bCs/>
                <w:sz w:val="18"/>
                <w:szCs w:val="18"/>
              </w:rPr>
              <w:t>Small electrical goods</w:t>
            </w:r>
          </w:p>
        </w:tc>
        <w:tc>
          <w:tcPr>
            <w:tcW w:w="613" w:type="dxa"/>
            <w:shd w:val="clear" w:color="auto" w:fill="auto"/>
            <w:vAlign w:val="bottom"/>
          </w:tcPr>
          <w:p w14:paraId="15EF6FF7" w14:textId="41C0B987"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6" w:type="dxa"/>
            <w:shd w:val="clear" w:color="auto" w:fill="auto"/>
            <w:vAlign w:val="bottom"/>
          </w:tcPr>
          <w:p w14:paraId="1DA7252F" w14:textId="08AF8790" w:rsidR="008025B6" w:rsidRPr="00493E12" w:rsidRDefault="00811BD9"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8</w:t>
            </w:r>
            <w:r w:rsidR="008025B6" w:rsidRPr="00493E12">
              <w:rPr>
                <w:rFonts w:asciiTheme="minorHAnsi" w:hAnsiTheme="minorHAnsi" w:cstheme="minorHAnsi"/>
                <w:color w:val="000000"/>
                <w:sz w:val="18"/>
                <w:szCs w:val="18"/>
              </w:rPr>
              <w:t>%</w:t>
            </w:r>
          </w:p>
        </w:tc>
        <w:tc>
          <w:tcPr>
            <w:tcW w:w="675" w:type="dxa"/>
            <w:shd w:val="clear" w:color="auto" w:fill="auto"/>
            <w:vAlign w:val="bottom"/>
          </w:tcPr>
          <w:p w14:paraId="304A365F" w14:textId="2DD5EA5E"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68" w:type="dxa"/>
            <w:shd w:val="clear" w:color="auto" w:fill="auto"/>
            <w:vAlign w:val="bottom"/>
          </w:tcPr>
          <w:p w14:paraId="2A149A21" w14:textId="72941AF2"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73699FA1" w14:textId="7B2E37C0"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361DD3CF" w14:textId="083BA7F3"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31536A77" w14:textId="4C670D00"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3" w:type="dxa"/>
            <w:shd w:val="clear" w:color="auto" w:fill="auto"/>
            <w:vAlign w:val="bottom"/>
          </w:tcPr>
          <w:p w14:paraId="68282EE5" w14:textId="1D45001F"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5" w:type="dxa"/>
            <w:shd w:val="clear" w:color="auto" w:fill="auto"/>
            <w:vAlign w:val="bottom"/>
          </w:tcPr>
          <w:p w14:paraId="689BF4F6" w14:textId="737EB09E"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5" w:type="dxa"/>
            <w:shd w:val="clear" w:color="auto" w:fill="auto"/>
            <w:vAlign w:val="bottom"/>
          </w:tcPr>
          <w:p w14:paraId="42115F2D" w14:textId="6DB583E6"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3" w:type="dxa"/>
            <w:shd w:val="clear" w:color="auto" w:fill="auto"/>
            <w:vAlign w:val="bottom"/>
          </w:tcPr>
          <w:p w14:paraId="2F7D2B13" w14:textId="6813A865"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6FEA36B1" w14:textId="5EF62102"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07410663" w14:textId="4B2C752E"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649EAE99" w14:textId="00B70DD3"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r>
      <w:tr w:rsidR="008025B6" w:rsidRPr="00493E12" w14:paraId="13CEA81D" w14:textId="77777777" w:rsidTr="00493E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41BB3280" w14:textId="77777777" w:rsidR="008025B6" w:rsidRPr="00493E12" w:rsidRDefault="008025B6" w:rsidP="008025B6">
            <w:pPr>
              <w:rPr>
                <w:rFonts w:asciiTheme="minorHAnsi" w:hAnsiTheme="minorHAnsi" w:cstheme="minorHAnsi"/>
                <w:bCs/>
                <w:sz w:val="18"/>
                <w:szCs w:val="18"/>
              </w:rPr>
            </w:pPr>
            <w:r w:rsidRPr="00493E12">
              <w:rPr>
                <w:rFonts w:asciiTheme="minorHAnsi" w:hAnsiTheme="minorHAnsi" w:cstheme="minorHAnsi"/>
                <w:bCs/>
                <w:sz w:val="18"/>
                <w:szCs w:val="18"/>
              </w:rPr>
              <w:t>Personal / luxury goods</w:t>
            </w:r>
          </w:p>
        </w:tc>
        <w:tc>
          <w:tcPr>
            <w:tcW w:w="613" w:type="dxa"/>
            <w:shd w:val="clear" w:color="auto" w:fill="auto"/>
            <w:vAlign w:val="bottom"/>
          </w:tcPr>
          <w:p w14:paraId="458D20E1" w14:textId="25E50668"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6" w:type="dxa"/>
            <w:shd w:val="clear" w:color="auto" w:fill="auto"/>
            <w:vAlign w:val="bottom"/>
          </w:tcPr>
          <w:p w14:paraId="52334369" w14:textId="7BB73F80"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48%</w:t>
            </w:r>
          </w:p>
        </w:tc>
        <w:tc>
          <w:tcPr>
            <w:tcW w:w="675" w:type="dxa"/>
            <w:shd w:val="clear" w:color="auto" w:fill="auto"/>
            <w:vAlign w:val="bottom"/>
          </w:tcPr>
          <w:p w14:paraId="13ADEDA9" w14:textId="2B072D04"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68" w:type="dxa"/>
            <w:shd w:val="clear" w:color="auto" w:fill="auto"/>
            <w:vAlign w:val="bottom"/>
          </w:tcPr>
          <w:p w14:paraId="1283300F" w14:textId="15838F72"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4DD763C0" w14:textId="1ADBD9F9"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5B1A8E58" w14:textId="34BFE496"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24D3BEC1" w14:textId="63C1C073"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3" w:type="dxa"/>
            <w:shd w:val="clear" w:color="auto" w:fill="auto"/>
            <w:vAlign w:val="bottom"/>
          </w:tcPr>
          <w:p w14:paraId="6A49C475" w14:textId="0E9EEB91"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5" w:type="dxa"/>
            <w:shd w:val="clear" w:color="auto" w:fill="auto"/>
            <w:vAlign w:val="bottom"/>
          </w:tcPr>
          <w:p w14:paraId="2B02AE3F" w14:textId="38560A03"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10%</w:t>
            </w:r>
          </w:p>
        </w:tc>
        <w:tc>
          <w:tcPr>
            <w:tcW w:w="675" w:type="dxa"/>
            <w:shd w:val="clear" w:color="auto" w:fill="auto"/>
            <w:vAlign w:val="bottom"/>
          </w:tcPr>
          <w:p w14:paraId="20E37663" w14:textId="1B93F34C"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3" w:type="dxa"/>
            <w:shd w:val="clear" w:color="auto" w:fill="auto"/>
            <w:vAlign w:val="bottom"/>
          </w:tcPr>
          <w:p w14:paraId="51418317" w14:textId="393AB095"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594EDC00" w14:textId="401F021F"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415AD340" w14:textId="463D736A"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546723A1" w14:textId="0C4D8B4E" w:rsidR="008025B6" w:rsidRPr="00493E12" w:rsidRDefault="008025B6" w:rsidP="008025B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r>
      <w:tr w:rsidR="008025B6" w:rsidRPr="00493E12" w14:paraId="76C058DB" w14:textId="77777777" w:rsidTr="00493E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auto"/>
          </w:tcPr>
          <w:p w14:paraId="7A142517" w14:textId="77777777" w:rsidR="008025B6" w:rsidRPr="00493E12" w:rsidRDefault="008025B6" w:rsidP="008025B6">
            <w:pPr>
              <w:rPr>
                <w:rFonts w:asciiTheme="minorHAnsi" w:hAnsiTheme="minorHAnsi" w:cstheme="minorHAnsi"/>
                <w:bCs/>
                <w:sz w:val="18"/>
                <w:szCs w:val="18"/>
              </w:rPr>
            </w:pPr>
            <w:r w:rsidRPr="00493E12">
              <w:rPr>
                <w:rFonts w:asciiTheme="minorHAnsi" w:hAnsiTheme="minorHAnsi" w:cstheme="minorHAnsi"/>
                <w:bCs/>
                <w:sz w:val="18"/>
                <w:szCs w:val="18"/>
              </w:rPr>
              <w:t>Recreational goods</w:t>
            </w:r>
          </w:p>
        </w:tc>
        <w:tc>
          <w:tcPr>
            <w:tcW w:w="613" w:type="dxa"/>
            <w:shd w:val="clear" w:color="auto" w:fill="auto"/>
            <w:vAlign w:val="bottom"/>
          </w:tcPr>
          <w:p w14:paraId="71DFEB46" w14:textId="2899FACE"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6" w:type="dxa"/>
            <w:shd w:val="clear" w:color="auto" w:fill="auto"/>
            <w:vAlign w:val="bottom"/>
          </w:tcPr>
          <w:p w14:paraId="3651C974" w14:textId="5E2A0E11"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31%</w:t>
            </w:r>
          </w:p>
        </w:tc>
        <w:tc>
          <w:tcPr>
            <w:tcW w:w="675" w:type="dxa"/>
            <w:shd w:val="clear" w:color="auto" w:fill="auto"/>
            <w:vAlign w:val="bottom"/>
          </w:tcPr>
          <w:p w14:paraId="7AAA25B4" w14:textId="77C3F5F5"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68" w:type="dxa"/>
            <w:shd w:val="clear" w:color="auto" w:fill="auto"/>
            <w:vAlign w:val="bottom"/>
          </w:tcPr>
          <w:p w14:paraId="6C755DED" w14:textId="506EDC2C"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6DA150E5" w14:textId="14248F85"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60A94E83" w14:textId="2B2E3B1F"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5A35D207" w14:textId="1C411983"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3" w:type="dxa"/>
            <w:shd w:val="clear" w:color="auto" w:fill="auto"/>
            <w:vAlign w:val="bottom"/>
          </w:tcPr>
          <w:p w14:paraId="5DC73999" w14:textId="641F6653"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5" w:type="dxa"/>
            <w:shd w:val="clear" w:color="auto" w:fill="auto"/>
            <w:vAlign w:val="bottom"/>
          </w:tcPr>
          <w:p w14:paraId="3EF9815E" w14:textId="1B58DA7F"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27%</w:t>
            </w:r>
          </w:p>
        </w:tc>
        <w:tc>
          <w:tcPr>
            <w:tcW w:w="675" w:type="dxa"/>
            <w:shd w:val="clear" w:color="auto" w:fill="auto"/>
            <w:vAlign w:val="bottom"/>
          </w:tcPr>
          <w:p w14:paraId="04E4C460" w14:textId="2DA19EEA"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73" w:type="dxa"/>
            <w:shd w:val="clear" w:color="auto" w:fill="auto"/>
            <w:vAlign w:val="bottom"/>
          </w:tcPr>
          <w:p w14:paraId="574E4674" w14:textId="1F8541A6"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70F1B717" w14:textId="18C10CCF"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1" w:type="dxa"/>
            <w:shd w:val="clear" w:color="auto" w:fill="auto"/>
            <w:vAlign w:val="bottom"/>
          </w:tcPr>
          <w:p w14:paraId="0409DD3A" w14:textId="559B9E4F"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c>
          <w:tcPr>
            <w:tcW w:w="612" w:type="dxa"/>
            <w:shd w:val="clear" w:color="auto" w:fill="auto"/>
            <w:vAlign w:val="bottom"/>
          </w:tcPr>
          <w:p w14:paraId="0978B4E5" w14:textId="2E9A1E7A" w:rsidR="008025B6" w:rsidRPr="00493E12" w:rsidRDefault="008025B6" w:rsidP="008025B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493E12">
              <w:rPr>
                <w:rFonts w:asciiTheme="minorHAnsi" w:hAnsiTheme="minorHAnsi" w:cstheme="minorHAnsi"/>
                <w:color w:val="000000"/>
                <w:sz w:val="18"/>
                <w:szCs w:val="18"/>
              </w:rPr>
              <w:t>0%</w:t>
            </w:r>
          </w:p>
        </w:tc>
      </w:tr>
    </w:tbl>
    <w:p w14:paraId="0A040896" w14:textId="77777777" w:rsidR="009319C8" w:rsidRDefault="009319C8" w:rsidP="009319C8">
      <w:pPr>
        <w:pStyle w:val="Level1"/>
        <w:numPr>
          <w:ilvl w:val="0"/>
          <w:numId w:val="0"/>
        </w:numPr>
        <w:ind w:left="720"/>
        <w:jc w:val="both"/>
        <w:rPr>
          <w:highlight w:val="yellow"/>
        </w:rPr>
      </w:pPr>
    </w:p>
    <w:p w14:paraId="08B96416" w14:textId="5CAFE46B" w:rsidR="009C4893" w:rsidRPr="00411DA2" w:rsidRDefault="009C4893" w:rsidP="00FC7952">
      <w:pPr>
        <w:pStyle w:val="Level1"/>
        <w:jc w:val="both"/>
      </w:pPr>
      <w:r w:rsidRPr="00411DA2">
        <w:t xml:space="preserve">The market share data also indicates a comparison goods catchment area which is largely confined to Zone 3 of the study area.  The 2022 household survey data indicates that the highest market share is in the personal and luxury goods category (which includes </w:t>
      </w:r>
      <w:r w:rsidR="00A847AD" w:rsidRPr="00411DA2">
        <w:t xml:space="preserve">health and beauty goods), at 48% of first choice trips from Zone 3 residents.  This is broadly </w:t>
      </w:r>
      <w:proofErr w:type="gramStart"/>
      <w:r w:rsidR="00A847AD" w:rsidRPr="00411DA2">
        <w:t>similar to</w:t>
      </w:r>
      <w:proofErr w:type="gramEnd"/>
      <w:r w:rsidR="00A847AD" w:rsidRPr="00411DA2">
        <w:t xml:space="preserve"> the equivalent type of trip adopted for the purposes of the 2013 retail study</w:t>
      </w:r>
      <w:r w:rsidR="00411DA2" w:rsidRPr="00411DA2">
        <w:t>, although the share of second choice trips for this category amongst Zone 3 residents has fallen slightly (from 16% to 10%) between 2013 and 2022.</w:t>
      </w:r>
    </w:p>
    <w:p w14:paraId="26F89D5B" w14:textId="02E1C540" w:rsidR="00A847AD" w:rsidRPr="00A84B12" w:rsidRDefault="00411DA2" w:rsidP="00FC7952">
      <w:pPr>
        <w:pStyle w:val="Level1"/>
        <w:jc w:val="both"/>
      </w:pPr>
      <w:r w:rsidRPr="00411DA2">
        <w:t xml:space="preserve">The next most popular categories for first choice comparison goods shopping trips to Brixham town centre (from Zone 3 </w:t>
      </w:r>
      <w:r w:rsidRPr="00A84B12">
        <w:t xml:space="preserve">residents) are: </w:t>
      </w:r>
      <w:r w:rsidR="009914AA" w:rsidRPr="00A84B12">
        <w:t xml:space="preserve">DIY goods (30%), recreational goods (31%) and furniture / household textiles (29%).  Table 4.18 indicates that the (first choice) market share in these categories has grown since the comparable data used in the 2013 retail study.  This is also true for second choice trips amongst Zone 3 residents in these categories.  In relation to other categories, the </w:t>
      </w:r>
      <w:proofErr w:type="gramStart"/>
      <w:r w:rsidR="009914AA" w:rsidRPr="00A84B12">
        <w:t>first choice</w:t>
      </w:r>
      <w:proofErr w:type="gramEnd"/>
      <w:r w:rsidR="009914AA" w:rsidRPr="00A84B12">
        <w:t xml:space="preserve"> market share </w:t>
      </w:r>
      <w:r w:rsidR="00EF2E00" w:rsidRPr="00A84B12">
        <w:t>of clothing/footwear shopping trips to the town centre has increased slightly, whilst the centre’s share of trips associated with domestic appliances and smaller electrical goods has decreased.</w:t>
      </w:r>
      <w:r w:rsidR="009914AA" w:rsidRPr="00A84B12">
        <w:t xml:space="preserve"> </w:t>
      </w:r>
    </w:p>
    <w:p w14:paraId="1D03198B" w14:textId="1168DD89" w:rsidR="00FC7952" w:rsidRPr="00B44051" w:rsidRDefault="00E86ACC" w:rsidP="00FC7952">
      <w:pPr>
        <w:pStyle w:val="Level1"/>
        <w:jc w:val="both"/>
      </w:pPr>
      <w:r w:rsidRPr="00B44051">
        <w:lastRenderedPageBreak/>
        <w:t>In relation to visits to food an</w:t>
      </w:r>
      <w:r w:rsidR="00904A78" w:rsidRPr="00B44051">
        <w:t xml:space="preserve">d beverage facilities in Brixham town centre, the results of the household survey indicate that </w:t>
      </w:r>
      <w:r w:rsidR="00E51D1B">
        <w:t xml:space="preserve">it </w:t>
      </w:r>
      <w:r w:rsidR="00904A78" w:rsidRPr="00B44051">
        <w:t>only attracts a material amount of visits from Zone 3 of the study area (the zone in which Brixham sits) with a 68% market share.</w:t>
      </w:r>
    </w:p>
    <w:p w14:paraId="417D743C" w14:textId="77777777" w:rsidR="00220ADC" w:rsidRPr="00A84B12" w:rsidRDefault="00220ADC" w:rsidP="00FC7952">
      <w:pPr>
        <w:pStyle w:val="Level1"/>
        <w:jc w:val="both"/>
      </w:pPr>
      <w:r w:rsidRPr="00A84B12">
        <w:t>The 2022 household survey provides the following data regarding the usage of Brixham town centre:</w:t>
      </w:r>
    </w:p>
    <w:p w14:paraId="33B97C89" w14:textId="77777777" w:rsidR="00CB6FDE" w:rsidRPr="00B94A0B" w:rsidRDefault="00CB6FDE" w:rsidP="00220ADC">
      <w:pPr>
        <w:pStyle w:val="ListBullet"/>
      </w:pPr>
      <w:r w:rsidRPr="00B94A0B">
        <w:t xml:space="preserve">In relation to the frequency of visits to the town centre, Brixham scores the highest out of the three main centres in Torbay with circa 60% of Zone 3 residents visiting the centre at least once a week.  This is twice the level of Paignton and three times the level of Torquay.  This suggests that Brixham is very much a local shopping and service destination which </w:t>
      </w:r>
      <w:proofErr w:type="gramStart"/>
      <w:r w:rsidRPr="00B94A0B">
        <w:t>is able to</w:t>
      </w:r>
      <w:proofErr w:type="gramEnd"/>
      <w:r w:rsidRPr="00B94A0B">
        <w:t xml:space="preserve"> serve a reasonable amount of day to day needs of the local population and is able to combine this role successfully with its long-standing visitor/tourism role.</w:t>
      </w:r>
    </w:p>
    <w:p w14:paraId="5A5130AE" w14:textId="45D33F6D" w:rsidR="002A2380" w:rsidRPr="00B94A0B" w:rsidRDefault="00CB6FDE" w:rsidP="00220ADC">
      <w:pPr>
        <w:pStyle w:val="ListBullet"/>
      </w:pPr>
      <w:r w:rsidRPr="00B94A0B">
        <w:t xml:space="preserve">The level of visits to </w:t>
      </w:r>
      <w:r w:rsidR="001E7952">
        <w:t>Brixham</w:t>
      </w:r>
      <w:r w:rsidRPr="00B94A0B">
        <w:t xml:space="preserve"> town centre has been least affected by the Covid-19 pandemic when compared with the other two main town centres.  72% of Zone 3 residents responding to the 2022 household survey indica</w:t>
      </w:r>
      <w:r w:rsidR="002A2380" w:rsidRPr="00B94A0B">
        <w:t>ted that there had been no change, which can be compared with 61%-63% for Paignton and Torquay.</w:t>
      </w:r>
    </w:p>
    <w:p w14:paraId="4FF5E135" w14:textId="54350BC4" w:rsidR="000B57A4" w:rsidRPr="00B94A0B" w:rsidRDefault="002A2380" w:rsidP="00220ADC">
      <w:pPr>
        <w:pStyle w:val="ListBullet"/>
      </w:pPr>
      <w:r w:rsidRPr="00B94A0B">
        <w:t>In relation to the reasons for visiting the town centre, non-food shopping is the most popular reason (like the other two main town centres). However, there are some noticeable differences from the other two centre</w:t>
      </w:r>
      <w:r w:rsidR="001E7952">
        <w:t>s</w:t>
      </w:r>
      <w:r w:rsidRPr="00B94A0B">
        <w:t xml:space="preserve">, including, for example, a much higher level of top-up food shopping, eating out, and strolling around the centre.  In contrast, there are much lower levels of visits for financial services (which </w:t>
      </w:r>
      <w:proofErr w:type="gramStart"/>
      <w:r w:rsidRPr="00B94A0B">
        <w:t>is a reflection of</w:t>
      </w:r>
      <w:proofErr w:type="gramEnd"/>
      <w:r w:rsidRPr="00B94A0B">
        <w:t xml:space="preserve"> </w:t>
      </w:r>
      <w:r w:rsidR="000B57A4" w:rsidRPr="00B94A0B">
        <w:t>the low level of facilities present).</w:t>
      </w:r>
    </w:p>
    <w:p w14:paraId="1AD32C76" w14:textId="77777777" w:rsidR="000B57A4" w:rsidRPr="00B94A0B" w:rsidRDefault="000B57A4" w:rsidP="00220ADC">
      <w:pPr>
        <w:pStyle w:val="ListBullet"/>
      </w:pPr>
      <w:r w:rsidRPr="00B94A0B">
        <w:t>The timing of visits to Brixham town centre is very similar to that of Paignton with 58% of visits taking place in the morning and 23% in the early afternoon (12noon – 3pm).</w:t>
      </w:r>
    </w:p>
    <w:p w14:paraId="2B06E1DF" w14:textId="27383553" w:rsidR="00EF2E00" w:rsidRPr="00B94A0B" w:rsidRDefault="000B57A4" w:rsidP="00220ADC">
      <w:pPr>
        <w:pStyle w:val="ListBullet"/>
      </w:pPr>
      <w:r w:rsidRPr="00B94A0B">
        <w:t xml:space="preserve">Mode of travel to Brixham town centre is noticeably different to the other two main town centres, with the lowest level of travel by car (circa 40%, when compared with circa 60% for Paignton and Torquay).  In contrast, 45% of Zone 3 residents walk to the town centre, which can be compared with 30% in Paignton and 26% in Torquay.  This latter difference may be explained </w:t>
      </w:r>
      <w:r w:rsidR="00BC31EC" w:rsidRPr="00B94A0B">
        <w:t>by the respective size of the three settlements and how people use the centre (</w:t>
      </w:r>
      <w:proofErr w:type="gramStart"/>
      <w:r w:rsidR="00BC31EC" w:rsidRPr="00B94A0B">
        <w:t>i.e.</w:t>
      </w:r>
      <w:proofErr w:type="gramEnd"/>
      <w:r w:rsidR="00BC31EC" w:rsidRPr="00B94A0B">
        <w:t xml:space="preserve"> as, in Brixham’s case, a day to day retail/service destination).</w:t>
      </w:r>
    </w:p>
    <w:p w14:paraId="32626B99" w14:textId="3E556D1A" w:rsidR="00BC31EC" w:rsidRPr="00DC26E7" w:rsidRDefault="00033FA9" w:rsidP="00220ADC">
      <w:pPr>
        <w:pStyle w:val="ListBullet"/>
      </w:pPr>
      <w:r w:rsidRPr="00B94A0B">
        <w:t xml:space="preserve">Of those </w:t>
      </w:r>
      <w:proofErr w:type="gramStart"/>
      <w:r w:rsidRPr="00B94A0B">
        <w:t>local residents</w:t>
      </w:r>
      <w:proofErr w:type="gramEnd"/>
      <w:r w:rsidRPr="00B94A0B">
        <w:t xml:space="preserve"> (in Zone 3) who don’t visit the town centre, the main reasons given were: the range and quality of shops, health reasons, and the lack of car parking.  </w:t>
      </w:r>
      <w:r w:rsidR="00B94A0B" w:rsidRPr="00B94A0B">
        <w:t xml:space="preserve">Within this group of people, the alternative destinations visited were split evenly between Paignton, The Willows district centre, Plymouth, and Torquay town centre.  Reasons associated with car parking would appear to be the </w:t>
      </w:r>
      <w:r w:rsidR="00B94A0B" w:rsidRPr="00DC26E7">
        <w:t>main reasons for visiting these alternative destinations, followed by choice of non-food shops.</w:t>
      </w:r>
    </w:p>
    <w:p w14:paraId="78EEAEF6" w14:textId="20476C49" w:rsidR="00191405" w:rsidRPr="00B44051" w:rsidRDefault="00191405" w:rsidP="00FC7952">
      <w:pPr>
        <w:pStyle w:val="Level1"/>
        <w:jc w:val="both"/>
      </w:pPr>
      <w:r w:rsidRPr="00B44051">
        <w:t>With regards to the foregoing analysis, the following conclusions can be drawn in relation to Brixham town centre:</w:t>
      </w:r>
    </w:p>
    <w:p w14:paraId="6F11EFE1" w14:textId="55F9BC48" w:rsidR="00191405" w:rsidRPr="00B44051" w:rsidRDefault="00191405" w:rsidP="00191405">
      <w:pPr>
        <w:pStyle w:val="ListBullet"/>
      </w:pPr>
      <w:r w:rsidRPr="00B44051">
        <w:t xml:space="preserve">The town centre has a small </w:t>
      </w:r>
      <w:proofErr w:type="gramStart"/>
      <w:r w:rsidRPr="00B44051">
        <w:t>comparison goods shopping</w:t>
      </w:r>
      <w:proofErr w:type="gramEnd"/>
      <w:r w:rsidRPr="00B44051">
        <w:t xml:space="preserve"> catchment which is largely confined to the local area, which is also true for convenience goods shopping.  The centre has a largely top-up food shopping role which has not changed in recent years.</w:t>
      </w:r>
    </w:p>
    <w:p w14:paraId="68B8F83C" w14:textId="72D7794E" w:rsidR="00191405" w:rsidRPr="00B44051" w:rsidRDefault="0092411A" w:rsidP="00191405">
      <w:pPr>
        <w:pStyle w:val="ListBullet"/>
      </w:pPr>
      <w:r w:rsidRPr="00B44051">
        <w:t xml:space="preserve">The land use profile of the centre has </w:t>
      </w:r>
      <w:r w:rsidR="00DC26E7" w:rsidRPr="00B44051">
        <w:t>not seen any significant changes in recent years, apart from a fall in the number of comparison goods retail outlets (although the proportion of these uses remains above the national average).</w:t>
      </w:r>
    </w:p>
    <w:p w14:paraId="4F55AD7B" w14:textId="1C94B361" w:rsidR="00DC26E7" w:rsidRPr="00B44051" w:rsidRDefault="00DC26E7" w:rsidP="00191405">
      <w:pPr>
        <w:pStyle w:val="ListBullet"/>
      </w:pPr>
      <w:r w:rsidRPr="00B44051">
        <w:t>Vacancies in the town centre have fallen since the previous retail study and are now around half of the national average.</w:t>
      </w:r>
    </w:p>
    <w:p w14:paraId="0FB24D62" w14:textId="63C01787" w:rsidR="00DC26E7" w:rsidRPr="00B44051" w:rsidRDefault="00DC26E7" w:rsidP="00B44051">
      <w:pPr>
        <w:pStyle w:val="ListBullet"/>
      </w:pPr>
      <w:r w:rsidRPr="00B44051">
        <w:t>The centre has a small but strong catchment for food and beverage visits from the local community, attracting around two-thirds of all trips from Brixham residents.</w:t>
      </w:r>
    </w:p>
    <w:p w14:paraId="3D31E68B" w14:textId="77777777" w:rsidR="001E7952" w:rsidRDefault="001E7952" w:rsidP="00643176">
      <w:pPr>
        <w:pStyle w:val="Level1"/>
        <w:numPr>
          <w:ilvl w:val="0"/>
          <w:numId w:val="0"/>
        </w:numPr>
        <w:ind w:left="720"/>
        <w:jc w:val="both"/>
        <w:rPr>
          <w:rStyle w:val="Emphasis"/>
        </w:rPr>
      </w:pPr>
    </w:p>
    <w:p w14:paraId="46524FD8" w14:textId="12114FDF" w:rsidR="00643176" w:rsidRPr="00643176" w:rsidRDefault="00643176" w:rsidP="00643176">
      <w:pPr>
        <w:pStyle w:val="Level1"/>
        <w:numPr>
          <w:ilvl w:val="0"/>
          <w:numId w:val="0"/>
        </w:numPr>
        <w:ind w:left="720"/>
        <w:jc w:val="both"/>
        <w:rPr>
          <w:rStyle w:val="Emphasis"/>
        </w:rPr>
      </w:pPr>
      <w:r>
        <w:rPr>
          <w:rStyle w:val="Emphasis"/>
        </w:rPr>
        <w:lastRenderedPageBreak/>
        <w:t>The Willows District Centre</w:t>
      </w:r>
    </w:p>
    <w:p w14:paraId="198E0E91" w14:textId="73A057C0" w:rsidR="00915FA4" w:rsidRDefault="00915FA4" w:rsidP="00FC7952">
      <w:pPr>
        <w:pStyle w:val="Level1"/>
      </w:pPr>
      <w:r>
        <w:t xml:space="preserve">The Willows district centre has, for </w:t>
      </w:r>
      <w:proofErr w:type="gramStart"/>
      <w:r>
        <w:t>a number of</w:t>
      </w:r>
      <w:proofErr w:type="gramEnd"/>
      <w:r>
        <w:t xml:space="preserve"> years, had an important and growing influence on shopping provision in Torquay, Torbay and the surrounding South Devon area.  Originally envisaged as a smaller local </w:t>
      </w:r>
      <w:proofErr w:type="gramStart"/>
      <w:r>
        <w:t>type</w:t>
      </w:r>
      <w:proofErr w:type="gramEnd"/>
      <w:r>
        <w:t xml:space="preserve"> centre</w:t>
      </w:r>
      <w:r w:rsidR="00AC79F7">
        <w:t>, The Willows has been developed on a much larger scale, containing large Sainsburys and Marks &amp; Spencer stores, along with Wren Retail Park.  As will be described below, the district centre has a considerable influence over food and non-food shopping patterns in the Torbay and surrounding area and has led to TC devising a unique planning policy approach for the centre.</w:t>
      </w:r>
    </w:p>
    <w:p w14:paraId="0D88AAAD" w14:textId="7C80F2B3" w:rsidR="004E1827" w:rsidRDefault="00AC79F7" w:rsidP="00FC7952">
      <w:pPr>
        <w:pStyle w:val="Level1"/>
      </w:pPr>
      <w:r w:rsidRPr="00516D6A">
        <w:t xml:space="preserve">The plan at </w:t>
      </w:r>
      <w:r w:rsidRPr="00B44051">
        <w:t>Appendix X</w:t>
      </w:r>
      <w:r w:rsidR="00516D6A" w:rsidRPr="00B44051">
        <w:t>IV</w:t>
      </w:r>
      <w:r w:rsidRPr="00516D6A">
        <w:t xml:space="preserve"> to this</w:t>
      </w:r>
      <w:r>
        <w:t xml:space="preserve"> report shows the extent of the district centre boundary at The Willows, annotated as TC</w:t>
      </w:r>
      <w:r w:rsidR="003022FA">
        <w:t xml:space="preserve">2.2.1.  It covers the Sainsburys and Marks &amp; Spencer stores, Wren Retail Park </w:t>
      </w:r>
      <w:proofErr w:type="gramStart"/>
      <w:r w:rsidR="003022FA">
        <w:t>and also</w:t>
      </w:r>
      <w:proofErr w:type="gramEnd"/>
      <w:r w:rsidR="003022FA">
        <w:t xml:space="preserve"> a DFS furniture store, all of which is bounded by Browns Bridge Road and Riviera Way.  </w:t>
      </w:r>
      <w:r w:rsidR="004E1827">
        <w:t xml:space="preserve">The Retail Park contains four units, three of which are currently occupied by Next, Boots and Home Bargains.  </w:t>
      </w:r>
    </w:p>
    <w:p w14:paraId="695359C2" w14:textId="77623498" w:rsidR="00AC79F7" w:rsidRDefault="003022FA" w:rsidP="00FC7952">
      <w:pPr>
        <w:pStyle w:val="Level1"/>
      </w:pPr>
      <w:r>
        <w:t>There is a distinct change in levels between the Sainsburys/M&amp;S</w:t>
      </w:r>
      <w:r w:rsidR="00CA67D3">
        <w:t>/DFS area and Wren Retail Park, with no physical / direct connection, which leads to a disjointed feel for the overall existing district centre boundary.</w:t>
      </w:r>
    </w:p>
    <w:p w14:paraId="07E29A9E" w14:textId="79EBC22C" w:rsidR="003022FA" w:rsidRDefault="00CA67D3" w:rsidP="00FC7952">
      <w:pPr>
        <w:pStyle w:val="Level1"/>
      </w:pPr>
      <w:r>
        <w:t xml:space="preserve">The </w:t>
      </w:r>
      <w:r w:rsidRPr="00516D6A">
        <w:t xml:space="preserve">plan at </w:t>
      </w:r>
      <w:r w:rsidRPr="00B44051">
        <w:t>Appendix X</w:t>
      </w:r>
      <w:r w:rsidR="00516D6A" w:rsidRPr="00B44051">
        <w:t>IV</w:t>
      </w:r>
      <w:r w:rsidRPr="00516D6A">
        <w:t xml:space="preserve"> also</w:t>
      </w:r>
      <w:r>
        <w:t xml:space="preserve"> </w:t>
      </w:r>
      <w:r w:rsidR="00014317">
        <w:t>indicates an immediately adjacent neighbourhood centre (Condor Drive)</w:t>
      </w:r>
      <w:r w:rsidR="00014317">
        <w:rPr>
          <w:rStyle w:val="FootnoteReference"/>
        </w:rPr>
        <w:footnoteReference w:id="26"/>
      </w:r>
      <w:r w:rsidR="00014317">
        <w:t xml:space="preserve">, separated from the district centre by Browns Bridge Road, and containing a public house, </w:t>
      </w:r>
      <w:r w:rsidR="00DB5C29">
        <w:t>church</w:t>
      </w:r>
      <w:r w:rsidR="00014317">
        <w:t xml:space="preserve">, two take-aways, a veterinary surgery, </w:t>
      </w:r>
      <w:proofErr w:type="gramStart"/>
      <w:r w:rsidR="00014317">
        <w:t>opticians</w:t>
      </w:r>
      <w:proofErr w:type="gramEnd"/>
      <w:r w:rsidR="00014317">
        <w:t xml:space="preserve"> and a hair salon.</w:t>
      </w:r>
    </w:p>
    <w:p w14:paraId="69D348A1" w14:textId="79671A21" w:rsidR="00FC7952" w:rsidRDefault="002B4A12" w:rsidP="00FC7952">
      <w:pPr>
        <w:pStyle w:val="Level1"/>
        <w:jc w:val="both"/>
      </w:pPr>
      <w:r>
        <w:t xml:space="preserve">Table 4.4 earlier in this section outlines the main food market shares associated with The Willows district centre, taken from the 2022 household survey and the 2013 retail study.  It shows that the district centre has an influence in main food shopping patterns across the whole of the study, albeit at a modest level for Zones 3, 6, 7 and 8, with a slightly higher level of first choice trips in Zone 4.  A similar pattern occurs in relation to second choice main food trips, although the market share levels are generally higher </w:t>
      </w:r>
      <w:r w:rsidR="00712250">
        <w:t>for Zones 4 and 8.</w:t>
      </w:r>
    </w:p>
    <w:p w14:paraId="0362519D" w14:textId="1CAF1612" w:rsidR="00712250" w:rsidRDefault="00712250" w:rsidP="00FC7952">
      <w:pPr>
        <w:pStyle w:val="Level1"/>
        <w:jc w:val="both"/>
      </w:pPr>
      <w:r>
        <w:t>Unsurprisingly, the primary catchment for The Willows is Zone 5 of the study area</w:t>
      </w:r>
      <w:r w:rsidR="00140A10">
        <w:t xml:space="preserve"> where, as Table 4.4 shows, </w:t>
      </w:r>
      <w:r w:rsidR="007E060D">
        <w:t xml:space="preserve">the centre has a significant influence over main food shopping trips.  However, whilst the market share of the district centre in relation to second choice main food trips has not altered significantly between the 2013 and 2022 studies, Table 4.4 indicates that there has been a </w:t>
      </w:r>
      <w:r w:rsidR="00640B40">
        <w:t xml:space="preserve">significant fall in the </w:t>
      </w:r>
      <w:proofErr w:type="gramStart"/>
      <w:r w:rsidR="00640B40">
        <w:t>first choice</w:t>
      </w:r>
      <w:proofErr w:type="gramEnd"/>
      <w:r w:rsidR="00640B40">
        <w:t xml:space="preserve"> main food shopping trip market share of the centre since the 2013 retail study.  </w:t>
      </w:r>
      <w:r w:rsidR="001F68FE">
        <w:t xml:space="preserve">The most likely reason for this change is due to the increasing level of competition </w:t>
      </w:r>
      <w:r w:rsidR="003918B3">
        <w:t xml:space="preserve">since the time of the previous household survey, particularly the ASDA in Torquay and, to a lesser extent, the ALDI store on Brixham Road in Paignton.  </w:t>
      </w:r>
      <w:r w:rsidR="00460E9A">
        <w:t xml:space="preserve">The 2013 retail study used a </w:t>
      </w:r>
      <w:proofErr w:type="gramStart"/>
      <w:r w:rsidR="00460E9A">
        <w:t>first choice</w:t>
      </w:r>
      <w:proofErr w:type="gramEnd"/>
      <w:r w:rsidR="00460E9A">
        <w:t xml:space="preserve"> main food market share of 53%, although this has now fallen, by circa 50%, to 27% amongst Zone 5 residents.  As noted above, the market share of The Willows for second choice has not materially changed over the past decade, with the district centre attracting around one third of </w:t>
      </w:r>
      <w:r w:rsidR="00D60FB5">
        <w:t>trips from Zone 5 residents.</w:t>
      </w:r>
    </w:p>
    <w:p w14:paraId="435886CD" w14:textId="0A92A46E" w:rsidR="00460E9A" w:rsidRDefault="00D60FB5" w:rsidP="00FC7952">
      <w:pPr>
        <w:pStyle w:val="Level1"/>
        <w:jc w:val="both"/>
      </w:pPr>
      <w:r>
        <w:t xml:space="preserve">In relation to </w:t>
      </w:r>
      <w:r w:rsidR="006A21E4">
        <w:t xml:space="preserve">top-up food shopping </w:t>
      </w:r>
      <w:r w:rsidR="0073110A">
        <w:t xml:space="preserve">Table 4.5 earlier in this section shows that the catchment of The Willows is unsurprisingly more constrained than main food shopping with only limited amounts of trade being drawn from Zone 5 residents.  Beyond Zone 5 a small amount of first choice main food trips are attracted from Zones 3 (Brixham) and 4 (Paignton), whilst a small amount of second choice top-up trips are attracted from these zones plus Zones 2, 6 and 8.  All of these market shares would suggest that, in combination, The Willows is not a particularly popular regular top-up food shopping </w:t>
      </w:r>
      <w:r w:rsidR="0073110A">
        <w:lastRenderedPageBreak/>
        <w:t>destination for people living outside of Torbay but popularity may increase slightly possibly in combination with other irregular trips to Torbay for other purposes.</w:t>
      </w:r>
    </w:p>
    <w:p w14:paraId="6826B93F" w14:textId="189C9F36" w:rsidR="00784620" w:rsidRDefault="00523A36" w:rsidP="00E844E8">
      <w:pPr>
        <w:pStyle w:val="Level1"/>
        <w:jc w:val="both"/>
      </w:pPr>
      <w:r>
        <w:t>Table 4.19 summarises the comparison goods market share levels for The Willows taken from the previous and current household survey information</w:t>
      </w:r>
      <w:r w:rsidR="00192CD5">
        <w:t>.</w:t>
      </w:r>
    </w:p>
    <w:p w14:paraId="45431F2D" w14:textId="057FB4CE" w:rsidR="00523A36" w:rsidRPr="00862EC4" w:rsidRDefault="00523A36" w:rsidP="00523A36">
      <w:pPr>
        <w:pStyle w:val="Level1"/>
        <w:numPr>
          <w:ilvl w:val="0"/>
          <w:numId w:val="0"/>
        </w:numPr>
        <w:ind w:left="720"/>
        <w:jc w:val="both"/>
        <w:rPr>
          <w:i/>
          <w:iCs/>
        </w:rPr>
      </w:pPr>
      <w:r>
        <w:t xml:space="preserve"> </w:t>
      </w:r>
      <w:r w:rsidRPr="00862EC4">
        <w:rPr>
          <w:i/>
          <w:iCs/>
        </w:rPr>
        <w:t>Table 4.</w:t>
      </w:r>
      <w:r>
        <w:rPr>
          <w:i/>
          <w:iCs/>
        </w:rPr>
        <w:t>19</w:t>
      </w:r>
      <w:r w:rsidRPr="00862EC4">
        <w:rPr>
          <w:i/>
          <w:iCs/>
        </w:rPr>
        <w:t xml:space="preserve">: first and second choice </w:t>
      </w:r>
      <w:r>
        <w:rPr>
          <w:i/>
          <w:iCs/>
        </w:rPr>
        <w:t xml:space="preserve">comparison goods </w:t>
      </w:r>
      <w:r w:rsidRPr="00862EC4">
        <w:rPr>
          <w:i/>
          <w:iCs/>
        </w:rPr>
        <w:t xml:space="preserve">market shares associated with </w:t>
      </w:r>
      <w:r w:rsidR="00192CD5">
        <w:rPr>
          <w:i/>
          <w:iCs/>
        </w:rPr>
        <w:t>The Willows district</w:t>
      </w:r>
      <w:r w:rsidRPr="00862EC4">
        <w:rPr>
          <w:i/>
          <w:iCs/>
        </w:rPr>
        <w:t xml:space="preserve"> </w:t>
      </w:r>
      <w:r>
        <w:rPr>
          <w:i/>
          <w:iCs/>
        </w:rPr>
        <w:t xml:space="preserve">centre </w:t>
      </w:r>
      <w:r w:rsidRPr="00862EC4">
        <w:rPr>
          <w:i/>
          <w:iCs/>
        </w:rPr>
        <w:t>(2013 and 2022 retail studies)</w:t>
      </w:r>
    </w:p>
    <w:tbl>
      <w:tblPr>
        <w:tblStyle w:val="CustomTable2"/>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599"/>
        <w:gridCol w:w="634"/>
        <w:gridCol w:w="675"/>
        <w:gridCol w:w="675"/>
        <w:gridCol w:w="593"/>
        <w:gridCol w:w="595"/>
        <w:gridCol w:w="596"/>
        <w:gridCol w:w="636"/>
        <w:gridCol w:w="675"/>
        <w:gridCol w:w="675"/>
        <w:gridCol w:w="800"/>
        <w:gridCol w:w="675"/>
        <w:gridCol w:w="675"/>
        <w:gridCol w:w="597"/>
      </w:tblGrid>
      <w:tr w:rsidR="001E50AF" w:rsidRPr="001E50AF" w14:paraId="41E5F2B6" w14:textId="77777777" w:rsidTr="00740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D9D9D9" w:themeFill="background1" w:themeFillShade="D9"/>
          </w:tcPr>
          <w:p w14:paraId="3B0FE6A7" w14:textId="77777777" w:rsidR="00523A36" w:rsidRPr="001E50AF" w:rsidRDefault="00523A36" w:rsidP="006E370C">
            <w:pPr>
              <w:spacing w:before="0"/>
              <w:ind w:left="0" w:right="0"/>
              <w:jc w:val="both"/>
              <w:rPr>
                <w:rFonts w:asciiTheme="minorHAnsi" w:hAnsiTheme="minorHAnsi" w:cstheme="minorHAnsi"/>
                <w:color w:val="auto"/>
                <w:sz w:val="18"/>
                <w:szCs w:val="18"/>
              </w:rPr>
            </w:pPr>
            <w:r w:rsidRPr="001E50AF">
              <w:rPr>
                <w:rFonts w:asciiTheme="minorHAnsi" w:hAnsiTheme="minorHAnsi" w:cstheme="minorHAnsi"/>
                <w:b w:val="0"/>
                <w:color w:val="auto"/>
                <w:sz w:val="18"/>
                <w:szCs w:val="18"/>
              </w:rPr>
              <w:t>CENTRE</w:t>
            </w:r>
          </w:p>
        </w:tc>
        <w:tc>
          <w:tcPr>
            <w:tcW w:w="4367" w:type="dxa"/>
            <w:gridSpan w:val="7"/>
            <w:shd w:val="clear" w:color="auto" w:fill="D9D9D9" w:themeFill="background1" w:themeFillShade="D9"/>
          </w:tcPr>
          <w:p w14:paraId="6C105E52" w14:textId="77777777" w:rsidR="00523A36" w:rsidRPr="001E50AF" w:rsidRDefault="00523A36" w:rsidP="006E370C">
            <w:pPr>
              <w:spacing w:before="0"/>
              <w:ind w:left="0"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1E50AF">
              <w:rPr>
                <w:rFonts w:asciiTheme="minorHAnsi" w:hAnsiTheme="minorHAnsi" w:cstheme="minorHAnsi"/>
                <w:b w:val="0"/>
                <w:color w:val="auto"/>
                <w:sz w:val="18"/>
                <w:szCs w:val="18"/>
              </w:rPr>
              <w:t>First Choice Destination</w:t>
            </w:r>
          </w:p>
        </w:tc>
        <w:tc>
          <w:tcPr>
            <w:tcW w:w="4733" w:type="dxa"/>
            <w:gridSpan w:val="7"/>
            <w:shd w:val="clear" w:color="auto" w:fill="D9D9D9" w:themeFill="background1" w:themeFillShade="D9"/>
          </w:tcPr>
          <w:p w14:paraId="4AFF5ED5" w14:textId="77777777" w:rsidR="00523A36" w:rsidRPr="001E50AF" w:rsidRDefault="00523A36" w:rsidP="006E370C">
            <w:pPr>
              <w:spacing w:before="0"/>
              <w:ind w:left="0" w:righ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1E50AF">
              <w:rPr>
                <w:rFonts w:asciiTheme="minorHAnsi" w:hAnsiTheme="minorHAnsi" w:cstheme="minorHAnsi"/>
                <w:b w:val="0"/>
                <w:color w:val="auto"/>
                <w:sz w:val="18"/>
                <w:szCs w:val="18"/>
              </w:rPr>
              <w:t>Second Choice Destination</w:t>
            </w:r>
          </w:p>
        </w:tc>
      </w:tr>
      <w:tr w:rsidR="007408D4" w:rsidRPr="001E50AF" w14:paraId="136BB9C0" w14:textId="77777777" w:rsidTr="00740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D9D9D9" w:themeFill="background1" w:themeFillShade="D9"/>
          </w:tcPr>
          <w:p w14:paraId="2D9D0816" w14:textId="77777777" w:rsidR="00523A36" w:rsidRPr="001E50AF" w:rsidRDefault="00523A36" w:rsidP="006E370C">
            <w:pPr>
              <w:spacing w:before="0"/>
              <w:ind w:left="0" w:right="0"/>
              <w:jc w:val="both"/>
              <w:rPr>
                <w:rFonts w:asciiTheme="minorHAnsi" w:hAnsiTheme="minorHAnsi" w:cstheme="minorHAnsi"/>
                <w:b/>
                <w:color w:val="auto"/>
                <w:sz w:val="18"/>
                <w:szCs w:val="18"/>
              </w:rPr>
            </w:pPr>
          </w:p>
        </w:tc>
        <w:tc>
          <w:tcPr>
            <w:tcW w:w="599" w:type="dxa"/>
            <w:shd w:val="clear" w:color="auto" w:fill="D9D9D9" w:themeFill="background1" w:themeFillShade="D9"/>
          </w:tcPr>
          <w:p w14:paraId="7C4BF0E8"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2</w:t>
            </w:r>
          </w:p>
        </w:tc>
        <w:tc>
          <w:tcPr>
            <w:tcW w:w="634" w:type="dxa"/>
            <w:shd w:val="clear" w:color="auto" w:fill="D9D9D9" w:themeFill="background1" w:themeFillShade="D9"/>
          </w:tcPr>
          <w:p w14:paraId="0865E7F9"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3</w:t>
            </w:r>
          </w:p>
        </w:tc>
        <w:tc>
          <w:tcPr>
            <w:tcW w:w="675" w:type="dxa"/>
            <w:shd w:val="clear" w:color="auto" w:fill="D9D9D9" w:themeFill="background1" w:themeFillShade="D9"/>
          </w:tcPr>
          <w:p w14:paraId="48810051"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4</w:t>
            </w:r>
          </w:p>
        </w:tc>
        <w:tc>
          <w:tcPr>
            <w:tcW w:w="675" w:type="dxa"/>
            <w:shd w:val="clear" w:color="auto" w:fill="D9D9D9" w:themeFill="background1" w:themeFillShade="D9"/>
          </w:tcPr>
          <w:p w14:paraId="17F5FA7F"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5</w:t>
            </w:r>
          </w:p>
        </w:tc>
        <w:tc>
          <w:tcPr>
            <w:tcW w:w="593" w:type="dxa"/>
            <w:shd w:val="clear" w:color="auto" w:fill="D9D9D9" w:themeFill="background1" w:themeFillShade="D9"/>
          </w:tcPr>
          <w:p w14:paraId="52979029"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6</w:t>
            </w:r>
          </w:p>
        </w:tc>
        <w:tc>
          <w:tcPr>
            <w:tcW w:w="595" w:type="dxa"/>
            <w:shd w:val="clear" w:color="auto" w:fill="D9D9D9" w:themeFill="background1" w:themeFillShade="D9"/>
          </w:tcPr>
          <w:p w14:paraId="1B824D50"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7</w:t>
            </w:r>
          </w:p>
        </w:tc>
        <w:tc>
          <w:tcPr>
            <w:tcW w:w="596" w:type="dxa"/>
            <w:shd w:val="clear" w:color="auto" w:fill="D9D9D9" w:themeFill="background1" w:themeFillShade="D9"/>
          </w:tcPr>
          <w:p w14:paraId="70DCB66C"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8</w:t>
            </w:r>
          </w:p>
        </w:tc>
        <w:tc>
          <w:tcPr>
            <w:tcW w:w="636" w:type="dxa"/>
            <w:shd w:val="clear" w:color="auto" w:fill="D9D9D9" w:themeFill="background1" w:themeFillShade="D9"/>
          </w:tcPr>
          <w:p w14:paraId="5E4F4E8F"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2</w:t>
            </w:r>
          </w:p>
        </w:tc>
        <w:tc>
          <w:tcPr>
            <w:tcW w:w="675" w:type="dxa"/>
            <w:shd w:val="clear" w:color="auto" w:fill="D9D9D9" w:themeFill="background1" w:themeFillShade="D9"/>
          </w:tcPr>
          <w:p w14:paraId="2385B192"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3</w:t>
            </w:r>
          </w:p>
        </w:tc>
        <w:tc>
          <w:tcPr>
            <w:tcW w:w="675" w:type="dxa"/>
            <w:shd w:val="clear" w:color="auto" w:fill="D9D9D9" w:themeFill="background1" w:themeFillShade="D9"/>
          </w:tcPr>
          <w:p w14:paraId="5AF9FDE9"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4</w:t>
            </w:r>
          </w:p>
        </w:tc>
        <w:tc>
          <w:tcPr>
            <w:tcW w:w="800" w:type="dxa"/>
            <w:shd w:val="clear" w:color="auto" w:fill="D9D9D9" w:themeFill="background1" w:themeFillShade="D9"/>
          </w:tcPr>
          <w:p w14:paraId="438EC59C"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5</w:t>
            </w:r>
          </w:p>
        </w:tc>
        <w:tc>
          <w:tcPr>
            <w:tcW w:w="675" w:type="dxa"/>
            <w:shd w:val="clear" w:color="auto" w:fill="D9D9D9" w:themeFill="background1" w:themeFillShade="D9"/>
          </w:tcPr>
          <w:p w14:paraId="573FD613"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6</w:t>
            </w:r>
          </w:p>
        </w:tc>
        <w:tc>
          <w:tcPr>
            <w:tcW w:w="675" w:type="dxa"/>
            <w:shd w:val="clear" w:color="auto" w:fill="D9D9D9" w:themeFill="background1" w:themeFillShade="D9"/>
          </w:tcPr>
          <w:p w14:paraId="47048007"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7</w:t>
            </w:r>
          </w:p>
        </w:tc>
        <w:tc>
          <w:tcPr>
            <w:tcW w:w="597" w:type="dxa"/>
            <w:shd w:val="clear" w:color="auto" w:fill="D9D9D9" w:themeFill="background1" w:themeFillShade="D9"/>
          </w:tcPr>
          <w:p w14:paraId="12B06051" w14:textId="77777777" w:rsidR="00523A36" w:rsidRPr="001E50AF" w:rsidRDefault="00523A36" w:rsidP="006E370C">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sz w:val="18"/>
                <w:szCs w:val="18"/>
              </w:rPr>
            </w:pPr>
            <w:r w:rsidRPr="001E50AF">
              <w:rPr>
                <w:rFonts w:asciiTheme="minorHAnsi" w:hAnsiTheme="minorHAnsi" w:cstheme="minorHAnsi"/>
                <w:b/>
                <w:color w:val="auto"/>
                <w:sz w:val="18"/>
                <w:szCs w:val="18"/>
              </w:rPr>
              <w:t>8</w:t>
            </w:r>
          </w:p>
        </w:tc>
      </w:tr>
      <w:tr w:rsidR="00523A36" w:rsidRPr="001E50AF" w14:paraId="733C6B16" w14:textId="77777777" w:rsidTr="006E37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26C1C8AD" w14:textId="77777777" w:rsidR="00523A36" w:rsidRPr="001E50AF" w:rsidRDefault="00523A36" w:rsidP="006E370C">
            <w:pPr>
              <w:spacing w:before="0"/>
              <w:ind w:left="0" w:right="0"/>
              <w:jc w:val="center"/>
              <w:rPr>
                <w:rFonts w:asciiTheme="minorHAnsi" w:hAnsiTheme="minorHAnsi" w:cstheme="minorHAnsi"/>
                <w:b/>
                <w:color w:val="auto"/>
                <w:sz w:val="18"/>
                <w:szCs w:val="18"/>
              </w:rPr>
            </w:pPr>
            <w:r w:rsidRPr="003E7679">
              <w:rPr>
                <w:rFonts w:asciiTheme="minorHAnsi" w:hAnsiTheme="minorHAnsi" w:cstheme="minorHAnsi"/>
                <w:b/>
                <w:color w:val="C00000"/>
                <w:sz w:val="18"/>
                <w:szCs w:val="18"/>
              </w:rPr>
              <w:t>2013 Retail Study</w:t>
            </w:r>
          </w:p>
        </w:tc>
      </w:tr>
      <w:tr w:rsidR="007408D4" w:rsidRPr="001E50AF" w14:paraId="722314D4" w14:textId="77777777" w:rsidTr="001E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6FE52DD0" w14:textId="77777777" w:rsidR="0075042F" w:rsidRPr="001E50AF" w:rsidRDefault="0075042F" w:rsidP="0075042F">
            <w:pPr>
              <w:spacing w:before="0"/>
              <w:ind w:left="0" w:right="0"/>
              <w:rPr>
                <w:rFonts w:asciiTheme="minorHAnsi" w:hAnsiTheme="minorHAnsi" w:cstheme="minorHAnsi"/>
                <w:bCs/>
                <w:color w:val="auto"/>
                <w:sz w:val="18"/>
                <w:szCs w:val="18"/>
              </w:rPr>
            </w:pPr>
            <w:r w:rsidRPr="001E50AF">
              <w:rPr>
                <w:rFonts w:asciiTheme="minorHAnsi" w:hAnsiTheme="minorHAnsi" w:cstheme="minorHAnsi"/>
                <w:bCs/>
                <w:color w:val="auto"/>
                <w:sz w:val="18"/>
                <w:szCs w:val="18"/>
              </w:rPr>
              <w:t>Clothes / footwear</w:t>
            </w:r>
          </w:p>
        </w:tc>
        <w:tc>
          <w:tcPr>
            <w:tcW w:w="599" w:type="dxa"/>
            <w:shd w:val="clear" w:color="auto" w:fill="auto"/>
            <w:vAlign w:val="bottom"/>
          </w:tcPr>
          <w:p w14:paraId="461B8A76" w14:textId="22389AB1"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8%</w:t>
            </w:r>
          </w:p>
        </w:tc>
        <w:tc>
          <w:tcPr>
            <w:tcW w:w="634" w:type="dxa"/>
            <w:shd w:val="clear" w:color="auto" w:fill="auto"/>
            <w:vAlign w:val="bottom"/>
          </w:tcPr>
          <w:p w14:paraId="299B9B1F" w14:textId="70933DFB"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30%</w:t>
            </w:r>
          </w:p>
        </w:tc>
        <w:tc>
          <w:tcPr>
            <w:tcW w:w="675" w:type="dxa"/>
            <w:shd w:val="clear" w:color="auto" w:fill="auto"/>
            <w:vAlign w:val="bottom"/>
          </w:tcPr>
          <w:p w14:paraId="519ACE53" w14:textId="5BBDC38A"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28%</w:t>
            </w:r>
          </w:p>
        </w:tc>
        <w:tc>
          <w:tcPr>
            <w:tcW w:w="675" w:type="dxa"/>
            <w:shd w:val="clear" w:color="auto" w:fill="auto"/>
            <w:vAlign w:val="bottom"/>
          </w:tcPr>
          <w:p w14:paraId="3AEA2CBB" w14:textId="1A035AA1"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18%</w:t>
            </w:r>
          </w:p>
        </w:tc>
        <w:tc>
          <w:tcPr>
            <w:tcW w:w="593" w:type="dxa"/>
            <w:shd w:val="clear" w:color="auto" w:fill="auto"/>
            <w:vAlign w:val="bottom"/>
          </w:tcPr>
          <w:p w14:paraId="44C2CEF6" w14:textId="0DB88FA2"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9%</w:t>
            </w:r>
          </w:p>
        </w:tc>
        <w:tc>
          <w:tcPr>
            <w:tcW w:w="595" w:type="dxa"/>
            <w:shd w:val="clear" w:color="auto" w:fill="auto"/>
            <w:vAlign w:val="bottom"/>
          </w:tcPr>
          <w:p w14:paraId="008A82B8" w14:textId="7C6AF5B7"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7%</w:t>
            </w:r>
          </w:p>
        </w:tc>
        <w:tc>
          <w:tcPr>
            <w:tcW w:w="596" w:type="dxa"/>
            <w:shd w:val="clear" w:color="auto" w:fill="auto"/>
            <w:vAlign w:val="bottom"/>
          </w:tcPr>
          <w:p w14:paraId="5CC58E08" w14:textId="2E6172B4"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13%</w:t>
            </w:r>
          </w:p>
        </w:tc>
        <w:tc>
          <w:tcPr>
            <w:tcW w:w="636" w:type="dxa"/>
            <w:shd w:val="clear" w:color="auto" w:fill="auto"/>
            <w:vAlign w:val="bottom"/>
          </w:tcPr>
          <w:p w14:paraId="21E6A3CC" w14:textId="6B7A3BBB"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6%</w:t>
            </w:r>
          </w:p>
        </w:tc>
        <w:tc>
          <w:tcPr>
            <w:tcW w:w="675" w:type="dxa"/>
            <w:shd w:val="clear" w:color="auto" w:fill="auto"/>
            <w:vAlign w:val="bottom"/>
          </w:tcPr>
          <w:p w14:paraId="282694B7" w14:textId="4B5254B1"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9%</w:t>
            </w:r>
          </w:p>
        </w:tc>
        <w:tc>
          <w:tcPr>
            <w:tcW w:w="675" w:type="dxa"/>
            <w:shd w:val="clear" w:color="auto" w:fill="auto"/>
            <w:vAlign w:val="bottom"/>
          </w:tcPr>
          <w:p w14:paraId="6B23EE85" w14:textId="3087E989"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18%</w:t>
            </w:r>
          </w:p>
        </w:tc>
        <w:tc>
          <w:tcPr>
            <w:tcW w:w="800" w:type="dxa"/>
            <w:shd w:val="clear" w:color="auto" w:fill="auto"/>
            <w:vAlign w:val="bottom"/>
          </w:tcPr>
          <w:p w14:paraId="5C824D70" w14:textId="69170170"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21%</w:t>
            </w:r>
          </w:p>
        </w:tc>
        <w:tc>
          <w:tcPr>
            <w:tcW w:w="675" w:type="dxa"/>
            <w:shd w:val="clear" w:color="auto" w:fill="auto"/>
            <w:vAlign w:val="bottom"/>
          </w:tcPr>
          <w:p w14:paraId="0DE1BBE6" w14:textId="329F0945"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11%</w:t>
            </w:r>
          </w:p>
        </w:tc>
        <w:tc>
          <w:tcPr>
            <w:tcW w:w="675" w:type="dxa"/>
            <w:shd w:val="clear" w:color="auto" w:fill="auto"/>
            <w:vAlign w:val="bottom"/>
          </w:tcPr>
          <w:p w14:paraId="27F223D9" w14:textId="1A335EE8"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7%</w:t>
            </w:r>
          </w:p>
        </w:tc>
        <w:tc>
          <w:tcPr>
            <w:tcW w:w="597" w:type="dxa"/>
            <w:shd w:val="clear" w:color="auto" w:fill="auto"/>
            <w:vAlign w:val="bottom"/>
          </w:tcPr>
          <w:p w14:paraId="0F5605A4" w14:textId="3FCC9EA8"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12%</w:t>
            </w:r>
          </w:p>
        </w:tc>
      </w:tr>
      <w:tr w:rsidR="007408D4" w:rsidRPr="001E50AF" w14:paraId="33458EE4" w14:textId="77777777" w:rsidTr="001E5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46E30852" w14:textId="77777777" w:rsidR="0075042F" w:rsidRPr="001E50AF" w:rsidRDefault="0075042F" w:rsidP="0075042F">
            <w:pPr>
              <w:spacing w:before="0"/>
              <w:ind w:left="0" w:right="0"/>
              <w:rPr>
                <w:rFonts w:asciiTheme="minorHAnsi" w:hAnsiTheme="minorHAnsi" w:cstheme="minorHAnsi"/>
                <w:bCs/>
                <w:color w:val="auto"/>
                <w:sz w:val="18"/>
                <w:szCs w:val="18"/>
              </w:rPr>
            </w:pPr>
            <w:r w:rsidRPr="001E50AF">
              <w:rPr>
                <w:rFonts w:asciiTheme="minorHAnsi" w:hAnsiTheme="minorHAnsi" w:cstheme="minorHAnsi"/>
                <w:bCs/>
                <w:color w:val="auto"/>
                <w:sz w:val="18"/>
                <w:szCs w:val="18"/>
              </w:rPr>
              <w:t>Furniture / floorcoverings / textiles</w:t>
            </w:r>
          </w:p>
        </w:tc>
        <w:tc>
          <w:tcPr>
            <w:tcW w:w="599" w:type="dxa"/>
            <w:shd w:val="clear" w:color="auto" w:fill="auto"/>
            <w:vAlign w:val="bottom"/>
          </w:tcPr>
          <w:p w14:paraId="0EC2FCA5" w14:textId="4EA749F6"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8%</w:t>
            </w:r>
          </w:p>
        </w:tc>
        <w:tc>
          <w:tcPr>
            <w:tcW w:w="634" w:type="dxa"/>
            <w:shd w:val="clear" w:color="auto" w:fill="auto"/>
            <w:vAlign w:val="bottom"/>
          </w:tcPr>
          <w:p w14:paraId="69630B06" w14:textId="02CD32FE"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30%</w:t>
            </w:r>
          </w:p>
        </w:tc>
        <w:tc>
          <w:tcPr>
            <w:tcW w:w="675" w:type="dxa"/>
            <w:shd w:val="clear" w:color="auto" w:fill="auto"/>
            <w:vAlign w:val="bottom"/>
          </w:tcPr>
          <w:p w14:paraId="17AAD127" w14:textId="1529FED6"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28%</w:t>
            </w:r>
          </w:p>
        </w:tc>
        <w:tc>
          <w:tcPr>
            <w:tcW w:w="675" w:type="dxa"/>
            <w:shd w:val="clear" w:color="auto" w:fill="auto"/>
            <w:vAlign w:val="bottom"/>
          </w:tcPr>
          <w:p w14:paraId="0F269532" w14:textId="072212F1"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18%</w:t>
            </w:r>
          </w:p>
        </w:tc>
        <w:tc>
          <w:tcPr>
            <w:tcW w:w="593" w:type="dxa"/>
            <w:shd w:val="clear" w:color="auto" w:fill="auto"/>
            <w:vAlign w:val="bottom"/>
          </w:tcPr>
          <w:p w14:paraId="56365257" w14:textId="413D5EB3"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9%</w:t>
            </w:r>
          </w:p>
        </w:tc>
        <w:tc>
          <w:tcPr>
            <w:tcW w:w="595" w:type="dxa"/>
            <w:shd w:val="clear" w:color="auto" w:fill="auto"/>
            <w:vAlign w:val="bottom"/>
          </w:tcPr>
          <w:p w14:paraId="7D01AFC4" w14:textId="6A66C6E0"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7%</w:t>
            </w:r>
          </w:p>
        </w:tc>
        <w:tc>
          <w:tcPr>
            <w:tcW w:w="596" w:type="dxa"/>
            <w:shd w:val="clear" w:color="auto" w:fill="auto"/>
            <w:vAlign w:val="bottom"/>
          </w:tcPr>
          <w:p w14:paraId="44C0DC14" w14:textId="03E87504"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13%</w:t>
            </w:r>
          </w:p>
        </w:tc>
        <w:tc>
          <w:tcPr>
            <w:tcW w:w="636" w:type="dxa"/>
            <w:shd w:val="clear" w:color="auto" w:fill="auto"/>
            <w:vAlign w:val="bottom"/>
          </w:tcPr>
          <w:p w14:paraId="35C7B811" w14:textId="07DDD4AD"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6%</w:t>
            </w:r>
          </w:p>
        </w:tc>
        <w:tc>
          <w:tcPr>
            <w:tcW w:w="675" w:type="dxa"/>
            <w:shd w:val="clear" w:color="auto" w:fill="auto"/>
            <w:vAlign w:val="bottom"/>
          </w:tcPr>
          <w:p w14:paraId="49ED44FC" w14:textId="6434A97E"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9%</w:t>
            </w:r>
          </w:p>
        </w:tc>
        <w:tc>
          <w:tcPr>
            <w:tcW w:w="675" w:type="dxa"/>
            <w:shd w:val="clear" w:color="auto" w:fill="auto"/>
            <w:vAlign w:val="bottom"/>
          </w:tcPr>
          <w:p w14:paraId="2E7C4519" w14:textId="53572CE6"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18%</w:t>
            </w:r>
          </w:p>
        </w:tc>
        <w:tc>
          <w:tcPr>
            <w:tcW w:w="800" w:type="dxa"/>
            <w:shd w:val="clear" w:color="auto" w:fill="auto"/>
            <w:vAlign w:val="bottom"/>
          </w:tcPr>
          <w:p w14:paraId="7073A9D8" w14:textId="5262637F"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21%</w:t>
            </w:r>
          </w:p>
        </w:tc>
        <w:tc>
          <w:tcPr>
            <w:tcW w:w="675" w:type="dxa"/>
            <w:shd w:val="clear" w:color="auto" w:fill="auto"/>
            <w:vAlign w:val="bottom"/>
          </w:tcPr>
          <w:p w14:paraId="2047B48A" w14:textId="238FE737"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11%</w:t>
            </w:r>
          </w:p>
        </w:tc>
        <w:tc>
          <w:tcPr>
            <w:tcW w:w="675" w:type="dxa"/>
            <w:shd w:val="clear" w:color="auto" w:fill="auto"/>
            <w:vAlign w:val="bottom"/>
          </w:tcPr>
          <w:p w14:paraId="79E5C95A" w14:textId="62A5E7EB"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7%</w:t>
            </w:r>
          </w:p>
        </w:tc>
        <w:tc>
          <w:tcPr>
            <w:tcW w:w="597" w:type="dxa"/>
            <w:shd w:val="clear" w:color="auto" w:fill="auto"/>
            <w:vAlign w:val="bottom"/>
          </w:tcPr>
          <w:p w14:paraId="7F6A7CE0" w14:textId="11BF1264" w:rsidR="0075042F" w:rsidRPr="001E50AF" w:rsidRDefault="0075042F" w:rsidP="0075042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12%</w:t>
            </w:r>
          </w:p>
        </w:tc>
      </w:tr>
      <w:tr w:rsidR="007408D4" w:rsidRPr="001E50AF" w14:paraId="4C7B9C83" w14:textId="77777777" w:rsidTr="001E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0E87A1DD" w14:textId="77777777" w:rsidR="0075042F" w:rsidRPr="001E50AF" w:rsidRDefault="0075042F" w:rsidP="0075042F">
            <w:pPr>
              <w:spacing w:before="0"/>
              <w:ind w:left="0" w:right="0"/>
              <w:rPr>
                <w:rFonts w:asciiTheme="minorHAnsi" w:hAnsiTheme="minorHAnsi" w:cstheme="minorHAnsi"/>
                <w:bCs/>
                <w:color w:val="auto"/>
                <w:sz w:val="18"/>
                <w:szCs w:val="18"/>
              </w:rPr>
            </w:pPr>
            <w:r w:rsidRPr="001E50AF">
              <w:rPr>
                <w:rFonts w:asciiTheme="minorHAnsi" w:hAnsiTheme="minorHAnsi" w:cstheme="minorHAnsi"/>
                <w:bCs/>
                <w:color w:val="auto"/>
                <w:sz w:val="18"/>
                <w:szCs w:val="18"/>
              </w:rPr>
              <w:t>DIY goods</w:t>
            </w:r>
          </w:p>
        </w:tc>
        <w:tc>
          <w:tcPr>
            <w:tcW w:w="599" w:type="dxa"/>
            <w:shd w:val="clear" w:color="auto" w:fill="auto"/>
            <w:vAlign w:val="bottom"/>
          </w:tcPr>
          <w:p w14:paraId="04595762" w14:textId="35D08CAE"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0%</w:t>
            </w:r>
          </w:p>
        </w:tc>
        <w:tc>
          <w:tcPr>
            <w:tcW w:w="634" w:type="dxa"/>
            <w:shd w:val="clear" w:color="auto" w:fill="auto"/>
            <w:vAlign w:val="bottom"/>
          </w:tcPr>
          <w:p w14:paraId="7279F1A3" w14:textId="1CB1C29C"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0%</w:t>
            </w:r>
          </w:p>
        </w:tc>
        <w:tc>
          <w:tcPr>
            <w:tcW w:w="675" w:type="dxa"/>
            <w:shd w:val="clear" w:color="auto" w:fill="auto"/>
            <w:vAlign w:val="bottom"/>
          </w:tcPr>
          <w:p w14:paraId="4B37EC68" w14:textId="6A839484"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1%</w:t>
            </w:r>
          </w:p>
        </w:tc>
        <w:tc>
          <w:tcPr>
            <w:tcW w:w="675" w:type="dxa"/>
            <w:shd w:val="clear" w:color="auto" w:fill="auto"/>
            <w:vAlign w:val="bottom"/>
          </w:tcPr>
          <w:p w14:paraId="3B7524BA" w14:textId="54E56E7C"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0%</w:t>
            </w:r>
          </w:p>
        </w:tc>
        <w:tc>
          <w:tcPr>
            <w:tcW w:w="593" w:type="dxa"/>
            <w:shd w:val="clear" w:color="auto" w:fill="auto"/>
            <w:vAlign w:val="bottom"/>
          </w:tcPr>
          <w:p w14:paraId="180ED056" w14:textId="00CC5F6C"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0%</w:t>
            </w:r>
          </w:p>
        </w:tc>
        <w:tc>
          <w:tcPr>
            <w:tcW w:w="595" w:type="dxa"/>
            <w:shd w:val="clear" w:color="auto" w:fill="auto"/>
            <w:vAlign w:val="bottom"/>
          </w:tcPr>
          <w:p w14:paraId="0B5B21C7" w14:textId="3B755394"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0%</w:t>
            </w:r>
          </w:p>
        </w:tc>
        <w:tc>
          <w:tcPr>
            <w:tcW w:w="596" w:type="dxa"/>
            <w:shd w:val="clear" w:color="auto" w:fill="auto"/>
            <w:vAlign w:val="bottom"/>
          </w:tcPr>
          <w:p w14:paraId="422B7B0D" w14:textId="1F142817"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0%</w:t>
            </w:r>
          </w:p>
        </w:tc>
        <w:tc>
          <w:tcPr>
            <w:tcW w:w="636" w:type="dxa"/>
            <w:shd w:val="clear" w:color="auto" w:fill="auto"/>
            <w:vAlign w:val="bottom"/>
          </w:tcPr>
          <w:p w14:paraId="191C7E90" w14:textId="6352B8B2"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2%</w:t>
            </w:r>
          </w:p>
        </w:tc>
        <w:tc>
          <w:tcPr>
            <w:tcW w:w="675" w:type="dxa"/>
            <w:shd w:val="clear" w:color="auto" w:fill="auto"/>
            <w:vAlign w:val="bottom"/>
          </w:tcPr>
          <w:p w14:paraId="75300FCF" w14:textId="7784634C"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0%</w:t>
            </w:r>
          </w:p>
        </w:tc>
        <w:tc>
          <w:tcPr>
            <w:tcW w:w="675" w:type="dxa"/>
            <w:shd w:val="clear" w:color="auto" w:fill="auto"/>
            <w:vAlign w:val="bottom"/>
          </w:tcPr>
          <w:p w14:paraId="4FDB6C90" w14:textId="2CE24443"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0%</w:t>
            </w:r>
          </w:p>
        </w:tc>
        <w:tc>
          <w:tcPr>
            <w:tcW w:w="800" w:type="dxa"/>
            <w:shd w:val="clear" w:color="auto" w:fill="auto"/>
            <w:vAlign w:val="bottom"/>
          </w:tcPr>
          <w:p w14:paraId="2FE0AD99" w14:textId="7F61764F"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0%</w:t>
            </w:r>
          </w:p>
        </w:tc>
        <w:tc>
          <w:tcPr>
            <w:tcW w:w="675" w:type="dxa"/>
            <w:shd w:val="clear" w:color="auto" w:fill="auto"/>
            <w:vAlign w:val="bottom"/>
          </w:tcPr>
          <w:p w14:paraId="5970A5E4" w14:textId="5904A8D6"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0%</w:t>
            </w:r>
          </w:p>
        </w:tc>
        <w:tc>
          <w:tcPr>
            <w:tcW w:w="675" w:type="dxa"/>
            <w:shd w:val="clear" w:color="auto" w:fill="auto"/>
            <w:vAlign w:val="bottom"/>
          </w:tcPr>
          <w:p w14:paraId="5198F777" w14:textId="22CE0890"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0%</w:t>
            </w:r>
          </w:p>
        </w:tc>
        <w:tc>
          <w:tcPr>
            <w:tcW w:w="597" w:type="dxa"/>
            <w:shd w:val="clear" w:color="auto" w:fill="auto"/>
            <w:vAlign w:val="bottom"/>
          </w:tcPr>
          <w:p w14:paraId="745A6FB0" w14:textId="552B4897" w:rsidR="0075042F" w:rsidRPr="001E50AF" w:rsidRDefault="0075042F" w:rsidP="0075042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sz w:val="18"/>
                <w:szCs w:val="18"/>
              </w:rPr>
              <w:t>0%</w:t>
            </w:r>
          </w:p>
        </w:tc>
      </w:tr>
      <w:tr w:rsidR="007408D4" w:rsidRPr="001E50AF" w14:paraId="091A5703" w14:textId="77777777" w:rsidTr="001E5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3D3024E2" w14:textId="77777777" w:rsidR="0075042F" w:rsidRPr="001E50AF" w:rsidRDefault="0075042F" w:rsidP="0075042F">
            <w:pPr>
              <w:ind w:left="0"/>
              <w:rPr>
                <w:rFonts w:asciiTheme="minorHAnsi" w:hAnsiTheme="minorHAnsi" w:cstheme="minorHAnsi"/>
                <w:bCs/>
                <w:sz w:val="18"/>
                <w:szCs w:val="18"/>
              </w:rPr>
            </w:pPr>
            <w:r w:rsidRPr="001E50AF">
              <w:rPr>
                <w:rFonts w:asciiTheme="minorHAnsi" w:hAnsiTheme="minorHAnsi" w:cstheme="minorHAnsi"/>
                <w:bCs/>
                <w:sz w:val="18"/>
                <w:szCs w:val="18"/>
              </w:rPr>
              <w:t>Domestic appliances</w:t>
            </w:r>
          </w:p>
        </w:tc>
        <w:tc>
          <w:tcPr>
            <w:tcW w:w="599" w:type="dxa"/>
            <w:shd w:val="clear" w:color="auto" w:fill="auto"/>
            <w:vAlign w:val="bottom"/>
          </w:tcPr>
          <w:p w14:paraId="7B03BD07" w14:textId="25542A2D"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21%</w:t>
            </w:r>
          </w:p>
        </w:tc>
        <w:tc>
          <w:tcPr>
            <w:tcW w:w="634" w:type="dxa"/>
            <w:shd w:val="clear" w:color="auto" w:fill="auto"/>
            <w:vAlign w:val="bottom"/>
          </w:tcPr>
          <w:p w14:paraId="5977A7F5" w14:textId="28E2C283"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24%</w:t>
            </w:r>
          </w:p>
        </w:tc>
        <w:tc>
          <w:tcPr>
            <w:tcW w:w="675" w:type="dxa"/>
            <w:shd w:val="clear" w:color="auto" w:fill="auto"/>
            <w:vAlign w:val="bottom"/>
          </w:tcPr>
          <w:p w14:paraId="5E7349EE" w14:textId="1E4CDDFB"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40%</w:t>
            </w:r>
          </w:p>
        </w:tc>
        <w:tc>
          <w:tcPr>
            <w:tcW w:w="675" w:type="dxa"/>
            <w:shd w:val="clear" w:color="auto" w:fill="auto"/>
            <w:vAlign w:val="bottom"/>
          </w:tcPr>
          <w:p w14:paraId="07E806D5" w14:textId="05EC971E"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51%</w:t>
            </w:r>
          </w:p>
        </w:tc>
        <w:tc>
          <w:tcPr>
            <w:tcW w:w="593" w:type="dxa"/>
            <w:shd w:val="clear" w:color="auto" w:fill="auto"/>
            <w:vAlign w:val="bottom"/>
          </w:tcPr>
          <w:p w14:paraId="6B5AC4E9" w14:textId="606DFE76"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32%</w:t>
            </w:r>
          </w:p>
        </w:tc>
        <w:tc>
          <w:tcPr>
            <w:tcW w:w="595" w:type="dxa"/>
            <w:shd w:val="clear" w:color="auto" w:fill="auto"/>
            <w:vAlign w:val="bottom"/>
          </w:tcPr>
          <w:p w14:paraId="14410CF1" w14:textId="76C7E748"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10%</w:t>
            </w:r>
          </w:p>
        </w:tc>
        <w:tc>
          <w:tcPr>
            <w:tcW w:w="596" w:type="dxa"/>
            <w:shd w:val="clear" w:color="auto" w:fill="auto"/>
            <w:vAlign w:val="bottom"/>
          </w:tcPr>
          <w:p w14:paraId="1E9A3B6A" w14:textId="6E009D01"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22%</w:t>
            </w:r>
          </w:p>
        </w:tc>
        <w:tc>
          <w:tcPr>
            <w:tcW w:w="636" w:type="dxa"/>
            <w:shd w:val="clear" w:color="auto" w:fill="auto"/>
            <w:vAlign w:val="bottom"/>
          </w:tcPr>
          <w:p w14:paraId="1DE61E63" w14:textId="28942647"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16%</w:t>
            </w:r>
          </w:p>
        </w:tc>
        <w:tc>
          <w:tcPr>
            <w:tcW w:w="675" w:type="dxa"/>
            <w:shd w:val="clear" w:color="auto" w:fill="auto"/>
            <w:vAlign w:val="bottom"/>
          </w:tcPr>
          <w:p w14:paraId="20287D61" w14:textId="568D2F75"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34%</w:t>
            </w:r>
          </w:p>
        </w:tc>
        <w:tc>
          <w:tcPr>
            <w:tcW w:w="675" w:type="dxa"/>
            <w:shd w:val="clear" w:color="auto" w:fill="auto"/>
            <w:vAlign w:val="bottom"/>
          </w:tcPr>
          <w:p w14:paraId="4C5EBBAB" w14:textId="01628827"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35%</w:t>
            </w:r>
          </w:p>
        </w:tc>
        <w:tc>
          <w:tcPr>
            <w:tcW w:w="800" w:type="dxa"/>
            <w:shd w:val="clear" w:color="auto" w:fill="auto"/>
            <w:vAlign w:val="bottom"/>
          </w:tcPr>
          <w:p w14:paraId="69526942" w14:textId="3C0E022E"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27%</w:t>
            </w:r>
          </w:p>
        </w:tc>
        <w:tc>
          <w:tcPr>
            <w:tcW w:w="675" w:type="dxa"/>
            <w:shd w:val="clear" w:color="auto" w:fill="auto"/>
            <w:vAlign w:val="bottom"/>
          </w:tcPr>
          <w:p w14:paraId="199CF686" w14:textId="00767988"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18%</w:t>
            </w:r>
          </w:p>
        </w:tc>
        <w:tc>
          <w:tcPr>
            <w:tcW w:w="675" w:type="dxa"/>
            <w:shd w:val="clear" w:color="auto" w:fill="auto"/>
            <w:vAlign w:val="bottom"/>
          </w:tcPr>
          <w:p w14:paraId="35AA3B96" w14:textId="5C20F4AD"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14%</w:t>
            </w:r>
          </w:p>
        </w:tc>
        <w:tc>
          <w:tcPr>
            <w:tcW w:w="597" w:type="dxa"/>
            <w:shd w:val="clear" w:color="auto" w:fill="auto"/>
            <w:vAlign w:val="bottom"/>
          </w:tcPr>
          <w:p w14:paraId="5EBCB937" w14:textId="7757795F"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16%</w:t>
            </w:r>
          </w:p>
        </w:tc>
      </w:tr>
      <w:tr w:rsidR="007408D4" w:rsidRPr="001E50AF" w14:paraId="11B02093" w14:textId="77777777" w:rsidTr="001E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5288D45F" w14:textId="77777777" w:rsidR="0075042F" w:rsidRPr="001E50AF" w:rsidRDefault="0075042F" w:rsidP="0075042F">
            <w:pPr>
              <w:ind w:left="0"/>
              <w:rPr>
                <w:rFonts w:asciiTheme="minorHAnsi" w:hAnsiTheme="minorHAnsi" w:cstheme="minorHAnsi"/>
                <w:bCs/>
                <w:sz w:val="18"/>
                <w:szCs w:val="18"/>
              </w:rPr>
            </w:pPr>
            <w:r w:rsidRPr="001E50AF">
              <w:rPr>
                <w:rFonts w:asciiTheme="minorHAnsi" w:hAnsiTheme="minorHAnsi" w:cstheme="minorHAnsi"/>
                <w:bCs/>
                <w:sz w:val="18"/>
                <w:szCs w:val="18"/>
              </w:rPr>
              <w:t>Small electrical goods</w:t>
            </w:r>
          </w:p>
        </w:tc>
        <w:tc>
          <w:tcPr>
            <w:tcW w:w="599" w:type="dxa"/>
            <w:shd w:val="clear" w:color="auto" w:fill="auto"/>
            <w:vAlign w:val="bottom"/>
          </w:tcPr>
          <w:p w14:paraId="664828E3" w14:textId="0EE39C72"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26%</w:t>
            </w:r>
          </w:p>
        </w:tc>
        <w:tc>
          <w:tcPr>
            <w:tcW w:w="634" w:type="dxa"/>
            <w:shd w:val="clear" w:color="auto" w:fill="auto"/>
            <w:vAlign w:val="bottom"/>
          </w:tcPr>
          <w:p w14:paraId="79556746" w14:textId="4CF573D7"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25%</w:t>
            </w:r>
          </w:p>
        </w:tc>
        <w:tc>
          <w:tcPr>
            <w:tcW w:w="675" w:type="dxa"/>
            <w:shd w:val="clear" w:color="auto" w:fill="auto"/>
            <w:vAlign w:val="bottom"/>
          </w:tcPr>
          <w:p w14:paraId="5C67EE53" w14:textId="7F69E24F"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38%</w:t>
            </w:r>
          </w:p>
        </w:tc>
        <w:tc>
          <w:tcPr>
            <w:tcW w:w="675" w:type="dxa"/>
            <w:shd w:val="clear" w:color="auto" w:fill="auto"/>
            <w:vAlign w:val="bottom"/>
          </w:tcPr>
          <w:p w14:paraId="1A2ED6C6" w14:textId="1C1BDD6C"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54%</w:t>
            </w:r>
          </w:p>
        </w:tc>
        <w:tc>
          <w:tcPr>
            <w:tcW w:w="593" w:type="dxa"/>
            <w:shd w:val="clear" w:color="auto" w:fill="auto"/>
            <w:vAlign w:val="bottom"/>
          </w:tcPr>
          <w:p w14:paraId="11F21DA2" w14:textId="740A4149"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35%</w:t>
            </w:r>
          </w:p>
        </w:tc>
        <w:tc>
          <w:tcPr>
            <w:tcW w:w="595" w:type="dxa"/>
            <w:shd w:val="clear" w:color="auto" w:fill="auto"/>
            <w:vAlign w:val="bottom"/>
          </w:tcPr>
          <w:p w14:paraId="10679011" w14:textId="4877918B"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14%</w:t>
            </w:r>
          </w:p>
        </w:tc>
        <w:tc>
          <w:tcPr>
            <w:tcW w:w="596" w:type="dxa"/>
            <w:shd w:val="clear" w:color="auto" w:fill="auto"/>
            <w:vAlign w:val="bottom"/>
          </w:tcPr>
          <w:p w14:paraId="700EA933" w14:textId="2E175D6F"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26%</w:t>
            </w:r>
          </w:p>
        </w:tc>
        <w:tc>
          <w:tcPr>
            <w:tcW w:w="636" w:type="dxa"/>
            <w:shd w:val="clear" w:color="auto" w:fill="auto"/>
            <w:vAlign w:val="bottom"/>
          </w:tcPr>
          <w:p w14:paraId="7D7DFF3C" w14:textId="5168404B"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18%</w:t>
            </w:r>
          </w:p>
        </w:tc>
        <w:tc>
          <w:tcPr>
            <w:tcW w:w="675" w:type="dxa"/>
            <w:shd w:val="clear" w:color="auto" w:fill="auto"/>
            <w:vAlign w:val="bottom"/>
          </w:tcPr>
          <w:p w14:paraId="65B5AEC9" w14:textId="27775656"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20%</w:t>
            </w:r>
          </w:p>
        </w:tc>
        <w:tc>
          <w:tcPr>
            <w:tcW w:w="675" w:type="dxa"/>
            <w:shd w:val="clear" w:color="auto" w:fill="auto"/>
            <w:vAlign w:val="bottom"/>
          </w:tcPr>
          <w:p w14:paraId="05FF36F4" w14:textId="2837F9F6"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26%</w:t>
            </w:r>
          </w:p>
        </w:tc>
        <w:tc>
          <w:tcPr>
            <w:tcW w:w="800" w:type="dxa"/>
            <w:shd w:val="clear" w:color="auto" w:fill="auto"/>
            <w:vAlign w:val="bottom"/>
          </w:tcPr>
          <w:p w14:paraId="2AEBF1A1" w14:textId="067D083F"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13%</w:t>
            </w:r>
          </w:p>
        </w:tc>
        <w:tc>
          <w:tcPr>
            <w:tcW w:w="675" w:type="dxa"/>
            <w:shd w:val="clear" w:color="auto" w:fill="auto"/>
            <w:vAlign w:val="bottom"/>
          </w:tcPr>
          <w:p w14:paraId="38A16FCD" w14:textId="05B1FD02"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7%</w:t>
            </w:r>
          </w:p>
        </w:tc>
        <w:tc>
          <w:tcPr>
            <w:tcW w:w="675" w:type="dxa"/>
            <w:shd w:val="clear" w:color="auto" w:fill="auto"/>
            <w:vAlign w:val="bottom"/>
          </w:tcPr>
          <w:p w14:paraId="244ADBCC" w14:textId="1843D7F9"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14%</w:t>
            </w:r>
          </w:p>
        </w:tc>
        <w:tc>
          <w:tcPr>
            <w:tcW w:w="597" w:type="dxa"/>
            <w:shd w:val="clear" w:color="auto" w:fill="auto"/>
            <w:vAlign w:val="bottom"/>
          </w:tcPr>
          <w:p w14:paraId="66DEF028" w14:textId="7DC11F4E" w:rsidR="0075042F" w:rsidRPr="001E50AF" w:rsidRDefault="0075042F" w:rsidP="0075042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16%</w:t>
            </w:r>
          </w:p>
        </w:tc>
      </w:tr>
      <w:tr w:rsidR="007408D4" w:rsidRPr="001E50AF" w14:paraId="1FC3B0F2" w14:textId="77777777" w:rsidTr="001E5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2CDE6C6A" w14:textId="77777777" w:rsidR="0075042F" w:rsidRPr="001E50AF" w:rsidRDefault="0075042F" w:rsidP="0075042F">
            <w:pPr>
              <w:ind w:left="0"/>
              <w:rPr>
                <w:rFonts w:asciiTheme="minorHAnsi" w:hAnsiTheme="minorHAnsi" w:cstheme="minorHAnsi"/>
                <w:bCs/>
                <w:sz w:val="18"/>
                <w:szCs w:val="18"/>
              </w:rPr>
            </w:pPr>
            <w:r w:rsidRPr="001E50AF">
              <w:rPr>
                <w:rFonts w:asciiTheme="minorHAnsi" w:hAnsiTheme="minorHAnsi" w:cstheme="minorHAnsi"/>
                <w:bCs/>
                <w:sz w:val="18"/>
                <w:szCs w:val="18"/>
              </w:rPr>
              <w:t>Personal / luxury goods</w:t>
            </w:r>
          </w:p>
        </w:tc>
        <w:tc>
          <w:tcPr>
            <w:tcW w:w="599" w:type="dxa"/>
            <w:shd w:val="clear" w:color="auto" w:fill="auto"/>
            <w:vAlign w:val="bottom"/>
          </w:tcPr>
          <w:p w14:paraId="6BF1DD25" w14:textId="6AED30C3"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6%</w:t>
            </w:r>
          </w:p>
        </w:tc>
        <w:tc>
          <w:tcPr>
            <w:tcW w:w="634" w:type="dxa"/>
            <w:shd w:val="clear" w:color="auto" w:fill="auto"/>
            <w:vAlign w:val="bottom"/>
          </w:tcPr>
          <w:p w14:paraId="38BDCEF3" w14:textId="2874A7D8"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8%</w:t>
            </w:r>
          </w:p>
        </w:tc>
        <w:tc>
          <w:tcPr>
            <w:tcW w:w="675" w:type="dxa"/>
            <w:shd w:val="clear" w:color="auto" w:fill="auto"/>
            <w:vAlign w:val="bottom"/>
          </w:tcPr>
          <w:p w14:paraId="64B91984" w14:textId="1E57DED1"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12%</w:t>
            </w:r>
          </w:p>
        </w:tc>
        <w:tc>
          <w:tcPr>
            <w:tcW w:w="675" w:type="dxa"/>
            <w:shd w:val="clear" w:color="auto" w:fill="auto"/>
            <w:vAlign w:val="bottom"/>
          </w:tcPr>
          <w:p w14:paraId="2C14C39B" w14:textId="2C0BA722"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12%</w:t>
            </w:r>
          </w:p>
        </w:tc>
        <w:tc>
          <w:tcPr>
            <w:tcW w:w="593" w:type="dxa"/>
            <w:shd w:val="clear" w:color="auto" w:fill="auto"/>
            <w:vAlign w:val="bottom"/>
          </w:tcPr>
          <w:p w14:paraId="33A0E54E" w14:textId="56178776"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3%</w:t>
            </w:r>
          </w:p>
        </w:tc>
        <w:tc>
          <w:tcPr>
            <w:tcW w:w="595" w:type="dxa"/>
            <w:shd w:val="clear" w:color="auto" w:fill="auto"/>
            <w:vAlign w:val="bottom"/>
          </w:tcPr>
          <w:p w14:paraId="3E89AC90" w14:textId="5FB497FA"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3%</w:t>
            </w:r>
          </w:p>
        </w:tc>
        <w:tc>
          <w:tcPr>
            <w:tcW w:w="596" w:type="dxa"/>
            <w:shd w:val="clear" w:color="auto" w:fill="auto"/>
            <w:vAlign w:val="bottom"/>
          </w:tcPr>
          <w:p w14:paraId="42ADF83D" w14:textId="2E37310E"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3%</w:t>
            </w:r>
          </w:p>
        </w:tc>
        <w:tc>
          <w:tcPr>
            <w:tcW w:w="636" w:type="dxa"/>
            <w:shd w:val="clear" w:color="auto" w:fill="auto"/>
            <w:vAlign w:val="bottom"/>
          </w:tcPr>
          <w:p w14:paraId="27191387" w14:textId="1661BAC2"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3%</w:t>
            </w:r>
          </w:p>
        </w:tc>
        <w:tc>
          <w:tcPr>
            <w:tcW w:w="675" w:type="dxa"/>
            <w:shd w:val="clear" w:color="auto" w:fill="auto"/>
            <w:vAlign w:val="bottom"/>
          </w:tcPr>
          <w:p w14:paraId="080EF3F1" w14:textId="3E4661B2"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8%</w:t>
            </w:r>
          </w:p>
        </w:tc>
        <w:tc>
          <w:tcPr>
            <w:tcW w:w="675" w:type="dxa"/>
            <w:shd w:val="clear" w:color="auto" w:fill="auto"/>
            <w:vAlign w:val="bottom"/>
          </w:tcPr>
          <w:p w14:paraId="40B12C7B" w14:textId="2D1EAC80"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10%</w:t>
            </w:r>
          </w:p>
        </w:tc>
        <w:tc>
          <w:tcPr>
            <w:tcW w:w="800" w:type="dxa"/>
            <w:shd w:val="clear" w:color="auto" w:fill="auto"/>
            <w:vAlign w:val="bottom"/>
          </w:tcPr>
          <w:p w14:paraId="680452E8" w14:textId="0CCC853E"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13%</w:t>
            </w:r>
          </w:p>
        </w:tc>
        <w:tc>
          <w:tcPr>
            <w:tcW w:w="675" w:type="dxa"/>
            <w:shd w:val="clear" w:color="auto" w:fill="auto"/>
            <w:vAlign w:val="bottom"/>
          </w:tcPr>
          <w:p w14:paraId="08ED8186" w14:textId="1D204DBA"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5%</w:t>
            </w:r>
          </w:p>
        </w:tc>
        <w:tc>
          <w:tcPr>
            <w:tcW w:w="675" w:type="dxa"/>
            <w:shd w:val="clear" w:color="auto" w:fill="auto"/>
            <w:vAlign w:val="bottom"/>
          </w:tcPr>
          <w:p w14:paraId="1A8EB318" w14:textId="7B52A6DE"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0%</w:t>
            </w:r>
          </w:p>
        </w:tc>
        <w:tc>
          <w:tcPr>
            <w:tcW w:w="597" w:type="dxa"/>
            <w:shd w:val="clear" w:color="auto" w:fill="auto"/>
            <w:vAlign w:val="bottom"/>
          </w:tcPr>
          <w:p w14:paraId="6F796925" w14:textId="2CD88BBC" w:rsidR="0075042F" w:rsidRPr="001E50AF" w:rsidRDefault="0075042F" w:rsidP="0075042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0%</w:t>
            </w:r>
          </w:p>
        </w:tc>
      </w:tr>
      <w:tr w:rsidR="001E50AF" w:rsidRPr="001E50AF" w14:paraId="1B100350" w14:textId="77777777" w:rsidTr="001E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3167FB2C" w14:textId="77777777" w:rsidR="001E50AF" w:rsidRPr="001E50AF" w:rsidRDefault="001E50AF" w:rsidP="001E50AF">
            <w:pPr>
              <w:ind w:left="0"/>
              <w:rPr>
                <w:rFonts w:asciiTheme="minorHAnsi" w:hAnsiTheme="minorHAnsi" w:cstheme="minorHAnsi"/>
                <w:bCs/>
                <w:sz w:val="18"/>
                <w:szCs w:val="18"/>
              </w:rPr>
            </w:pPr>
            <w:r w:rsidRPr="001E50AF">
              <w:rPr>
                <w:rFonts w:asciiTheme="minorHAnsi" w:hAnsiTheme="minorHAnsi" w:cstheme="minorHAnsi"/>
                <w:bCs/>
                <w:sz w:val="18"/>
                <w:szCs w:val="18"/>
              </w:rPr>
              <w:t>Recreational goods</w:t>
            </w:r>
          </w:p>
        </w:tc>
        <w:tc>
          <w:tcPr>
            <w:tcW w:w="599" w:type="dxa"/>
            <w:shd w:val="clear" w:color="auto" w:fill="auto"/>
            <w:vAlign w:val="bottom"/>
          </w:tcPr>
          <w:p w14:paraId="7D1B96DB" w14:textId="58FA2E4D"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0%</w:t>
            </w:r>
          </w:p>
        </w:tc>
        <w:tc>
          <w:tcPr>
            <w:tcW w:w="634" w:type="dxa"/>
            <w:shd w:val="clear" w:color="auto" w:fill="auto"/>
            <w:vAlign w:val="bottom"/>
          </w:tcPr>
          <w:p w14:paraId="26774187" w14:textId="10CF14DF"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9%</w:t>
            </w:r>
          </w:p>
        </w:tc>
        <w:tc>
          <w:tcPr>
            <w:tcW w:w="675" w:type="dxa"/>
            <w:shd w:val="clear" w:color="auto" w:fill="auto"/>
            <w:vAlign w:val="bottom"/>
          </w:tcPr>
          <w:p w14:paraId="48199629" w14:textId="73605AC4"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3%</w:t>
            </w:r>
          </w:p>
        </w:tc>
        <w:tc>
          <w:tcPr>
            <w:tcW w:w="675" w:type="dxa"/>
            <w:shd w:val="clear" w:color="auto" w:fill="auto"/>
            <w:vAlign w:val="bottom"/>
          </w:tcPr>
          <w:p w14:paraId="18A26CA0" w14:textId="52871467"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0%</w:t>
            </w:r>
          </w:p>
        </w:tc>
        <w:tc>
          <w:tcPr>
            <w:tcW w:w="593" w:type="dxa"/>
            <w:shd w:val="clear" w:color="auto" w:fill="auto"/>
            <w:vAlign w:val="bottom"/>
          </w:tcPr>
          <w:p w14:paraId="2A2E05C7" w14:textId="23268F5B"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2%</w:t>
            </w:r>
          </w:p>
        </w:tc>
        <w:tc>
          <w:tcPr>
            <w:tcW w:w="595" w:type="dxa"/>
            <w:shd w:val="clear" w:color="auto" w:fill="auto"/>
            <w:vAlign w:val="bottom"/>
          </w:tcPr>
          <w:p w14:paraId="42A059FE" w14:textId="19566B08"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0%</w:t>
            </w:r>
          </w:p>
        </w:tc>
        <w:tc>
          <w:tcPr>
            <w:tcW w:w="596" w:type="dxa"/>
            <w:shd w:val="clear" w:color="auto" w:fill="auto"/>
            <w:vAlign w:val="bottom"/>
          </w:tcPr>
          <w:p w14:paraId="1CA92FAE" w14:textId="2354C4A3"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0%</w:t>
            </w:r>
          </w:p>
        </w:tc>
        <w:tc>
          <w:tcPr>
            <w:tcW w:w="636" w:type="dxa"/>
            <w:shd w:val="clear" w:color="auto" w:fill="auto"/>
            <w:vAlign w:val="bottom"/>
          </w:tcPr>
          <w:p w14:paraId="2196E7DA" w14:textId="06085392"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0%</w:t>
            </w:r>
          </w:p>
        </w:tc>
        <w:tc>
          <w:tcPr>
            <w:tcW w:w="675" w:type="dxa"/>
            <w:shd w:val="clear" w:color="auto" w:fill="auto"/>
            <w:vAlign w:val="bottom"/>
          </w:tcPr>
          <w:p w14:paraId="35494E2B" w14:textId="087ABDEB"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4%</w:t>
            </w:r>
          </w:p>
        </w:tc>
        <w:tc>
          <w:tcPr>
            <w:tcW w:w="675" w:type="dxa"/>
            <w:shd w:val="clear" w:color="auto" w:fill="auto"/>
            <w:vAlign w:val="bottom"/>
          </w:tcPr>
          <w:p w14:paraId="58489565" w14:textId="67D4847C"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0%</w:t>
            </w:r>
          </w:p>
        </w:tc>
        <w:tc>
          <w:tcPr>
            <w:tcW w:w="800" w:type="dxa"/>
            <w:shd w:val="clear" w:color="auto" w:fill="auto"/>
            <w:vAlign w:val="bottom"/>
          </w:tcPr>
          <w:p w14:paraId="7398325C" w14:textId="5EEB7804"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0%</w:t>
            </w:r>
          </w:p>
        </w:tc>
        <w:tc>
          <w:tcPr>
            <w:tcW w:w="675" w:type="dxa"/>
            <w:shd w:val="clear" w:color="auto" w:fill="auto"/>
            <w:vAlign w:val="bottom"/>
          </w:tcPr>
          <w:p w14:paraId="30D0D820" w14:textId="0A680BAC"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0%</w:t>
            </w:r>
          </w:p>
        </w:tc>
        <w:tc>
          <w:tcPr>
            <w:tcW w:w="675" w:type="dxa"/>
            <w:shd w:val="clear" w:color="auto" w:fill="auto"/>
            <w:vAlign w:val="bottom"/>
          </w:tcPr>
          <w:p w14:paraId="57002242" w14:textId="54946D45"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0%</w:t>
            </w:r>
          </w:p>
        </w:tc>
        <w:tc>
          <w:tcPr>
            <w:tcW w:w="597" w:type="dxa"/>
            <w:shd w:val="clear" w:color="auto" w:fill="auto"/>
            <w:vAlign w:val="bottom"/>
          </w:tcPr>
          <w:p w14:paraId="3B2F27A0" w14:textId="5D30DB36"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sz w:val="18"/>
                <w:szCs w:val="18"/>
              </w:rPr>
              <w:t>0%</w:t>
            </w:r>
          </w:p>
        </w:tc>
      </w:tr>
      <w:tr w:rsidR="001E50AF" w:rsidRPr="001E50AF" w14:paraId="6DDD1577" w14:textId="77777777" w:rsidTr="001E5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43" w:type="dxa"/>
            <w:gridSpan w:val="15"/>
            <w:shd w:val="clear" w:color="auto" w:fill="auto"/>
          </w:tcPr>
          <w:p w14:paraId="505BD3E7" w14:textId="77777777" w:rsidR="001E50AF" w:rsidRPr="001E50AF" w:rsidRDefault="001E50AF" w:rsidP="001E50AF">
            <w:pPr>
              <w:spacing w:before="0"/>
              <w:ind w:left="0" w:right="0"/>
              <w:jc w:val="center"/>
              <w:rPr>
                <w:rFonts w:asciiTheme="minorHAnsi" w:hAnsiTheme="minorHAnsi" w:cstheme="minorHAnsi"/>
                <w:b/>
                <w:color w:val="auto"/>
                <w:sz w:val="18"/>
                <w:szCs w:val="18"/>
              </w:rPr>
            </w:pPr>
            <w:r w:rsidRPr="003E7679">
              <w:rPr>
                <w:rFonts w:asciiTheme="minorHAnsi" w:hAnsiTheme="minorHAnsi" w:cstheme="minorHAnsi"/>
                <w:b/>
                <w:color w:val="C00000"/>
                <w:sz w:val="18"/>
                <w:szCs w:val="18"/>
              </w:rPr>
              <w:t>2022 Retail Study</w:t>
            </w:r>
          </w:p>
        </w:tc>
      </w:tr>
      <w:tr w:rsidR="001E50AF" w:rsidRPr="001E50AF" w14:paraId="45FBAB05" w14:textId="77777777" w:rsidTr="001E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558D5A2F" w14:textId="77777777" w:rsidR="001E50AF" w:rsidRPr="001E50AF" w:rsidRDefault="001E50AF" w:rsidP="001E50AF">
            <w:pPr>
              <w:spacing w:before="0"/>
              <w:ind w:left="0" w:right="0"/>
              <w:rPr>
                <w:rFonts w:asciiTheme="minorHAnsi" w:hAnsiTheme="minorHAnsi" w:cstheme="minorHAnsi"/>
                <w:bCs/>
                <w:color w:val="auto"/>
                <w:sz w:val="18"/>
                <w:szCs w:val="18"/>
              </w:rPr>
            </w:pPr>
            <w:r w:rsidRPr="001E50AF">
              <w:rPr>
                <w:rFonts w:asciiTheme="minorHAnsi" w:hAnsiTheme="minorHAnsi" w:cstheme="minorHAnsi"/>
                <w:bCs/>
                <w:color w:val="auto"/>
                <w:sz w:val="18"/>
                <w:szCs w:val="18"/>
              </w:rPr>
              <w:t>Clothes / footwear</w:t>
            </w:r>
          </w:p>
        </w:tc>
        <w:tc>
          <w:tcPr>
            <w:tcW w:w="599" w:type="dxa"/>
            <w:shd w:val="clear" w:color="auto" w:fill="auto"/>
            <w:vAlign w:val="bottom"/>
          </w:tcPr>
          <w:p w14:paraId="2AC9A2E7" w14:textId="1A7B0CEE"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1</w:t>
            </w:r>
            <w:r>
              <w:rPr>
                <w:rFonts w:asciiTheme="minorHAnsi" w:hAnsiTheme="minorHAnsi" w:cstheme="minorHAnsi"/>
                <w:color w:val="000000"/>
                <w:sz w:val="18"/>
                <w:szCs w:val="18"/>
              </w:rPr>
              <w:t>4</w:t>
            </w:r>
            <w:r w:rsidRPr="001E50AF">
              <w:rPr>
                <w:rFonts w:asciiTheme="minorHAnsi" w:hAnsiTheme="minorHAnsi" w:cstheme="minorHAnsi"/>
                <w:color w:val="000000"/>
                <w:sz w:val="18"/>
                <w:szCs w:val="18"/>
              </w:rPr>
              <w:t>%</w:t>
            </w:r>
          </w:p>
        </w:tc>
        <w:tc>
          <w:tcPr>
            <w:tcW w:w="634" w:type="dxa"/>
            <w:shd w:val="clear" w:color="auto" w:fill="auto"/>
            <w:vAlign w:val="bottom"/>
          </w:tcPr>
          <w:p w14:paraId="147B4BFE" w14:textId="42CEFDEA"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35%</w:t>
            </w:r>
          </w:p>
        </w:tc>
        <w:tc>
          <w:tcPr>
            <w:tcW w:w="675" w:type="dxa"/>
            <w:shd w:val="clear" w:color="auto" w:fill="auto"/>
            <w:vAlign w:val="bottom"/>
          </w:tcPr>
          <w:p w14:paraId="591EFB1B" w14:textId="00FA364A"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2</w:t>
            </w:r>
            <w:r>
              <w:rPr>
                <w:rFonts w:asciiTheme="minorHAnsi" w:hAnsiTheme="minorHAnsi" w:cstheme="minorHAnsi"/>
                <w:color w:val="000000"/>
                <w:sz w:val="18"/>
                <w:szCs w:val="18"/>
              </w:rPr>
              <w:t>9</w:t>
            </w:r>
            <w:r w:rsidRPr="001E50AF">
              <w:rPr>
                <w:rFonts w:asciiTheme="minorHAnsi" w:hAnsiTheme="minorHAnsi" w:cstheme="minorHAnsi"/>
                <w:color w:val="000000"/>
                <w:sz w:val="18"/>
                <w:szCs w:val="18"/>
              </w:rPr>
              <w:t>%</w:t>
            </w:r>
          </w:p>
        </w:tc>
        <w:tc>
          <w:tcPr>
            <w:tcW w:w="675" w:type="dxa"/>
            <w:shd w:val="clear" w:color="auto" w:fill="auto"/>
            <w:vAlign w:val="bottom"/>
          </w:tcPr>
          <w:p w14:paraId="14941E9E" w14:textId="4889D166"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3</w:t>
            </w:r>
            <w:r>
              <w:rPr>
                <w:rFonts w:asciiTheme="minorHAnsi" w:hAnsiTheme="minorHAnsi" w:cstheme="minorHAnsi"/>
                <w:color w:val="000000"/>
                <w:sz w:val="18"/>
                <w:szCs w:val="18"/>
              </w:rPr>
              <w:t>3</w:t>
            </w:r>
            <w:r w:rsidRPr="001E50AF">
              <w:rPr>
                <w:rFonts w:asciiTheme="minorHAnsi" w:hAnsiTheme="minorHAnsi" w:cstheme="minorHAnsi"/>
                <w:color w:val="000000"/>
                <w:sz w:val="18"/>
                <w:szCs w:val="18"/>
              </w:rPr>
              <w:t>%</w:t>
            </w:r>
          </w:p>
        </w:tc>
        <w:tc>
          <w:tcPr>
            <w:tcW w:w="593" w:type="dxa"/>
            <w:shd w:val="clear" w:color="auto" w:fill="auto"/>
            <w:vAlign w:val="bottom"/>
          </w:tcPr>
          <w:p w14:paraId="116744C8" w14:textId="4462D0F3"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4%</w:t>
            </w:r>
          </w:p>
        </w:tc>
        <w:tc>
          <w:tcPr>
            <w:tcW w:w="595" w:type="dxa"/>
            <w:shd w:val="clear" w:color="auto" w:fill="auto"/>
            <w:vAlign w:val="bottom"/>
          </w:tcPr>
          <w:p w14:paraId="41C654AB" w14:textId="20AA5AC8"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16%</w:t>
            </w:r>
          </w:p>
        </w:tc>
        <w:tc>
          <w:tcPr>
            <w:tcW w:w="596" w:type="dxa"/>
            <w:shd w:val="clear" w:color="auto" w:fill="auto"/>
            <w:vAlign w:val="bottom"/>
          </w:tcPr>
          <w:p w14:paraId="70AAFDCF" w14:textId="2CF817C3"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10</w:t>
            </w:r>
            <w:r w:rsidRPr="001E50AF">
              <w:rPr>
                <w:rFonts w:asciiTheme="minorHAnsi" w:hAnsiTheme="minorHAnsi" w:cstheme="minorHAnsi"/>
                <w:color w:val="000000"/>
                <w:sz w:val="18"/>
                <w:szCs w:val="18"/>
              </w:rPr>
              <w:t>%</w:t>
            </w:r>
          </w:p>
        </w:tc>
        <w:tc>
          <w:tcPr>
            <w:tcW w:w="636" w:type="dxa"/>
            <w:shd w:val="clear" w:color="auto" w:fill="auto"/>
            <w:vAlign w:val="bottom"/>
          </w:tcPr>
          <w:p w14:paraId="6AD7D84C" w14:textId="2B8B3682"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6%</w:t>
            </w:r>
          </w:p>
        </w:tc>
        <w:tc>
          <w:tcPr>
            <w:tcW w:w="675" w:type="dxa"/>
            <w:shd w:val="clear" w:color="auto" w:fill="auto"/>
            <w:vAlign w:val="bottom"/>
          </w:tcPr>
          <w:p w14:paraId="7591BD3D" w14:textId="33805CFD" w:rsidR="001E50AF" w:rsidRPr="001E50AF" w:rsidRDefault="00FE388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30</w:t>
            </w:r>
            <w:r w:rsidR="001E50AF" w:rsidRPr="001E50AF">
              <w:rPr>
                <w:rFonts w:asciiTheme="minorHAnsi" w:hAnsiTheme="minorHAnsi" w:cstheme="minorHAnsi"/>
                <w:color w:val="000000"/>
                <w:sz w:val="18"/>
                <w:szCs w:val="18"/>
              </w:rPr>
              <w:t>%</w:t>
            </w:r>
          </w:p>
        </w:tc>
        <w:tc>
          <w:tcPr>
            <w:tcW w:w="675" w:type="dxa"/>
            <w:shd w:val="clear" w:color="auto" w:fill="auto"/>
            <w:vAlign w:val="bottom"/>
          </w:tcPr>
          <w:p w14:paraId="7315C112" w14:textId="7ED5D1FF"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2</w:t>
            </w:r>
            <w:r w:rsidR="00FE388F">
              <w:rPr>
                <w:rFonts w:asciiTheme="minorHAnsi" w:hAnsiTheme="minorHAnsi" w:cstheme="minorHAnsi"/>
                <w:color w:val="000000"/>
                <w:sz w:val="18"/>
                <w:szCs w:val="18"/>
              </w:rPr>
              <w:t>8</w:t>
            </w:r>
            <w:r w:rsidRPr="001E50AF">
              <w:rPr>
                <w:rFonts w:asciiTheme="minorHAnsi" w:hAnsiTheme="minorHAnsi" w:cstheme="minorHAnsi"/>
                <w:color w:val="000000"/>
                <w:sz w:val="18"/>
                <w:szCs w:val="18"/>
              </w:rPr>
              <w:t>%</w:t>
            </w:r>
          </w:p>
        </w:tc>
        <w:tc>
          <w:tcPr>
            <w:tcW w:w="800" w:type="dxa"/>
            <w:shd w:val="clear" w:color="auto" w:fill="auto"/>
            <w:vAlign w:val="bottom"/>
          </w:tcPr>
          <w:p w14:paraId="249CCFBE" w14:textId="7667275F"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26%</w:t>
            </w:r>
          </w:p>
        </w:tc>
        <w:tc>
          <w:tcPr>
            <w:tcW w:w="675" w:type="dxa"/>
            <w:shd w:val="clear" w:color="auto" w:fill="auto"/>
            <w:vAlign w:val="bottom"/>
          </w:tcPr>
          <w:p w14:paraId="2EDA7DC6" w14:textId="33AFCC68"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16%</w:t>
            </w:r>
          </w:p>
        </w:tc>
        <w:tc>
          <w:tcPr>
            <w:tcW w:w="675" w:type="dxa"/>
            <w:shd w:val="clear" w:color="auto" w:fill="auto"/>
            <w:vAlign w:val="bottom"/>
          </w:tcPr>
          <w:p w14:paraId="0F17CEED" w14:textId="3C154CC9"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17%</w:t>
            </w:r>
          </w:p>
        </w:tc>
        <w:tc>
          <w:tcPr>
            <w:tcW w:w="597" w:type="dxa"/>
            <w:shd w:val="clear" w:color="auto" w:fill="auto"/>
            <w:vAlign w:val="bottom"/>
          </w:tcPr>
          <w:p w14:paraId="1F6A2434" w14:textId="719A2E2E"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18%</w:t>
            </w:r>
          </w:p>
        </w:tc>
      </w:tr>
      <w:tr w:rsidR="001E50AF" w:rsidRPr="001E50AF" w14:paraId="694A48FA" w14:textId="77777777" w:rsidTr="001E5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62DCA745" w14:textId="77777777" w:rsidR="001E50AF" w:rsidRPr="001E50AF" w:rsidRDefault="001E50AF" w:rsidP="001E50AF">
            <w:pPr>
              <w:spacing w:before="0"/>
              <w:ind w:left="0" w:right="0"/>
              <w:rPr>
                <w:rFonts w:asciiTheme="minorHAnsi" w:hAnsiTheme="minorHAnsi" w:cstheme="minorHAnsi"/>
                <w:bCs/>
                <w:color w:val="auto"/>
                <w:sz w:val="18"/>
                <w:szCs w:val="18"/>
              </w:rPr>
            </w:pPr>
            <w:r w:rsidRPr="001E50AF">
              <w:rPr>
                <w:rFonts w:asciiTheme="minorHAnsi" w:hAnsiTheme="minorHAnsi" w:cstheme="minorHAnsi"/>
                <w:bCs/>
                <w:color w:val="auto"/>
                <w:sz w:val="18"/>
                <w:szCs w:val="18"/>
              </w:rPr>
              <w:t>Furniture / floorcoverings / textiles</w:t>
            </w:r>
          </w:p>
        </w:tc>
        <w:tc>
          <w:tcPr>
            <w:tcW w:w="599" w:type="dxa"/>
            <w:shd w:val="clear" w:color="auto" w:fill="auto"/>
            <w:vAlign w:val="bottom"/>
          </w:tcPr>
          <w:p w14:paraId="4609F4B5" w14:textId="65DEE224" w:rsidR="001E50AF" w:rsidRPr="001E50AF" w:rsidRDefault="00FE388F"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3</w:t>
            </w:r>
            <w:r w:rsidR="001E50AF" w:rsidRPr="001E50AF">
              <w:rPr>
                <w:rFonts w:asciiTheme="minorHAnsi" w:hAnsiTheme="minorHAnsi" w:cstheme="minorHAnsi"/>
                <w:color w:val="000000"/>
                <w:sz w:val="18"/>
                <w:szCs w:val="18"/>
              </w:rPr>
              <w:t>%</w:t>
            </w:r>
          </w:p>
        </w:tc>
        <w:tc>
          <w:tcPr>
            <w:tcW w:w="634" w:type="dxa"/>
            <w:shd w:val="clear" w:color="auto" w:fill="auto"/>
            <w:vAlign w:val="bottom"/>
          </w:tcPr>
          <w:p w14:paraId="06FD9A26" w14:textId="51F9E633" w:rsidR="001E50AF" w:rsidRPr="001E50AF" w:rsidRDefault="001E50AF"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8%</w:t>
            </w:r>
          </w:p>
        </w:tc>
        <w:tc>
          <w:tcPr>
            <w:tcW w:w="675" w:type="dxa"/>
            <w:shd w:val="clear" w:color="auto" w:fill="auto"/>
            <w:vAlign w:val="bottom"/>
          </w:tcPr>
          <w:p w14:paraId="4A0F67D7" w14:textId="58A50FCA" w:rsidR="001E50AF" w:rsidRPr="001E50AF" w:rsidRDefault="00FE388F"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20</w:t>
            </w:r>
            <w:r w:rsidR="001E50AF" w:rsidRPr="001E50AF">
              <w:rPr>
                <w:rFonts w:asciiTheme="minorHAnsi" w:hAnsiTheme="minorHAnsi" w:cstheme="minorHAnsi"/>
                <w:color w:val="000000"/>
                <w:sz w:val="18"/>
                <w:szCs w:val="18"/>
              </w:rPr>
              <w:t>%</w:t>
            </w:r>
          </w:p>
        </w:tc>
        <w:tc>
          <w:tcPr>
            <w:tcW w:w="675" w:type="dxa"/>
            <w:shd w:val="clear" w:color="auto" w:fill="auto"/>
            <w:vAlign w:val="bottom"/>
          </w:tcPr>
          <w:p w14:paraId="4C0F7A3F" w14:textId="772D1D97" w:rsidR="001E50AF" w:rsidRPr="001E50AF" w:rsidRDefault="001E50AF"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1</w:t>
            </w:r>
            <w:r w:rsidR="00D7014D">
              <w:rPr>
                <w:rFonts w:asciiTheme="minorHAnsi" w:hAnsiTheme="minorHAnsi" w:cstheme="minorHAnsi"/>
                <w:color w:val="000000"/>
                <w:sz w:val="18"/>
                <w:szCs w:val="18"/>
              </w:rPr>
              <w:t>7</w:t>
            </w:r>
            <w:r w:rsidRPr="001E50AF">
              <w:rPr>
                <w:rFonts w:asciiTheme="minorHAnsi" w:hAnsiTheme="minorHAnsi" w:cstheme="minorHAnsi"/>
                <w:color w:val="000000"/>
                <w:sz w:val="18"/>
                <w:szCs w:val="18"/>
              </w:rPr>
              <w:t>%</w:t>
            </w:r>
          </w:p>
        </w:tc>
        <w:tc>
          <w:tcPr>
            <w:tcW w:w="593" w:type="dxa"/>
            <w:shd w:val="clear" w:color="auto" w:fill="auto"/>
            <w:vAlign w:val="bottom"/>
          </w:tcPr>
          <w:p w14:paraId="08D1A63F" w14:textId="68BBA768" w:rsidR="001E50AF" w:rsidRPr="001E50AF" w:rsidRDefault="001E50AF"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1</w:t>
            </w:r>
            <w:r w:rsidR="00D7014D">
              <w:rPr>
                <w:rFonts w:asciiTheme="minorHAnsi" w:hAnsiTheme="minorHAnsi" w:cstheme="minorHAnsi"/>
                <w:color w:val="000000"/>
                <w:sz w:val="18"/>
                <w:szCs w:val="18"/>
              </w:rPr>
              <w:t>4</w:t>
            </w:r>
            <w:r w:rsidRPr="001E50AF">
              <w:rPr>
                <w:rFonts w:asciiTheme="minorHAnsi" w:hAnsiTheme="minorHAnsi" w:cstheme="minorHAnsi"/>
                <w:color w:val="000000"/>
                <w:sz w:val="18"/>
                <w:szCs w:val="18"/>
              </w:rPr>
              <w:t>%</w:t>
            </w:r>
          </w:p>
        </w:tc>
        <w:tc>
          <w:tcPr>
            <w:tcW w:w="595" w:type="dxa"/>
            <w:shd w:val="clear" w:color="auto" w:fill="auto"/>
            <w:vAlign w:val="bottom"/>
          </w:tcPr>
          <w:p w14:paraId="6DE36CD1" w14:textId="0C886C72" w:rsidR="001E50AF" w:rsidRPr="001E50AF" w:rsidRDefault="001E50AF"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6%</w:t>
            </w:r>
          </w:p>
        </w:tc>
        <w:tc>
          <w:tcPr>
            <w:tcW w:w="596" w:type="dxa"/>
            <w:shd w:val="clear" w:color="auto" w:fill="auto"/>
            <w:vAlign w:val="bottom"/>
          </w:tcPr>
          <w:p w14:paraId="48D27507" w14:textId="02B7B0F0" w:rsidR="001E50AF" w:rsidRPr="001E50AF" w:rsidRDefault="001E50AF"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1%</w:t>
            </w:r>
          </w:p>
        </w:tc>
        <w:tc>
          <w:tcPr>
            <w:tcW w:w="636" w:type="dxa"/>
            <w:shd w:val="clear" w:color="auto" w:fill="auto"/>
            <w:vAlign w:val="bottom"/>
          </w:tcPr>
          <w:p w14:paraId="4CE064FC" w14:textId="4558B080" w:rsidR="001E50AF" w:rsidRPr="001E50AF" w:rsidRDefault="001E50AF"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12%</w:t>
            </w:r>
          </w:p>
        </w:tc>
        <w:tc>
          <w:tcPr>
            <w:tcW w:w="675" w:type="dxa"/>
            <w:shd w:val="clear" w:color="auto" w:fill="auto"/>
            <w:vAlign w:val="bottom"/>
          </w:tcPr>
          <w:p w14:paraId="578EF069" w14:textId="1FB42D3B" w:rsidR="001E50AF" w:rsidRPr="001E50AF" w:rsidRDefault="00D7014D"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7</w:t>
            </w:r>
            <w:r w:rsidR="001E50AF" w:rsidRPr="001E50AF">
              <w:rPr>
                <w:rFonts w:asciiTheme="minorHAnsi" w:hAnsiTheme="minorHAnsi" w:cstheme="minorHAnsi"/>
                <w:color w:val="000000"/>
                <w:sz w:val="18"/>
                <w:szCs w:val="18"/>
              </w:rPr>
              <w:t>%</w:t>
            </w:r>
          </w:p>
        </w:tc>
        <w:tc>
          <w:tcPr>
            <w:tcW w:w="675" w:type="dxa"/>
            <w:shd w:val="clear" w:color="auto" w:fill="auto"/>
            <w:vAlign w:val="bottom"/>
          </w:tcPr>
          <w:p w14:paraId="21A9D652" w14:textId="571B22E4" w:rsidR="001E50AF" w:rsidRPr="001E50AF" w:rsidRDefault="001E50AF"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1</w:t>
            </w:r>
            <w:r w:rsidR="00D7014D">
              <w:rPr>
                <w:rFonts w:asciiTheme="minorHAnsi" w:hAnsiTheme="minorHAnsi" w:cstheme="minorHAnsi"/>
                <w:color w:val="000000"/>
                <w:sz w:val="18"/>
                <w:szCs w:val="18"/>
              </w:rPr>
              <w:t>2</w:t>
            </w:r>
            <w:r w:rsidRPr="001E50AF">
              <w:rPr>
                <w:rFonts w:asciiTheme="minorHAnsi" w:hAnsiTheme="minorHAnsi" w:cstheme="minorHAnsi"/>
                <w:color w:val="000000"/>
                <w:sz w:val="18"/>
                <w:szCs w:val="18"/>
              </w:rPr>
              <w:t>%</w:t>
            </w:r>
          </w:p>
        </w:tc>
        <w:tc>
          <w:tcPr>
            <w:tcW w:w="800" w:type="dxa"/>
            <w:shd w:val="clear" w:color="auto" w:fill="auto"/>
            <w:vAlign w:val="bottom"/>
          </w:tcPr>
          <w:p w14:paraId="0B8FCA07" w14:textId="71119722" w:rsidR="001E50AF" w:rsidRPr="001E50AF" w:rsidRDefault="001E50AF"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2</w:t>
            </w:r>
            <w:r w:rsidR="00D7014D">
              <w:rPr>
                <w:rFonts w:asciiTheme="minorHAnsi" w:hAnsiTheme="minorHAnsi" w:cstheme="minorHAnsi"/>
                <w:color w:val="000000"/>
                <w:sz w:val="18"/>
                <w:szCs w:val="18"/>
              </w:rPr>
              <w:t>1</w:t>
            </w:r>
            <w:r w:rsidRPr="001E50AF">
              <w:rPr>
                <w:rFonts w:asciiTheme="minorHAnsi" w:hAnsiTheme="minorHAnsi" w:cstheme="minorHAnsi"/>
                <w:color w:val="000000"/>
                <w:sz w:val="18"/>
                <w:szCs w:val="18"/>
              </w:rPr>
              <w:t>%</w:t>
            </w:r>
          </w:p>
        </w:tc>
        <w:tc>
          <w:tcPr>
            <w:tcW w:w="675" w:type="dxa"/>
            <w:shd w:val="clear" w:color="auto" w:fill="auto"/>
            <w:vAlign w:val="bottom"/>
          </w:tcPr>
          <w:p w14:paraId="264637E6" w14:textId="08762F9E" w:rsidR="001E50AF" w:rsidRPr="001E50AF" w:rsidRDefault="001E50AF"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11%</w:t>
            </w:r>
          </w:p>
        </w:tc>
        <w:tc>
          <w:tcPr>
            <w:tcW w:w="675" w:type="dxa"/>
            <w:shd w:val="clear" w:color="auto" w:fill="auto"/>
            <w:vAlign w:val="bottom"/>
          </w:tcPr>
          <w:p w14:paraId="6EDB45B9" w14:textId="1185015B" w:rsidR="001E50AF" w:rsidRPr="001E50AF" w:rsidRDefault="00D7014D"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3</w:t>
            </w:r>
            <w:r w:rsidR="001E50AF" w:rsidRPr="001E50AF">
              <w:rPr>
                <w:rFonts w:asciiTheme="minorHAnsi" w:hAnsiTheme="minorHAnsi" w:cstheme="minorHAnsi"/>
                <w:color w:val="000000"/>
                <w:sz w:val="18"/>
                <w:szCs w:val="18"/>
              </w:rPr>
              <w:t>%</w:t>
            </w:r>
          </w:p>
        </w:tc>
        <w:tc>
          <w:tcPr>
            <w:tcW w:w="597" w:type="dxa"/>
            <w:shd w:val="clear" w:color="auto" w:fill="auto"/>
            <w:vAlign w:val="bottom"/>
          </w:tcPr>
          <w:p w14:paraId="6D0EBBDF" w14:textId="104ACD4E" w:rsidR="001E50AF" w:rsidRPr="001E50AF" w:rsidRDefault="001E50AF" w:rsidP="001E50AF">
            <w:pPr>
              <w:spacing w:before="0"/>
              <w:ind w:left="0" w:righ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7%</w:t>
            </w:r>
          </w:p>
        </w:tc>
      </w:tr>
      <w:tr w:rsidR="001E50AF" w:rsidRPr="001E50AF" w14:paraId="693631A2" w14:textId="77777777" w:rsidTr="001E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61DE9F78" w14:textId="77777777" w:rsidR="001E50AF" w:rsidRPr="001E50AF" w:rsidRDefault="001E50AF" w:rsidP="001E50AF">
            <w:pPr>
              <w:spacing w:before="0"/>
              <w:ind w:left="0" w:right="0"/>
              <w:rPr>
                <w:rFonts w:asciiTheme="minorHAnsi" w:hAnsiTheme="minorHAnsi" w:cstheme="minorHAnsi"/>
                <w:bCs/>
                <w:color w:val="auto"/>
                <w:sz w:val="18"/>
                <w:szCs w:val="18"/>
              </w:rPr>
            </w:pPr>
            <w:r w:rsidRPr="001E50AF">
              <w:rPr>
                <w:rFonts w:asciiTheme="minorHAnsi" w:hAnsiTheme="minorHAnsi" w:cstheme="minorHAnsi"/>
                <w:bCs/>
                <w:color w:val="auto"/>
                <w:sz w:val="18"/>
                <w:szCs w:val="18"/>
              </w:rPr>
              <w:t>DIY goods</w:t>
            </w:r>
          </w:p>
        </w:tc>
        <w:tc>
          <w:tcPr>
            <w:tcW w:w="599" w:type="dxa"/>
            <w:shd w:val="clear" w:color="auto" w:fill="auto"/>
            <w:vAlign w:val="bottom"/>
          </w:tcPr>
          <w:p w14:paraId="3498BA14" w14:textId="6F918CEE" w:rsidR="001E50AF" w:rsidRPr="001E50AF" w:rsidRDefault="00D7014D"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1</w:t>
            </w:r>
            <w:r w:rsidR="001E50AF" w:rsidRPr="001E50AF">
              <w:rPr>
                <w:rFonts w:asciiTheme="minorHAnsi" w:hAnsiTheme="minorHAnsi" w:cstheme="minorHAnsi"/>
                <w:color w:val="000000"/>
                <w:sz w:val="18"/>
                <w:szCs w:val="18"/>
              </w:rPr>
              <w:t>%</w:t>
            </w:r>
          </w:p>
        </w:tc>
        <w:tc>
          <w:tcPr>
            <w:tcW w:w="634" w:type="dxa"/>
            <w:shd w:val="clear" w:color="auto" w:fill="auto"/>
            <w:vAlign w:val="bottom"/>
          </w:tcPr>
          <w:p w14:paraId="622751ED" w14:textId="5AD22E4B"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1%</w:t>
            </w:r>
          </w:p>
        </w:tc>
        <w:tc>
          <w:tcPr>
            <w:tcW w:w="675" w:type="dxa"/>
            <w:shd w:val="clear" w:color="auto" w:fill="auto"/>
            <w:vAlign w:val="bottom"/>
          </w:tcPr>
          <w:p w14:paraId="197EE7F0" w14:textId="569D8F7A"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0%</w:t>
            </w:r>
          </w:p>
        </w:tc>
        <w:tc>
          <w:tcPr>
            <w:tcW w:w="675" w:type="dxa"/>
            <w:shd w:val="clear" w:color="auto" w:fill="auto"/>
            <w:vAlign w:val="bottom"/>
          </w:tcPr>
          <w:p w14:paraId="349498D0" w14:textId="1C3D5A78"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0%</w:t>
            </w:r>
          </w:p>
        </w:tc>
        <w:tc>
          <w:tcPr>
            <w:tcW w:w="593" w:type="dxa"/>
            <w:shd w:val="clear" w:color="auto" w:fill="auto"/>
            <w:vAlign w:val="bottom"/>
          </w:tcPr>
          <w:p w14:paraId="43B72700" w14:textId="25840AE5"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3%</w:t>
            </w:r>
          </w:p>
        </w:tc>
        <w:tc>
          <w:tcPr>
            <w:tcW w:w="595" w:type="dxa"/>
            <w:shd w:val="clear" w:color="auto" w:fill="auto"/>
            <w:vAlign w:val="bottom"/>
          </w:tcPr>
          <w:p w14:paraId="645FF0C2" w14:textId="60E885DA"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0%</w:t>
            </w:r>
          </w:p>
        </w:tc>
        <w:tc>
          <w:tcPr>
            <w:tcW w:w="596" w:type="dxa"/>
            <w:shd w:val="clear" w:color="auto" w:fill="auto"/>
            <w:vAlign w:val="bottom"/>
          </w:tcPr>
          <w:p w14:paraId="4FA42070" w14:textId="3D0D6FC8"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0%</w:t>
            </w:r>
          </w:p>
        </w:tc>
        <w:tc>
          <w:tcPr>
            <w:tcW w:w="636" w:type="dxa"/>
            <w:shd w:val="clear" w:color="auto" w:fill="auto"/>
            <w:vAlign w:val="bottom"/>
          </w:tcPr>
          <w:p w14:paraId="667D39FC" w14:textId="7D84EB65"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0%</w:t>
            </w:r>
          </w:p>
        </w:tc>
        <w:tc>
          <w:tcPr>
            <w:tcW w:w="675" w:type="dxa"/>
            <w:shd w:val="clear" w:color="auto" w:fill="auto"/>
            <w:vAlign w:val="bottom"/>
          </w:tcPr>
          <w:p w14:paraId="6D265575" w14:textId="25A53C0F"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0%</w:t>
            </w:r>
          </w:p>
        </w:tc>
        <w:tc>
          <w:tcPr>
            <w:tcW w:w="675" w:type="dxa"/>
            <w:shd w:val="clear" w:color="auto" w:fill="auto"/>
            <w:vAlign w:val="bottom"/>
          </w:tcPr>
          <w:p w14:paraId="72A94C55" w14:textId="7D075CEA"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0%</w:t>
            </w:r>
          </w:p>
        </w:tc>
        <w:tc>
          <w:tcPr>
            <w:tcW w:w="800" w:type="dxa"/>
            <w:shd w:val="clear" w:color="auto" w:fill="auto"/>
            <w:vAlign w:val="bottom"/>
          </w:tcPr>
          <w:p w14:paraId="63E24932" w14:textId="148F19D9" w:rsidR="001E50AF" w:rsidRPr="001E50AF" w:rsidRDefault="008F60A8"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asciiTheme="minorHAnsi" w:hAnsiTheme="minorHAnsi" w:cstheme="minorHAnsi"/>
                <w:color w:val="000000"/>
                <w:sz w:val="18"/>
                <w:szCs w:val="18"/>
              </w:rPr>
              <w:t>1</w:t>
            </w:r>
            <w:r w:rsidR="001E50AF" w:rsidRPr="001E50AF">
              <w:rPr>
                <w:rFonts w:asciiTheme="minorHAnsi" w:hAnsiTheme="minorHAnsi" w:cstheme="minorHAnsi"/>
                <w:color w:val="000000"/>
                <w:sz w:val="18"/>
                <w:szCs w:val="18"/>
              </w:rPr>
              <w:t>%</w:t>
            </w:r>
          </w:p>
        </w:tc>
        <w:tc>
          <w:tcPr>
            <w:tcW w:w="675" w:type="dxa"/>
            <w:shd w:val="clear" w:color="auto" w:fill="auto"/>
            <w:vAlign w:val="bottom"/>
          </w:tcPr>
          <w:p w14:paraId="7B1EE7CA" w14:textId="22AB359B"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0%</w:t>
            </w:r>
          </w:p>
        </w:tc>
        <w:tc>
          <w:tcPr>
            <w:tcW w:w="675" w:type="dxa"/>
            <w:shd w:val="clear" w:color="auto" w:fill="auto"/>
            <w:vAlign w:val="bottom"/>
          </w:tcPr>
          <w:p w14:paraId="6BAF2E69" w14:textId="772CF898"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3%</w:t>
            </w:r>
          </w:p>
        </w:tc>
        <w:tc>
          <w:tcPr>
            <w:tcW w:w="597" w:type="dxa"/>
            <w:shd w:val="clear" w:color="auto" w:fill="auto"/>
            <w:vAlign w:val="bottom"/>
          </w:tcPr>
          <w:p w14:paraId="3A946011" w14:textId="0FE853C8" w:rsidR="001E50AF" w:rsidRPr="001E50AF" w:rsidRDefault="001E50AF" w:rsidP="001E50AF">
            <w:pPr>
              <w:spacing w:before="0"/>
              <w:ind w:left="0" w:righ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1E50AF">
              <w:rPr>
                <w:rFonts w:asciiTheme="minorHAnsi" w:hAnsiTheme="minorHAnsi" w:cstheme="minorHAnsi"/>
                <w:color w:val="000000"/>
                <w:sz w:val="18"/>
                <w:szCs w:val="18"/>
              </w:rPr>
              <w:t>0%</w:t>
            </w:r>
          </w:p>
        </w:tc>
      </w:tr>
      <w:tr w:rsidR="001E50AF" w:rsidRPr="001E50AF" w14:paraId="6054D5B6" w14:textId="77777777" w:rsidTr="001E5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5F1AFC4D" w14:textId="77777777" w:rsidR="001E50AF" w:rsidRPr="001E50AF" w:rsidRDefault="001E50AF" w:rsidP="001E50AF">
            <w:pPr>
              <w:rPr>
                <w:rFonts w:asciiTheme="minorHAnsi" w:hAnsiTheme="minorHAnsi" w:cstheme="minorHAnsi"/>
                <w:bCs/>
                <w:sz w:val="18"/>
                <w:szCs w:val="18"/>
              </w:rPr>
            </w:pPr>
            <w:r w:rsidRPr="001E50AF">
              <w:rPr>
                <w:rFonts w:asciiTheme="minorHAnsi" w:hAnsiTheme="minorHAnsi" w:cstheme="minorHAnsi"/>
                <w:bCs/>
                <w:sz w:val="18"/>
                <w:szCs w:val="18"/>
              </w:rPr>
              <w:t>Domestic appliances</w:t>
            </w:r>
          </w:p>
        </w:tc>
        <w:tc>
          <w:tcPr>
            <w:tcW w:w="599" w:type="dxa"/>
            <w:shd w:val="clear" w:color="auto" w:fill="auto"/>
            <w:vAlign w:val="bottom"/>
          </w:tcPr>
          <w:p w14:paraId="294DF7C1" w14:textId="4709A06F" w:rsidR="001E50AF" w:rsidRPr="001E50AF" w:rsidRDefault="00D81B04"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6</w:t>
            </w:r>
            <w:r w:rsidR="001E50AF" w:rsidRPr="001E50AF">
              <w:rPr>
                <w:rFonts w:asciiTheme="minorHAnsi" w:hAnsiTheme="minorHAnsi" w:cstheme="minorHAnsi"/>
                <w:color w:val="000000"/>
                <w:sz w:val="18"/>
                <w:szCs w:val="18"/>
              </w:rPr>
              <w:t>%</w:t>
            </w:r>
          </w:p>
        </w:tc>
        <w:tc>
          <w:tcPr>
            <w:tcW w:w="634" w:type="dxa"/>
            <w:shd w:val="clear" w:color="auto" w:fill="auto"/>
            <w:vAlign w:val="bottom"/>
          </w:tcPr>
          <w:p w14:paraId="2F268287" w14:textId="136FDFC3" w:rsidR="001E50AF" w:rsidRPr="001E50AF" w:rsidRDefault="00D81B04"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2</w:t>
            </w:r>
            <w:r w:rsidR="001E50AF" w:rsidRPr="001E50AF">
              <w:rPr>
                <w:rFonts w:asciiTheme="minorHAnsi" w:hAnsiTheme="minorHAnsi" w:cstheme="minorHAnsi"/>
                <w:color w:val="000000"/>
                <w:sz w:val="18"/>
                <w:szCs w:val="18"/>
              </w:rPr>
              <w:t>%</w:t>
            </w:r>
          </w:p>
        </w:tc>
        <w:tc>
          <w:tcPr>
            <w:tcW w:w="675" w:type="dxa"/>
            <w:shd w:val="clear" w:color="auto" w:fill="auto"/>
            <w:vAlign w:val="bottom"/>
          </w:tcPr>
          <w:p w14:paraId="736A3F98" w14:textId="6CD213BC"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4%</w:t>
            </w:r>
          </w:p>
        </w:tc>
        <w:tc>
          <w:tcPr>
            <w:tcW w:w="675" w:type="dxa"/>
            <w:shd w:val="clear" w:color="auto" w:fill="auto"/>
            <w:vAlign w:val="bottom"/>
          </w:tcPr>
          <w:p w14:paraId="4E16A028" w14:textId="499AFE02"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14%</w:t>
            </w:r>
          </w:p>
        </w:tc>
        <w:tc>
          <w:tcPr>
            <w:tcW w:w="593" w:type="dxa"/>
            <w:shd w:val="clear" w:color="auto" w:fill="auto"/>
            <w:vAlign w:val="bottom"/>
          </w:tcPr>
          <w:p w14:paraId="550AF4C6" w14:textId="6D6EDA56" w:rsidR="001E50AF" w:rsidRPr="001E50AF" w:rsidRDefault="00D81B04"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4</w:t>
            </w:r>
            <w:r w:rsidR="001E50AF" w:rsidRPr="001E50AF">
              <w:rPr>
                <w:rFonts w:asciiTheme="minorHAnsi" w:hAnsiTheme="minorHAnsi" w:cstheme="minorHAnsi"/>
                <w:color w:val="000000"/>
                <w:sz w:val="18"/>
                <w:szCs w:val="18"/>
              </w:rPr>
              <w:t>%</w:t>
            </w:r>
          </w:p>
        </w:tc>
        <w:tc>
          <w:tcPr>
            <w:tcW w:w="595" w:type="dxa"/>
            <w:shd w:val="clear" w:color="auto" w:fill="auto"/>
            <w:vAlign w:val="bottom"/>
          </w:tcPr>
          <w:p w14:paraId="205D2C65" w14:textId="348024BF"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596" w:type="dxa"/>
            <w:shd w:val="clear" w:color="auto" w:fill="auto"/>
            <w:vAlign w:val="bottom"/>
          </w:tcPr>
          <w:p w14:paraId="317CD7B7" w14:textId="4D250015"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3%</w:t>
            </w:r>
          </w:p>
        </w:tc>
        <w:tc>
          <w:tcPr>
            <w:tcW w:w="636" w:type="dxa"/>
            <w:shd w:val="clear" w:color="auto" w:fill="auto"/>
            <w:vAlign w:val="bottom"/>
          </w:tcPr>
          <w:p w14:paraId="1D6C43BA" w14:textId="33D544C2"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675" w:type="dxa"/>
            <w:shd w:val="clear" w:color="auto" w:fill="auto"/>
            <w:vAlign w:val="bottom"/>
          </w:tcPr>
          <w:p w14:paraId="5D6EEB8B" w14:textId="10B7DAFE"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675" w:type="dxa"/>
            <w:shd w:val="clear" w:color="auto" w:fill="auto"/>
            <w:vAlign w:val="bottom"/>
          </w:tcPr>
          <w:p w14:paraId="034F1D73" w14:textId="0A81D9C6"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5%</w:t>
            </w:r>
          </w:p>
        </w:tc>
        <w:tc>
          <w:tcPr>
            <w:tcW w:w="800" w:type="dxa"/>
            <w:shd w:val="clear" w:color="auto" w:fill="auto"/>
            <w:vAlign w:val="bottom"/>
          </w:tcPr>
          <w:p w14:paraId="0D29721D" w14:textId="6EA8B8C8"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3</w:t>
            </w:r>
            <w:r w:rsidR="00D81B04">
              <w:rPr>
                <w:rFonts w:asciiTheme="minorHAnsi" w:hAnsiTheme="minorHAnsi" w:cstheme="minorHAnsi"/>
                <w:color w:val="000000"/>
                <w:sz w:val="18"/>
                <w:szCs w:val="18"/>
              </w:rPr>
              <w:t>1</w:t>
            </w:r>
            <w:r w:rsidRPr="001E50AF">
              <w:rPr>
                <w:rFonts w:asciiTheme="minorHAnsi" w:hAnsiTheme="minorHAnsi" w:cstheme="minorHAnsi"/>
                <w:color w:val="000000"/>
                <w:sz w:val="18"/>
                <w:szCs w:val="18"/>
              </w:rPr>
              <w:t>%</w:t>
            </w:r>
          </w:p>
        </w:tc>
        <w:tc>
          <w:tcPr>
            <w:tcW w:w="675" w:type="dxa"/>
            <w:shd w:val="clear" w:color="auto" w:fill="auto"/>
            <w:vAlign w:val="bottom"/>
          </w:tcPr>
          <w:p w14:paraId="0A0B71E5" w14:textId="12FBEFEA"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5%</w:t>
            </w:r>
          </w:p>
        </w:tc>
        <w:tc>
          <w:tcPr>
            <w:tcW w:w="675" w:type="dxa"/>
            <w:shd w:val="clear" w:color="auto" w:fill="auto"/>
            <w:vAlign w:val="bottom"/>
          </w:tcPr>
          <w:p w14:paraId="741D20DE" w14:textId="4E8AB6E9"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597" w:type="dxa"/>
            <w:shd w:val="clear" w:color="auto" w:fill="auto"/>
            <w:vAlign w:val="bottom"/>
          </w:tcPr>
          <w:p w14:paraId="1C82C88F" w14:textId="7253C423"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r>
      <w:tr w:rsidR="001E50AF" w:rsidRPr="001E50AF" w14:paraId="0B550999" w14:textId="77777777" w:rsidTr="001E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31979710" w14:textId="77777777" w:rsidR="001E50AF" w:rsidRPr="001E50AF" w:rsidRDefault="001E50AF" w:rsidP="001E50AF">
            <w:pPr>
              <w:rPr>
                <w:rFonts w:asciiTheme="minorHAnsi" w:hAnsiTheme="minorHAnsi" w:cstheme="minorHAnsi"/>
                <w:bCs/>
                <w:sz w:val="18"/>
                <w:szCs w:val="18"/>
              </w:rPr>
            </w:pPr>
            <w:r w:rsidRPr="001E50AF">
              <w:rPr>
                <w:rFonts w:asciiTheme="minorHAnsi" w:hAnsiTheme="minorHAnsi" w:cstheme="minorHAnsi"/>
                <w:bCs/>
                <w:sz w:val="18"/>
                <w:szCs w:val="18"/>
              </w:rPr>
              <w:t>Small electrical goods</w:t>
            </w:r>
          </w:p>
        </w:tc>
        <w:tc>
          <w:tcPr>
            <w:tcW w:w="599" w:type="dxa"/>
            <w:shd w:val="clear" w:color="auto" w:fill="auto"/>
            <w:vAlign w:val="bottom"/>
          </w:tcPr>
          <w:p w14:paraId="1F8B0287" w14:textId="792AC4FB"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634" w:type="dxa"/>
            <w:shd w:val="clear" w:color="auto" w:fill="auto"/>
            <w:vAlign w:val="bottom"/>
          </w:tcPr>
          <w:p w14:paraId="32ECB3FC" w14:textId="6F68480E"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675" w:type="dxa"/>
            <w:shd w:val="clear" w:color="auto" w:fill="auto"/>
            <w:vAlign w:val="bottom"/>
          </w:tcPr>
          <w:p w14:paraId="3DC19434" w14:textId="16D2F96E" w:rsidR="001E50AF" w:rsidRPr="001E50AF" w:rsidRDefault="00D81B04"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6</w:t>
            </w:r>
            <w:r w:rsidR="001E50AF" w:rsidRPr="001E50AF">
              <w:rPr>
                <w:rFonts w:asciiTheme="minorHAnsi" w:hAnsiTheme="minorHAnsi" w:cstheme="minorHAnsi"/>
                <w:color w:val="000000"/>
                <w:sz w:val="18"/>
                <w:szCs w:val="18"/>
              </w:rPr>
              <w:t>%</w:t>
            </w:r>
          </w:p>
        </w:tc>
        <w:tc>
          <w:tcPr>
            <w:tcW w:w="675" w:type="dxa"/>
            <w:shd w:val="clear" w:color="auto" w:fill="auto"/>
            <w:vAlign w:val="bottom"/>
          </w:tcPr>
          <w:p w14:paraId="465F5792" w14:textId="427EDC92"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14%</w:t>
            </w:r>
          </w:p>
        </w:tc>
        <w:tc>
          <w:tcPr>
            <w:tcW w:w="593" w:type="dxa"/>
            <w:shd w:val="clear" w:color="auto" w:fill="auto"/>
            <w:vAlign w:val="bottom"/>
          </w:tcPr>
          <w:p w14:paraId="52AF5D38" w14:textId="780C0FAB" w:rsidR="001E50AF" w:rsidRPr="001E50AF" w:rsidRDefault="00D81B04"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9</w:t>
            </w:r>
            <w:r w:rsidR="001E50AF" w:rsidRPr="001E50AF">
              <w:rPr>
                <w:rFonts w:asciiTheme="minorHAnsi" w:hAnsiTheme="minorHAnsi" w:cstheme="minorHAnsi"/>
                <w:color w:val="000000"/>
                <w:sz w:val="18"/>
                <w:szCs w:val="18"/>
              </w:rPr>
              <w:t>%</w:t>
            </w:r>
          </w:p>
        </w:tc>
        <w:tc>
          <w:tcPr>
            <w:tcW w:w="595" w:type="dxa"/>
            <w:shd w:val="clear" w:color="auto" w:fill="auto"/>
            <w:vAlign w:val="bottom"/>
          </w:tcPr>
          <w:p w14:paraId="2C981DBD" w14:textId="0D5529F0"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596" w:type="dxa"/>
            <w:shd w:val="clear" w:color="auto" w:fill="auto"/>
            <w:vAlign w:val="bottom"/>
          </w:tcPr>
          <w:p w14:paraId="62B9A0D1" w14:textId="2DBA1825" w:rsidR="001E50AF" w:rsidRPr="001E50AF" w:rsidRDefault="00D81B04"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4</w:t>
            </w:r>
            <w:r w:rsidR="001E50AF" w:rsidRPr="001E50AF">
              <w:rPr>
                <w:rFonts w:asciiTheme="minorHAnsi" w:hAnsiTheme="minorHAnsi" w:cstheme="minorHAnsi"/>
                <w:color w:val="000000"/>
                <w:sz w:val="18"/>
                <w:szCs w:val="18"/>
              </w:rPr>
              <w:t>%</w:t>
            </w:r>
          </w:p>
        </w:tc>
        <w:tc>
          <w:tcPr>
            <w:tcW w:w="636" w:type="dxa"/>
            <w:shd w:val="clear" w:color="auto" w:fill="auto"/>
            <w:vAlign w:val="bottom"/>
          </w:tcPr>
          <w:p w14:paraId="065B64DF" w14:textId="5C62DE4E"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675" w:type="dxa"/>
            <w:shd w:val="clear" w:color="auto" w:fill="auto"/>
            <w:vAlign w:val="bottom"/>
          </w:tcPr>
          <w:p w14:paraId="7B39648C" w14:textId="41DD5610"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675" w:type="dxa"/>
            <w:shd w:val="clear" w:color="auto" w:fill="auto"/>
            <w:vAlign w:val="bottom"/>
          </w:tcPr>
          <w:p w14:paraId="63D34F22" w14:textId="46ECBA76"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2</w:t>
            </w:r>
            <w:r w:rsidR="00D81B04">
              <w:rPr>
                <w:rFonts w:asciiTheme="minorHAnsi" w:hAnsiTheme="minorHAnsi" w:cstheme="minorHAnsi"/>
                <w:color w:val="000000"/>
                <w:sz w:val="18"/>
                <w:szCs w:val="18"/>
              </w:rPr>
              <w:t>6</w:t>
            </w:r>
            <w:r w:rsidRPr="001E50AF">
              <w:rPr>
                <w:rFonts w:asciiTheme="minorHAnsi" w:hAnsiTheme="minorHAnsi" w:cstheme="minorHAnsi"/>
                <w:color w:val="000000"/>
                <w:sz w:val="18"/>
                <w:szCs w:val="18"/>
              </w:rPr>
              <w:t>%</w:t>
            </w:r>
          </w:p>
        </w:tc>
        <w:tc>
          <w:tcPr>
            <w:tcW w:w="800" w:type="dxa"/>
            <w:shd w:val="clear" w:color="auto" w:fill="auto"/>
            <w:vAlign w:val="bottom"/>
          </w:tcPr>
          <w:p w14:paraId="3C8FCA5B" w14:textId="68372A42"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1</w:t>
            </w:r>
            <w:r w:rsidR="00D81B04">
              <w:rPr>
                <w:rFonts w:asciiTheme="minorHAnsi" w:hAnsiTheme="minorHAnsi" w:cstheme="minorHAnsi"/>
                <w:color w:val="000000"/>
                <w:sz w:val="18"/>
                <w:szCs w:val="18"/>
              </w:rPr>
              <w:t>2</w:t>
            </w:r>
            <w:r w:rsidRPr="001E50AF">
              <w:rPr>
                <w:rFonts w:asciiTheme="minorHAnsi" w:hAnsiTheme="minorHAnsi" w:cstheme="minorHAnsi"/>
                <w:color w:val="000000"/>
                <w:sz w:val="18"/>
                <w:szCs w:val="18"/>
              </w:rPr>
              <w:t>%</w:t>
            </w:r>
          </w:p>
        </w:tc>
        <w:tc>
          <w:tcPr>
            <w:tcW w:w="675" w:type="dxa"/>
            <w:shd w:val="clear" w:color="auto" w:fill="auto"/>
            <w:vAlign w:val="bottom"/>
          </w:tcPr>
          <w:p w14:paraId="7352DA53" w14:textId="362502B8"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16%</w:t>
            </w:r>
          </w:p>
        </w:tc>
        <w:tc>
          <w:tcPr>
            <w:tcW w:w="675" w:type="dxa"/>
            <w:shd w:val="clear" w:color="auto" w:fill="auto"/>
            <w:vAlign w:val="bottom"/>
          </w:tcPr>
          <w:p w14:paraId="4C8E971D" w14:textId="4B0DE8C4"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597" w:type="dxa"/>
            <w:shd w:val="clear" w:color="auto" w:fill="auto"/>
            <w:vAlign w:val="bottom"/>
          </w:tcPr>
          <w:p w14:paraId="15482235" w14:textId="075C1CB1"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5%</w:t>
            </w:r>
          </w:p>
        </w:tc>
      </w:tr>
      <w:tr w:rsidR="001E50AF" w:rsidRPr="001E50AF" w14:paraId="17ED8F85" w14:textId="77777777" w:rsidTr="001E50A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585DEADA" w14:textId="77777777" w:rsidR="001E50AF" w:rsidRPr="001E50AF" w:rsidRDefault="001E50AF" w:rsidP="001E50AF">
            <w:pPr>
              <w:rPr>
                <w:rFonts w:asciiTheme="minorHAnsi" w:hAnsiTheme="minorHAnsi" w:cstheme="minorHAnsi"/>
                <w:bCs/>
                <w:sz w:val="18"/>
                <w:szCs w:val="18"/>
              </w:rPr>
            </w:pPr>
            <w:r w:rsidRPr="001E50AF">
              <w:rPr>
                <w:rFonts w:asciiTheme="minorHAnsi" w:hAnsiTheme="minorHAnsi" w:cstheme="minorHAnsi"/>
                <w:bCs/>
                <w:sz w:val="18"/>
                <w:szCs w:val="18"/>
              </w:rPr>
              <w:t>Personal / luxury goods</w:t>
            </w:r>
          </w:p>
        </w:tc>
        <w:tc>
          <w:tcPr>
            <w:tcW w:w="599" w:type="dxa"/>
            <w:shd w:val="clear" w:color="auto" w:fill="auto"/>
            <w:vAlign w:val="bottom"/>
          </w:tcPr>
          <w:p w14:paraId="260796D9" w14:textId="4313515F"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6%</w:t>
            </w:r>
          </w:p>
        </w:tc>
        <w:tc>
          <w:tcPr>
            <w:tcW w:w="634" w:type="dxa"/>
            <w:shd w:val="clear" w:color="auto" w:fill="auto"/>
            <w:vAlign w:val="bottom"/>
          </w:tcPr>
          <w:p w14:paraId="0C32BAA8" w14:textId="34C1BF42" w:rsidR="001E50AF" w:rsidRPr="001E50AF" w:rsidRDefault="00D81B04"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6</w:t>
            </w:r>
            <w:r w:rsidR="001E50AF" w:rsidRPr="001E50AF">
              <w:rPr>
                <w:rFonts w:asciiTheme="minorHAnsi" w:hAnsiTheme="minorHAnsi" w:cstheme="minorHAnsi"/>
                <w:color w:val="000000"/>
                <w:sz w:val="18"/>
                <w:szCs w:val="18"/>
              </w:rPr>
              <w:t>%</w:t>
            </w:r>
          </w:p>
        </w:tc>
        <w:tc>
          <w:tcPr>
            <w:tcW w:w="675" w:type="dxa"/>
            <w:shd w:val="clear" w:color="auto" w:fill="auto"/>
            <w:vAlign w:val="bottom"/>
          </w:tcPr>
          <w:p w14:paraId="112F7EE0" w14:textId="46154C56"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27%</w:t>
            </w:r>
          </w:p>
        </w:tc>
        <w:tc>
          <w:tcPr>
            <w:tcW w:w="675" w:type="dxa"/>
            <w:shd w:val="clear" w:color="auto" w:fill="auto"/>
            <w:vAlign w:val="bottom"/>
          </w:tcPr>
          <w:p w14:paraId="6623018F" w14:textId="384C77D0"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43%</w:t>
            </w:r>
          </w:p>
        </w:tc>
        <w:tc>
          <w:tcPr>
            <w:tcW w:w="593" w:type="dxa"/>
            <w:shd w:val="clear" w:color="auto" w:fill="auto"/>
            <w:vAlign w:val="bottom"/>
          </w:tcPr>
          <w:p w14:paraId="67FFAEE7" w14:textId="71247EF6"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3%</w:t>
            </w:r>
          </w:p>
        </w:tc>
        <w:tc>
          <w:tcPr>
            <w:tcW w:w="595" w:type="dxa"/>
            <w:shd w:val="clear" w:color="auto" w:fill="auto"/>
            <w:vAlign w:val="bottom"/>
          </w:tcPr>
          <w:p w14:paraId="56E5B998" w14:textId="2784ACC1" w:rsidR="001E50AF" w:rsidRPr="001E50AF" w:rsidRDefault="00D81B04"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3</w:t>
            </w:r>
            <w:r w:rsidR="001E50AF" w:rsidRPr="001E50AF">
              <w:rPr>
                <w:rFonts w:asciiTheme="minorHAnsi" w:hAnsiTheme="minorHAnsi" w:cstheme="minorHAnsi"/>
                <w:color w:val="000000"/>
                <w:sz w:val="18"/>
                <w:szCs w:val="18"/>
              </w:rPr>
              <w:t>%</w:t>
            </w:r>
          </w:p>
        </w:tc>
        <w:tc>
          <w:tcPr>
            <w:tcW w:w="596" w:type="dxa"/>
            <w:shd w:val="clear" w:color="auto" w:fill="auto"/>
            <w:vAlign w:val="bottom"/>
          </w:tcPr>
          <w:p w14:paraId="460DE8B7" w14:textId="7A52E45A"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6%</w:t>
            </w:r>
          </w:p>
        </w:tc>
        <w:tc>
          <w:tcPr>
            <w:tcW w:w="636" w:type="dxa"/>
            <w:shd w:val="clear" w:color="auto" w:fill="auto"/>
            <w:vAlign w:val="bottom"/>
          </w:tcPr>
          <w:p w14:paraId="1EA58EEC" w14:textId="3BE23929"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2%</w:t>
            </w:r>
          </w:p>
        </w:tc>
        <w:tc>
          <w:tcPr>
            <w:tcW w:w="675" w:type="dxa"/>
            <w:shd w:val="clear" w:color="auto" w:fill="auto"/>
            <w:vAlign w:val="bottom"/>
          </w:tcPr>
          <w:p w14:paraId="5068B06D" w14:textId="4FE4CE0C"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12%</w:t>
            </w:r>
          </w:p>
        </w:tc>
        <w:tc>
          <w:tcPr>
            <w:tcW w:w="675" w:type="dxa"/>
            <w:shd w:val="clear" w:color="auto" w:fill="auto"/>
            <w:vAlign w:val="bottom"/>
          </w:tcPr>
          <w:p w14:paraId="5B452461" w14:textId="76F9E8D9"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26%</w:t>
            </w:r>
          </w:p>
        </w:tc>
        <w:tc>
          <w:tcPr>
            <w:tcW w:w="800" w:type="dxa"/>
            <w:shd w:val="clear" w:color="auto" w:fill="auto"/>
            <w:vAlign w:val="bottom"/>
          </w:tcPr>
          <w:p w14:paraId="069194D4" w14:textId="2CEFE7A5"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2</w:t>
            </w:r>
            <w:r w:rsidR="00D81B04">
              <w:rPr>
                <w:rFonts w:asciiTheme="minorHAnsi" w:hAnsiTheme="minorHAnsi" w:cstheme="minorHAnsi"/>
                <w:color w:val="000000"/>
                <w:sz w:val="18"/>
                <w:szCs w:val="18"/>
              </w:rPr>
              <w:t>9</w:t>
            </w:r>
            <w:r w:rsidRPr="001E50AF">
              <w:rPr>
                <w:rFonts w:asciiTheme="minorHAnsi" w:hAnsiTheme="minorHAnsi" w:cstheme="minorHAnsi"/>
                <w:color w:val="000000"/>
                <w:sz w:val="18"/>
                <w:szCs w:val="18"/>
              </w:rPr>
              <w:t>%</w:t>
            </w:r>
          </w:p>
        </w:tc>
        <w:tc>
          <w:tcPr>
            <w:tcW w:w="675" w:type="dxa"/>
            <w:shd w:val="clear" w:color="auto" w:fill="auto"/>
            <w:vAlign w:val="bottom"/>
          </w:tcPr>
          <w:p w14:paraId="1A073899" w14:textId="388AD1D2" w:rsidR="001E50AF" w:rsidRPr="001E50AF" w:rsidRDefault="00D81B04"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3</w:t>
            </w:r>
            <w:r w:rsidR="001E50AF" w:rsidRPr="001E50AF">
              <w:rPr>
                <w:rFonts w:asciiTheme="minorHAnsi" w:hAnsiTheme="minorHAnsi" w:cstheme="minorHAnsi"/>
                <w:color w:val="000000"/>
                <w:sz w:val="18"/>
                <w:szCs w:val="18"/>
              </w:rPr>
              <w:t>%</w:t>
            </w:r>
          </w:p>
        </w:tc>
        <w:tc>
          <w:tcPr>
            <w:tcW w:w="675" w:type="dxa"/>
            <w:shd w:val="clear" w:color="auto" w:fill="auto"/>
            <w:vAlign w:val="bottom"/>
          </w:tcPr>
          <w:p w14:paraId="2213062C" w14:textId="7AA16958" w:rsidR="001E50AF" w:rsidRPr="001E50AF" w:rsidRDefault="001E50AF"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1</w:t>
            </w:r>
            <w:r w:rsidR="00D81B04">
              <w:rPr>
                <w:rFonts w:asciiTheme="minorHAnsi" w:hAnsiTheme="minorHAnsi" w:cstheme="minorHAnsi"/>
                <w:color w:val="000000"/>
                <w:sz w:val="18"/>
                <w:szCs w:val="18"/>
              </w:rPr>
              <w:t>5</w:t>
            </w:r>
            <w:r w:rsidRPr="001E50AF">
              <w:rPr>
                <w:rFonts w:asciiTheme="minorHAnsi" w:hAnsiTheme="minorHAnsi" w:cstheme="minorHAnsi"/>
                <w:color w:val="000000"/>
                <w:sz w:val="18"/>
                <w:szCs w:val="18"/>
              </w:rPr>
              <w:t>%</w:t>
            </w:r>
          </w:p>
        </w:tc>
        <w:tc>
          <w:tcPr>
            <w:tcW w:w="597" w:type="dxa"/>
            <w:shd w:val="clear" w:color="auto" w:fill="auto"/>
            <w:vAlign w:val="bottom"/>
          </w:tcPr>
          <w:p w14:paraId="4EE08F7D" w14:textId="35EE0BCE" w:rsidR="001E50AF" w:rsidRPr="001E50AF" w:rsidRDefault="00D81B04" w:rsidP="001E50AF">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2</w:t>
            </w:r>
            <w:r w:rsidR="001E50AF" w:rsidRPr="001E50AF">
              <w:rPr>
                <w:rFonts w:asciiTheme="minorHAnsi" w:hAnsiTheme="minorHAnsi" w:cstheme="minorHAnsi"/>
                <w:color w:val="000000"/>
                <w:sz w:val="18"/>
                <w:szCs w:val="18"/>
              </w:rPr>
              <w:t>%</w:t>
            </w:r>
          </w:p>
        </w:tc>
      </w:tr>
      <w:tr w:rsidR="001E50AF" w:rsidRPr="001E50AF" w14:paraId="43E32C24" w14:textId="77777777" w:rsidTr="001E5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shd w:val="clear" w:color="auto" w:fill="auto"/>
          </w:tcPr>
          <w:p w14:paraId="0FA7A461" w14:textId="77777777" w:rsidR="001E50AF" w:rsidRPr="001E50AF" w:rsidRDefault="001E50AF" w:rsidP="001E50AF">
            <w:pPr>
              <w:rPr>
                <w:rFonts w:asciiTheme="minorHAnsi" w:hAnsiTheme="minorHAnsi" w:cstheme="minorHAnsi"/>
                <w:bCs/>
                <w:sz w:val="18"/>
                <w:szCs w:val="18"/>
              </w:rPr>
            </w:pPr>
            <w:r w:rsidRPr="001E50AF">
              <w:rPr>
                <w:rFonts w:asciiTheme="minorHAnsi" w:hAnsiTheme="minorHAnsi" w:cstheme="minorHAnsi"/>
                <w:bCs/>
                <w:sz w:val="18"/>
                <w:szCs w:val="18"/>
              </w:rPr>
              <w:t>Recreational goods</w:t>
            </w:r>
          </w:p>
        </w:tc>
        <w:tc>
          <w:tcPr>
            <w:tcW w:w="599" w:type="dxa"/>
            <w:shd w:val="clear" w:color="auto" w:fill="auto"/>
            <w:vAlign w:val="bottom"/>
          </w:tcPr>
          <w:p w14:paraId="2D59E685" w14:textId="1E5C68BD"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634" w:type="dxa"/>
            <w:shd w:val="clear" w:color="auto" w:fill="auto"/>
            <w:vAlign w:val="bottom"/>
          </w:tcPr>
          <w:p w14:paraId="6CED4884" w14:textId="37BA004F"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3%</w:t>
            </w:r>
          </w:p>
        </w:tc>
        <w:tc>
          <w:tcPr>
            <w:tcW w:w="675" w:type="dxa"/>
            <w:shd w:val="clear" w:color="auto" w:fill="auto"/>
            <w:vAlign w:val="bottom"/>
          </w:tcPr>
          <w:p w14:paraId="6603E5BD" w14:textId="2FEA53D1"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2%</w:t>
            </w:r>
          </w:p>
        </w:tc>
        <w:tc>
          <w:tcPr>
            <w:tcW w:w="675" w:type="dxa"/>
            <w:shd w:val="clear" w:color="auto" w:fill="auto"/>
            <w:vAlign w:val="bottom"/>
          </w:tcPr>
          <w:p w14:paraId="3E91722E" w14:textId="6CBCF2DD"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1</w:t>
            </w:r>
            <w:r w:rsidR="00D81B04">
              <w:rPr>
                <w:rFonts w:asciiTheme="minorHAnsi" w:hAnsiTheme="minorHAnsi" w:cstheme="minorHAnsi"/>
                <w:color w:val="000000"/>
                <w:sz w:val="18"/>
                <w:szCs w:val="18"/>
              </w:rPr>
              <w:t>6</w:t>
            </w:r>
            <w:r w:rsidRPr="001E50AF">
              <w:rPr>
                <w:rFonts w:asciiTheme="minorHAnsi" w:hAnsiTheme="minorHAnsi" w:cstheme="minorHAnsi"/>
                <w:color w:val="000000"/>
                <w:sz w:val="18"/>
                <w:szCs w:val="18"/>
              </w:rPr>
              <w:t>%</w:t>
            </w:r>
          </w:p>
        </w:tc>
        <w:tc>
          <w:tcPr>
            <w:tcW w:w="593" w:type="dxa"/>
            <w:shd w:val="clear" w:color="auto" w:fill="auto"/>
            <w:vAlign w:val="bottom"/>
          </w:tcPr>
          <w:p w14:paraId="6CD6257A" w14:textId="3DEB9117"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595" w:type="dxa"/>
            <w:shd w:val="clear" w:color="auto" w:fill="auto"/>
            <w:vAlign w:val="bottom"/>
          </w:tcPr>
          <w:p w14:paraId="6E68A032" w14:textId="146ECC23"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596" w:type="dxa"/>
            <w:shd w:val="clear" w:color="auto" w:fill="auto"/>
            <w:vAlign w:val="bottom"/>
          </w:tcPr>
          <w:p w14:paraId="3ED68724" w14:textId="28D4004F"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636" w:type="dxa"/>
            <w:shd w:val="clear" w:color="auto" w:fill="auto"/>
            <w:vAlign w:val="bottom"/>
          </w:tcPr>
          <w:p w14:paraId="470B35FC" w14:textId="2A832B4C"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675" w:type="dxa"/>
            <w:shd w:val="clear" w:color="auto" w:fill="auto"/>
            <w:vAlign w:val="bottom"/>
          </w:tcPr>
          <w:p w14:paraId="1422F072" w14:textId="55466106"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675" w:type="dxa"/>
            <w:shd w:val="clear" w:color="auto" w:fill="auto"/>
            <w:vAlign w:val="bottom"/>
          </w:tcPr>
          <w:p w14:paraId="1B6F0E79" w14:textId="3D9A8619" w:rsidR="001E50AF" w:rsidRPr="001E50AF" w:rsidRDefault="00D81B04"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3</w:t>
            </w:r>
            <w:r w:rsidR="001E50AF" w:rsidRPr="001E50AF">
              <w:rPr>
                <w:rFonts w:asciiTheme="minorHAnsi" w:hAnsiTheme="minorHAnsi" w:cstheme="minorHAnsi"/>
                <w:color w:val="000000"/>
                <w:sz w:val="18"/>
                <w:szCs w:val="18"/>
              </w:rPr>
              <w:t>%</w:t>
            </w:r>
          </w:p>
        </w:tc>
        <w:tc>
          <w:tcPr>
            <w:tcW w:w="800" w:type="dxa"/>
            <w:shd w:val="clear" w:color="auto" w:fill="auto"/>
            <w:vAlign w:val="bottom"/>
          </w:tcPr>
          <w:p w14:paraId="0E8AEF42" w14:textId="556D0D5E"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5%</w:t>
            </w:r>
          </w:p>
        </w:tc>
        <w:tc>
          <w:tcPr>
            <w:tcW w:w="675" w:type="dxa"/>
            <w:shd w:val="clear" w:color="auto" w:fill="auto"/>
            <w:vAlign w:val="bottom"/>
          </w:tcPr>
          <w:p w14:paraId="03096C68" w14:textId="3F8A9718"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675" w:type="dxa"/>
            <w:shd w:val="clear" w:color="auto" w:fill="auto"/>
            <w:vAlign w:val="bottom"/>
          </w:tcPr>
          <w:p w14:paraId="1B907274" w14:textId="3F86F64B" w:rsidR="001E50AF" w:rsidRPr="001E50AF" w:rsidRDefault="001E50AF"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sidRPr="001E50AF">
              <w:rPr>
                <w:rFonts w:asciiTheme="minorHAnsi" w:hAnsiTheme="minorHAnsi" w:cstheme="minorHAnsi"/>
                <w:color w:val="000000"/>
                <w:sz w:val="18"/>
                <w:szCs w:val="18"/>
              </w:rPr>
              <w:t>0%</w:t>
            </w:r>
          </w:p>
        </w:tc>
        <w:tc>
          <w:tcPr>
            <w:tcW w:w="597" w:type="dxa"/>
            <w:shd w:val="clear" w:color="auto" w:fill="auto"/>
            <w:vAlign w:val="bottom"/>
          </w:tcPr>
          <w:p w14:paraId="0F83871D" w14:textId="05527AB6" w:rsidR="001E50AF" w:rsidRPr="001E50AF" w:rsidRDefault="00D81B04" w:rsidP="001E50A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color w:val="000000"/>
                <w:sz w:val="18"/>
                <w:szCs w:val="18"/>
              </w:rPr>
              <w:t>3</w:t>
            </w:r>
            <w:r w:rsidR="001E50AF" w:rsidRPr="001E50AF">
              <w:rPr>
                <w:rFonts w:asciiTheme="minorHAnsi" w:hAnsiTheme="minorHAnsi" w:cstheme="minorHAnsi"/>
                <w:color w:val="000000"/>
                <w:sz w:val="18"/>
                <w:szCs w:val="18"/>
              </w:rPr>
              <w:t>%</w:t>
            </w:r>
          </w:p>
        </w:tc>
      </w:tr>
    </w:tbl>
    <w:p w14:paraId="36BAC277" w14:textId="7D213B4A" w:rsidR="0073110A" w:rsidRDefault="0073110A" w:rsidP="00523A36">
      <w:pPr>
        <w:pStyle w:val="Level1"/>
        <w:numPr>
          <w:ilvl w:val="0"/>
          <w:numId w:val="0"/>
        </w:numPr>
        <w:ind w:left="720"/>
        <w:jc w:val="both"/>
      </w:pPr>
    </w:p>
    <w:p w14:paraId="388D4C85" w14:textId="20561507" w:rsidR="0057551B" w:rsidRDefault="00D81B04" w:rsidP="00FC7952">
      <w:pPr>
        <w:pStyle w:val="Level1"/>
        <w:jc w:val="both"/>
      </w:pPr>
      <w:r>
        <w:t xml:space="preserve">The data in Table 4.19 provides </w:t>
      </w:r>
      <w:r w:rsidR="00263A8E">
        <w:t>confirmation that whilst many of The Willows’ highest market shares lie amongst trips from Zone 5 residents, there is a catchment for the centre which extends beyond Torbay and, in some cases, beyond Torbay itself.</w:t>
      </w:r>
      <w:r w:rsidR="006161E9">
        <w:t xml:space="preserve">  Personal / luxury goods (43%) and clothing/footwear (33%) have the highest market shares in relation to first choice trips, followed by recreational goods, furniture/textiles, domestic </w:t>
      </w:r>
      <w:proofErr w:type="gramStart"/>
      <w:r w:rsidR="006161E9">
        <w:t>appliances</w:t>
      </w:r>
      <w:proofErr w:type="gramEnd"/>
      <w:r w:rsidR="006161E9">
        <w:t xml:space="preserve"> and smaller electrical products.  Amongst those </w:t>
      </w:r>
      <w:proofErr w:type="gramStart"/>
      <w:r w:rsidR="006161E9">
        <w:t>first choice</w:t>
      </w:r>
      <w:proofErr w:type="gramEnd"/>
      <w:r w:rsidR="006161E9">
        <w:t xml:space="preserve"> comparison goods trips (from Zone 5 residents) directed towards the district centre, there have </w:t>
      </w:r>
      <w:r w:rsidR="00A66DA9">
        <w:t>been increases in the clothing/footwear and personal/luxury goods category</w:t>
      </w:r>
      <w:r w:rsidR="0057551B">
        <w:t xml:space="preserve"> and falls in the domestic/electrical goods categories.</w:t>
      </w:r>
      <w:r w:rsidR="00A66DA9">
        <w:t xml:space="preserve"> </w:t>
      </w:r>
      <w:r w:rsidR="0057551B">
        <w:t xml:space="preserve"> </w:t>
      </w:r>
      <w:r w:rsidR="008D38C0">
        <w:t>In relation to the latter categories, the main reason for the significant fall in market share is likely to be due to the closure of the Comet electrical goods store, which was open at the time of the household survey used in the 2013 retail study.</w:t>
      </w:r>
    </w:p>
    <w:p w14:paraId="7FCED3C0" w14:textId="4F6D8B7E" w:rsidR="00D81B04" w:rsidRPr="00B566A9" w:rsidRDefault="0057551B" w:rsidP="00FC7952">
      <w:pPr>
        <w:pStyle w:val="Level1"/>
        <w:jc w:val="both"/>
      </w:pPr>
      <w:r>
        <w:lastRenderedPageBreak/>
        <w:t xml:space="preserve">Beyond Torquay (Zone 5) there has been a general softening in the </w:t>
      </w:r>
      <w:proofErr w:type="gramStart"/>
      <w:r>
        <w:t>first choice</w:t>
      </w:r>
      <w:proofErr w:type="gramEnd"/>
      <w:r>
        <w:t xml:space="preserve"> market share levels within other study area zones, although market share levels for clothing and personal/luxury trips amongst Zone 4 (Paignton) residents have remained relatively static over the past decade.  The opposite is true for second choice comparison goods trips in these categories amongst Paignton and Brixham </w:t>
      </w:r>
      <w:r w:rsidRPr="00B566A9">
        <w:t>residents.</w:t>
      </w:r>
    </w:p>
    <w:p w14:paraId="2FB1B4B0" w14:textId="28F5E006" w:rsidR="0057551B" w:rsidRPr="00B44051" w:rsidRDefault="00B566A9" w:rsidP="00FC7952">
      <w:pPr>
        <w:pStyle w:val="Level1"/>
        <w:jc w:val="both"/>
      </w:pPr>
      <w:r w:rsidRPr="00B44051">
        <w:t>In relation to food and beverage visits, The Willows attracts 2% of trips apiece from residents of Zones 4, 5 and 8.</w:t>
      </w:r>
    </w:p>
    <w:p w14:paraId="424E1CE7" w14:textId="6C6F5236" w:rsidR="00643176" w:rsidRPr="00643176" w:rsidRDefault="00643176" w:rsidP="00643176">
      <w:pPr>
        <w:pStyle w:val="Level1"/>
        <w:numPr>
          <w:ilvl w:val="0"/>
          <w:numId w:val="0"/>
        </w:numPr>
        <w:ind w:left="720"/>
        <w:jc w:val="both"/>
        <w:rPr>
          <w:rStyle w:val="Emphasis"/>
        </w:rPr>
      </w:pPr>
      <w:r>
        <w:rPr>
          <w:rStyle w:val="Emphasis"/>
        </w:rPr>
        <w:t xml:space="preserve">St Marychurch District Centre </w:t>
      </w:r>
    </w:p>
    <w:p w14:paraId="7DDFC93D" w14:textId="1EA10F48" w:rsidR="00FC7952" w:rsidRDefault="00F76E33" w:rsidP="00FC7952">
      <w:pPr>
        <w:pStyle w:val="Level1"/>
      </w:pPr>
      <w:r>
        <w:t xml:space="preserve">St Marychurch district centre </w:t>
      </w:r>
      <w:proofErr w:type="gramStart"/>
      <w:r>
        <w:t>is located in</w:t>
      </w:r>
      <w:proofErr w:type="gramEnd"/>
      <w:r>
        <w:t xml:space="preserve"> the northern part of the Torquay urban area and comprises a linear centre</w:t>
      </w:r>
      <w:r w:rsidR="00516D6A">
        <w:rPr>
          <w:rStyle w:val="FootnoteReference"/>
        </w:rPr>
        <w:footnoteReference w:id="27"/>
      </w:r>
      <w:r>
        <w:t xml:space="preserve"> located on either side of Fore Street, stretching from St Marychurch Road in the south-east to the junction with Church Road in the north-west.</w:t>
      </w:r>
    </w:p>
    <w:p w14:paraId="0D3813A3" w14:textId="53BEEACD" w:rsidR="00FC7952" w:rsidRDefault="00F76E33" w:rsidP="002463DA">
      <w:pPr>
        <w:pStyle w:val="Level1"/>
        <w:jc w:val="both"/>
      </w:pPr>
      <w:r>
        <w:t>Table 4.20 below outlines the land use profile of the district centre based upon the 2021 Retail Monitor database held by TC.  As with the three main town centres, the Retail Monitor data has been classified using Experian’s ‘centre report’ methodology.</w:t>
      </w:r>
      <w:r w:rsidR="006D656B">
        <w:t xml:space="preserve">  The data indicates that the comparison goods retail and retail service sectors have the same number of surveyed units (28) and comprise circa 39% of all units apiece.  Convenience goods retailers occupy 15% of all surveyed units, whilst, at the time of the survey, only four retail units in the centre were vacant.</w:t>
      </w:r>
    </w:p>
    <w:p w14:paraId="45373DDD" w14:textId="4C778E5C" w:rsidR="00F76E33" w:rsidRPr="00B75C59" w:rsidRDefault="00F76E33" w:rsidP="00F76E33">
      <w:pPr>
        <w:pStyle w:val="Level1"/>
        <w:numPr>
          <w:ilvl w:val="0"/>
          <w:numId w:val="0"/>
        </w:numPr>
        <w:spacing w:after="120" w:line="240" w:lineRule="auto"/>
        <w:ind w:left="720"/>
        <w:jc w:val="both"/>
        <w:rPr>
          <w:rStyle w:val="Emphasis"/>
          <w:sz w:val="18"/>
          <w:szCs w:val="18"/>
        </w:rPr>
      </w:pPr>
      <w:r>
        <w:rPr>
          <w:rStyle w:val="Emphasis"/>
          <w:sz w:val="18"/>
          <w:szCs w:val="18"/>
        </w:rPr>
        <w:t>Table 4.20: St Marychurch district centre land use profile – Torbay Council 2021 Retail Monitor Data</w:t>
      </w:r>
    </w:p>
    <w:tbl>
      <w:tblPr>
        <w:tblStyle w:val="CustomTable2"/>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501"/>
        <w:gridCol w:w="2268"/>
      </w:tblGrid>
      <w:tr w:rsidR="00F76E33" w:rsidRPr="00367E8D" w14:paraId="39944998" w14:textId="77777777" w:rsidTr="006E37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E8E9E7" w:themeFill="background2" w:themeFillTint="66"/>
          </w:tcPr>
          <w:p w14:paraId="734D301B" w14:textId="77777777" w:rsidR="00F76E33" w:rsidRPr="00367E8D" w:rsidRDefault="00F76E33" w:rsidP="006E370C">
            <w:pPr>
              <w:pStyle w:val="Level1"/>
              <w:numPr>
                <w:ilvl w:val="0"/>
                <w:numId w:val="0"/>
              </w:numPr>
              <w:spacing w:before="0" w:after="0" w:line="240" w:lineRule="auto"/>
              <w:jc w:val="both"/>
              <w:rPr>
                <w:rFonts w:asciiTheme="minorHAnsi" w:hAnsiTheme="minorHAnsi" w:cstheme="minorHAnsi"/>
                <w:color w:val="auto"/>
                <w:sz w:val="18"/>
                <w:szCs w:val="18"/>
              </w:rPr>
            </w:pPr>
            <w:r w:rsidRPr="00367E8D">
              <w:rPr>
                <w:rFonts w:asciiTheme="minorHAnsi" w:hAnsiTheme="minorHAnsi" w:cstheme="minorHAnsi"/>
                <w:color w:val="auto"/>
                <w:sz w:val="18"/>
                <w:szCs w:val="18"/>
              </w:rPr>
              <w:t>Sector</w:t>
            </w:r>
          </w:p>
        </w:tc>
        <w:tc>
          <w:tcPr>
            <w:tcW w:w="2501" w:type="dxa"/>
            <w:shd w:val="clear" w:color="auto" w:fill="E8E9E7" w:themeFill="background2" w:themeFillTint="66"/>
          </w:tcPr>
          <w:p w14:paraId="733B806E" w14:textId="77777777" w:rsidR="00F76E33" w:rsidRPr="00367E8D" w:rsidRDefault="00F76E33" w:rsidP="006E370C">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367E8D">
              <w:rPr>
                <w:rFonts w:asciiTheme="minorHAnsi" w:hAnsiTheme="minorHAnsi" w:cstheme="minorHAnsi"/>
                <w:color w:val="auto"/>
                <w:sz w:val="18"/>
                <w:szCs w:val="18"/>
              </w:rPr>
              <w:t>No. of Units</w:t>
            </w:r>
          </w:p>
        </w:tc>
        <w:tc>
          <w:tcPr>
            <w:tcW w:w="2268" w:type="dxa"/>
            <w:shd w:val="clear" w:color="auto" w:fill="E8E9E7" w:themeFill="background2" w:themeFillTint="66"/>
          </w:tcPr>
          <w:p w14:paraId="4CBAE948" w14:textId="77777777" w:rsidR="00F76E33" w:rsidRPr="00367E8D" w:rsidRDefault="00F76E33" w:rsidP="006E370C">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367E8D">
              <w:rPr>
                <w:rFonts w:asciiTheme="minorHAnsi" w:hAnsiTheme="minorHAnsi" w:cstheme="minorHAnsi"/>
                <w:color w:val="auto"/>
                <w:sz w:val="18"/>
                <w:szCs w:val="18"/>
              </w:rPr>
              <w:t xml:space="preserve">% </w:t>
            </w:r>
            <w:proofErr w:type="gramStart"/>
            <w:r w:rsidRPr="00367E8D">
              <w:rPr>
                <w:rFonts w:asciiTheme="minorHAnsi" w:hAnsiTheme="minorHAnsi" w:cstheme="minorHAnsi"/>
                <w:color w:val="auto"/>
                <w:sz w:val="18"/>
                <w:szCs w:val="18"/>
              </w:rPr>
              <w:t>of</w:t>
            </w:r>
            <w:proofErr w:type="gramEnd"/>
            <w:r w:rsidRPr="00367E8D">
              <w:rPr>
                <w:rFonts w:asciiTheme="minorHAnsi" w:hAnsiTheme="minorHAnsi" w:cstheme="minorHAnsi"/>
                <w:color w:val="auto"/>
                <w:sz w:val="18"/>
                <w:szCs w:val="18"/>
              </w:rPr>
              <w:t xml:space="preserve"> Total Surveyed Units</w:t>
            </w:r>
          </w:p>
        </w:tc>
      </w:tr>
      <w:tr w:rsidR="00367E8D" w:rsidRPr="00367E8D" w14:paraId="08293AD6" w14:textId="77777777" w:rsidTr="00367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08D82F47" w14:textId="77777777" w:rsidR="00367E8D" w:rsidRPr="00367E8D" w:rsidRDefault="00367E8D" w:rsidP="00367E8D">
            <w:pPr>
              <w:pStyle w:val="Level1"/>
              <w:numPr>
                <w:ilvl w:val="0"/>
                <w:numId w:val="0"/>
              </w:numPr>
              <w:spacing w:before="0" w:after="0" w:line="240" w:lineRule="auto"/>
              <w:jc w:val="both"/>
              <w:rPr>
                <w:rFonts w:asciiTheme="minorHAnsi" w:hAnsiTheme="minorHAnsi" w:cstheme="minorHAnsi"/>
                <w:bCs/>
                <w:color w:val="auto"/>
                <w:sz w:val="18"/>
                <w:szCs w:val="18"/>
              </w:rPr>
            </w:pPr>
            <w:r w:rsidRPr="00367E8D">
              <w:rPr>
                <w:rFonts w:asciiTheme="minorHAnsi" w:hAnsiTheme="minorHAnsi" w:cstheme="minorHAnsi"/>
                <w:bCs/>
                <w:color w:val="auto"/>
                <w:sz w:val="18"/>
                <w:szCs w:val="18"/>
              </w:rPr>
              <w:t>Convenience</w:t>
            </w:r>
          </w:p>
        </w:tc>
        <w:tc>
          <w:tcPr>
            <w:tcW w:w="2501" w:type="dxa"/>
            <w:shd w:val="clear" w:color="auto" w:fill="auto"/>
            <w:vAlign w:val="bottom"/>
          </w:tcPr>
          <w:p w14:paraId="689A6F36" w14:textId="01E3F836" w:rsidR="00367E8D" w:rsidRPr="00367E8D" w:rsidRDefault="00367E8D" w:rsidP="00367E8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367E8D">
              <w:rPr>
                <w:rFonts w:asciiTheme="minorHAnsi" w:hAnsiTheme="minorHAnsi" w:cstheme="minorHAnsi"/>
                <w:sz w:val="18"/>
                <w:szCs w:val="18"/>
              </w:rPr>
              <w:t>11</w:t>
            </w:r>
          </w:p>
        </w:tc>
        <w:tc>
          <w:tcPr>
            <w:tcW w:w="2268" w:type="dxa"/>
            <w:shd w:val="clear" w:color="auto" w:fill="auto"/>
            <w:vAlign w:val="bottom"/>
          </w:tcPr>
          <w:p w14:paraId="07A96235" w14:textId="21B5EF29" w:rsidR="00367E8D" w:rsidRPr="00367E8D" w:rsidRDefault="00367E8D" w:rsidP="00367E8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367E8D">
              <w:rPr>
                <w:rFonts w:asciiTheme="minorHAnsi" w:hAnsiTheme="minorHAnsi" w:cstheme="minorHAnsi"/>
                <w:sz w:val="18"/>
                <w:szCs w:val="18"/>
              </w:rPr>
              <w:t>15.5%</w:t>
            </w:r>
          </w:p>
        </w:tc>
      </w:tr>
      <w:tr w:rsidR="00367E8D" w:rsidRPr="00367E8D" w14:paraId="4672032E" w14:textId="77777777" w:rsidTr="00367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30C2E455" w14:textId="77777777" w:rsidR="00367E8D" w:rsidRPr="00367E8D" w:rsidRDefault="00367E8D" w:rsidP="00367E8D">
            <w:pPr>
              <w:pStyle w:val="Level1"/>
              <w:numPr>
                <w:ilvl w:val="0"/>
                <w:numId w:val="0"/>
              </w:numPr>
              <w:spacing w:before="0" w:after="0" w:line="240" w:lineRule="auto"/>
              <w:jc w:val="both"/>
              <w:rPr>
                <w:rFonts w:asciiTheme="minorHAnsi" w:hAnsiTheme="minorHAnsi" w:cstheme="minorHAnsi"/>
                <w:bCs/>
                <w:color w:val="auto"/>
                <w:sz w:val="18"/>
                <w:szCs w:val="18"/>
              </w:rPr>
            </w:pPr>
            <w:r w:rsidRPr="00367E8D">
              <w:rPr>
                <w:rFonts w:asciiTheme="minorHAnsi" w:hAnsiTheme="minorHAnsi" w:cstheme="minorHAnsi"/>
                <w:bCs/>
                <w:color w:val="auto"/>
                <w:sz w:val="18"/>
                <w:szCs w:val="18"/>
              </w:rPr>
              <w:t>Comparison</w:t>
            </w:r>
          </w:p>
        </w:tc>
        <w:tc>
          <w:tcPr>
            <w:tcW w:w="2501" w:type="dxa"/>
            <w:shd w:val="clear" w:color="auto" w:fill="auto"/>
            <w:vAlign w:val="bottom"/>
          </w:tcPr>
          <w:p w14:paraId="3FBE5A62" w14:textId="5BA4AC92" w:rsidR="00367E8D" w:rsidRPr="00367E8D" w:rsidRDefault="00367E8D" w:rsidP="00367E8D">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367E8D">
              <w:rPr>
                <w:rFonts w:asciiTheme="minorHAnsi" w:hAnsiTheme="minorHAnsi" w:cstheme="minorHAnsi"/>
                <w:sz w:val="18"/>
                <w:szCs w:val="18"/>
              </w:rPr>
              <w:t>28</w:t>
            </w:r>
          </w:p>
        </w:tc>
        <w:tc>
          <w:tcPr>
            <w:tcW w:w="2268" w:type="dxa"/>
            <w:shd w:val="clear" w:color="auto" w:fill="auto"/>
            <w:vAlign w:val="bottom"/>
          </w:tcPr>
          <w:p w14:paraId="049E42B6" w14:textId="577D421E" w:rsidR="00367E8D" w:rsidRPr="00367E8D" w:rsidRDefault="00367E8D" w:rsidP="00367E8D">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367E8D">
              <w:rPr>
                <w:rFonts w:asciiTheme="minorHAnsi" w:hAnsiTheme="minorHAnsi" w:cstheme="minorHAnsi"/>
                <w:sz w:val="18"/>
                <w:szCs w:val="18"/>
              </w:rPr>
              <w:t>39.4%</w:t>
            </w:r>
          </w:p>
        </w:tc>
      </w:tr>
      <w:tr w:rsidR="00367E8D" w:rsidRPr="00367E8D" w14:paraId="5E0D528B" w14:textId="77777777" w:rsidTr="00367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1EF0C4FE" w14:textId="77777777" w:rsidR="00367E8D" w:rsidRPr="00367E8D" w:rsidRDefault="00367E8D" w:rsidP="00367E8D">
            <w:pPr>
              <w:pStyle w:val="Level1"/>
              <w:numPr>
                <w:ilvl w:val="0"/>
                <w:numId w:val="0"/>
              </w:numPr>
              <w:spacing w:before="0" w:after="0" w:line="240" w:lineRule="auto"/>
              <w:jc w:val="both"/>
              <w:rPr>
                <w:rFonts w:asciiTheme="minorHAnsi" w:hAnsiTheme="minorHAnsi" w:cstheme="minorHAnsi"/>
                <w:bCs/>
                <w:color w:val="auto"/>
                <w:sz w:val="18"/>
                <w:szCs w:val="18"/>
              </w:rPr>
            </w:pPr>
            <w:r w:rsidRPr="00367E8D">
              <w:rPr>
                <w:rFonts w:asciiTheme="minorHAnsi" w:hAnsiTheme="minorHAnsi" w:cstheme="minorHAnsi"/>
                <w:bCs/>
                <w:color w:val="auto"/>
                <w:sz w:val="18"/>
                <w:szCs w:val="18"/>
              </w:rPr>
              <w:t>Service</w:t>
            </w:r>
          </w:p>
        </w:tc>
        <w:tc>
          <w:tcPr>
            <w:tcW w:w="2501" w:type="dxa"/>
            <w:shd w:val="clear" w:color="auto" w:fill="auto"/>
            <w:vAlign w:val="bottom"/>
          </w:tcPr>
          <w:p w14:paraId="15C2107A" w14:textId="7B5E5402" w:rsidR="00367E8D" w:rsidRPr="00367E8D" w:rsidRDefault="00367E8D" w:rsidP="00367E8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367E8D">
              <w:rPr>
                <w:rFonts w:asciiTheme="minorHAnsi" w:hAnsiTheme="minorHAnsi" w:cstheme="minorHAnsi"/>
                <w:sz w:val="18"/>
                <w:szCs w:val="18"/>
              </w:rPr>
              <w:t>28</w:t>
            </w:r>
          </w:p>
        </w:tc>
        <w:tc>
          <w:tcPr>
            <w:tcW w:w="2268" w:type="dxa"/>
            <w:shd w:val="clear" w:color="auto" w:fill="auto"/>
            <w:vAlign w:val="bottom"/>
          </w:tcPr>
          <w:p w14:paraId="50FEE7BE" w14:textId="6CC9CC22" w:rsidR="00367E8D" w:rsidRPr="00367E8D" w:rsidRDefault="00367E8D" w:rsidP="00367E8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367E8D">
              <w:rPr>
                <w:rFonts w:asciiTheme="minorHAnsi" w:hAnsiTheme="minorHAnsi" w:cstheme="minorHAnsi"/>
                <w:sz w:val="18"/>
                <w:szCs w:val="18"/>
              </w:rPr>
              <w:t>39.4%</w:t>
            </w:r>
          </w:p>
        </w:tc>
      </w:tr>
      <w:tr w:rsidR="00367E8D" w:rsidRPr="00367E8D" w14:paraId="448FECF7" w14:textId="77777777" w:rsidTr="00367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40247543" w14:textId="77777777" w:rsidR="00367E8D" w:rsidRPr="00367E8D" w:rsidRDefault="00367E8D" w:rsidP="00367E8D">
            <w:pPr>
              <w:pStyle w:val="Level1"/>
              <w:numPr>
                <w:ilvl w:val="0"/>
                <w:numId w:val="0"/>
              </w:numPr>
              <w:spacing w:before="0" w:after="0" w:line="240" w:lineRule="auto"/>
              <w:jc w:val="both"/>
              <w:rPr>
                <w:rFonts w:asciiTheme="minorHAnsi" w:hAnsiTheme="minorHAnsi" w:cstheme="minorHAnsi"/>
                <w:bCs/>
                <w:color w:val="auto"/>
                <w:sz w:val="18"/>
                <w:szCs w:val="18"/>
              </w:rPr>
            </w:pPr>
            <w:r w:rsidRPr="00367E8D">
              <w:rPr>
                <w:rFonts w:asciiTheme="minorHAnsi" w:hAnsiTheme="minorHAnsi" w:cstheme="minorHAnsi"/>
                <w:bCs/>
                <w:color w:val="auto"/>
                <w:sz w:val="18"/>
                <w:szCs w:val="18"/>
              </w:rPr>
              <w:t>Other</w:t>
            </w:r>
          </w:p>
        </w:tc>
        <w:tc>
          <w:tcPr>
            <w:tcW w:w="2501" w:type="dxa"/>
            <w:shd w:val="clear" w:color="auto" w:fill="auto"/>
            <w:vAlign w:val="bottom"/>
          </w:tcPr>
          <w:p w14:paraId="51B37237" w14:textId="14A9147D" w:rsidR="00367E8D" w:rsidRPr="00367E8D" w:rsidRDefault="00367E8D" w:rsidP="00367E8D">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367E8D">
              <w:rPr>
                <w:rFonts w:asciiTheme="minorHAnsi" w:hAnsiTheme="minorHAnsi" w:cstheme="minorHAnsi"/>
                <w:sz w:val="18"/>
                <w:szCs w:val="18"/>
              </w:rPr>
              <w:t>1</w:t>
            </w:r>
          </w:p>
        </w:tc>
        <w:tc>
          <w:tcPr>
            <w:tcW w:w="2268" w:type="dxa"/>
            <w:shd w:val="clear" w:color="auto" w:fill="auto"/>
            <w:vAlign w:val="bottom"/>
          </w:tcPr>
          <w:p w14:paraId="6C3190E1" w14:textId="3583B4AF" w:rsidR="00367E8D" w:rsidRPr="00367E8D" w:rsidRDefault="00367E8D" w:rsidP="00367E8D">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367E8D">
              <w:rPr>
                <w:rFonts w:asciiTheme="minorHAnsi" w:hAnsiTheme="minorHAnsi" w:cstheme="minorHAnsi"/>
                <w:sz w:val="18"/>
                <w:szCs w:val="18"/>
              </w:rPr>
              <w:t>1.4%</w:t>
            </w:r>
          </w:p>
        </w:tc>
      </w:tr>
      <w:tr w:rsidR="00367E8D" w:rsidRPr="00367E8D" w14:paraId="4CDA34D1" w14:textId="77777777" w:rsidTr="00367E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6082A8DA" w14:textId="77777777" w:rsidR="00367E8D" w:rsidRPr="00367E8D" w:rsidRDefault="00367E8D" w:rsidP="00367E8D">
            <w:pPr>
              <w:pStyle w:val="Level1"/>
              <w:numPr>
                <w:ilvl w:val="0"/>
                <w:numId w:val="0"/>
              </w:numPr>
              <w:spacing w:before="0" w:after="0" w:line="240" w:lineRule="auto"/>
              <w:jc w:val="both"/>
              <w:rPr>
                <w:rFonts w:asciiTheme="minorHAnsi" w:hAnsiTheme="minorHAnsi" w:cstheme="minorHAnsi"/>
                <w:bCs/>
                <w:color w:val="auto"/>
                <w:sz w:val="18"/>
                <w:szCs w:val="18"/>
              </w:rPr>
            </w:pPr>
            <w:r w:rsidRPr="00367E8D">
              <w:rPr>
                <w:rFonts w:asciiTheme="minorHAnsi" w:hAnsiTheme="minorHAnsi" w:cstheme="minorHAnsi"/>
                <w:bCs/>
                <w:color w:val="auto"/>
                <w:sz w:val="18"/>
                <w:szCs w:val="18"/>
              </w:rPr>
              <w:t>Vacant</w:t>
            </w:r>
          </w:p>
        </w:tc>
        <w:tc>
          <w:tcPr>
            <w:tcW w:w="2501" w:type="dxa"/>
            <w:shd w:val="clear" w:color="auto" w:fill="auto"/>
            <w:vAlign w:val="bottom"/>
          </w:tcPr>
          <w:p w14:paraId="0F94AD55" w14:textId="18B77D09" w:rsidR="00367E8D" w:rsidRPr="00367E8D" w:rsidRDefault="00367E8D" w:rsidP="00367E8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367E8D">
              <w:rPr>
                <w:rFonts w:asciiTheme="minorHAnsi" w:hAnsiTheme="minorHAnsi" w:cstheme="minorHAnsi"/>
                <w:sz w:val="18"/>
                <w:szCs w:val="18"/>
              </w:rPr>
              <w:t>3</w:t>
            </w:r>
          </w:p>
        </w:tc>
        <w:tc>
          <w:tcPr>
            <w:tcW w:w="2268" w:type="dxa"/>
            <w:shd w:val="clear" w:color="auto" w:fill="auto"/>
            <w:vAlign w:val="bottom"/>
          </w:tcPr>
          <w:p w14:paraId="55CA4C33" w14:textId="5244857B" w:rsidR="00367E8D" w:rsidRPr="00367E8D" w:rsidRDefault="00367E8D" w:rsidP="00367E8D">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367E8D">
              <w:rPr>
                <w:rFonts w:asciiTheme="minorHAnsi" w:hAnsiTheme="minorHAnsi" w:cstheme="minorHAnsi"/>
                <w:sz w:val="18"/>
                <w:szCs w:val="18"/>
              </w:rPr>
              <w:t>4.2%</w:t>
            </w:r>
          </w:p>
        </w:tc>
      </w:tr>
      <w:tr w:rsidR="00367E8D" w:rsidRPr="00367E8D" w14:paraId="0D88A0B3" w14:textId="77777777" w:rsidTr="00367E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6A290C2A" w14:textId="77777777" w:rsidR="00367E8D" w:rsidRPr="00367E8D" w:rsidRDefault="00367E8D" w:rsidP="00367E8D">
            <w:pPr>
              <w:pStyle w:val="Level1"/>
              <w:numPr>
                <w:ilvl w:val="0"/>
                <w:numId w:val="0"/>
              </w:numPr>
              <w:spacing w:before="0" w:after="0" w:line="240" w:lineRule="auto"/>
              <w:jc w:val="both"/>
              <w:rPr>
                <w:rFonts w:asciiTheme="minorHAnsi" w:hAnsiTheme="minorHAnsi" w:cstheme="minorHAnsi"/>
                <w:bCs/>
                <w:color w:val="auto"/>
                <w:sz w:val="18"/>
                <w:szCs w:val="18"/>
              </w:rPr>
            </w:pPr>
            <w:r w:rsidRPr="00367E8D">
              <w:rPr>
                <w:rFonts w:asciiTheme="minorHAnsi" w:hAnsiTheme="minorHAnsi" w:cstheme="minorHAnsi"/>
                <w:bCs/>
                <w:color w:val="auto"/>
                <w:sz w:val="18"/>
                <w:szCs w:val="18"/>
              </w:rPr>
              <w:t>Total</w:t>
            </w:r>
          </w:p>
        </w:tc>
        <w:tc>
          <w:tcPr>
            <w:tcW w:w="2501" w:type="dxa"/>
            <w:shd w:val="clear" w:color="auto" w:fill="auto"/>
            <w:vAlign w:val="bottom"/>
          </w:tcPr>
          <w:p w14:paraId="43C4AA15" w14:textId="29C196E7" w:rsidR="00367E8D" w:rsidRPr="00367E8D" w:rsidRDefault="00367E8D" w:rsidP="00367E8D">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367E8D">
              <w:rPr>
                <w:rFonts w:asciiTheme="minorHAnsi" w:hAnsiTheme="minorHAnsi" w:cstheme="minorHAnsi"/>
                <w:b/>
                <w:bCs/>
                <w:sz w:val="18"/>
                <w:szCs w:val="18"/>
              </w:rPr>
              <w:t>71</w:t>
            </w:r>
          </w:p>
        </w:tc>
        <w:tc>
          <w:tcPr>
            <w:tcW w:w="2268" w:type="dxa"/>
            <w:shd w:val="clear" w:color="auto" w:fill="auto"/>
            <w:vAlign w:val="bottom"/>
          </w:tcPr>
          <w:p w14:paraId="6ABDC703" w14:textId="02C6DFE2" w:rsidR="00367E8D" w:rsidRPr="00367E8D" w:rsidRDefault="00367E8D" w:rsidP="00367E8D">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367E8D">
              <w:rPr>
                <w:rFonts w:asciiTheme="minorHAnsi" w:hAnsiTheme="minorHAnsi" w:cstheme="minorHAnsi"/>
                <w:sz w:val="18"/>
                <w:szCs w:val="18"/>
              </w:rPr>
              <w:t>100.0%</w:t>
            </w:r>
          </w:p>
        </w:tc>
      </w:tr>
    </w:tbl>
    <w:p w14:paraId="4D89A800" w14:textId="77777777" w:rsidR="00F76E33" w:rsidRPr="00B75C59" w:rsidRDefault="00F76E33" w:rsidP="00F76E33">
      <w:pPr>
        <w:pStyle w:val="Level1"/>
        <w:numPr>
          <w:ilvl w:val="0"/>
          <w:numId w:val="0"/>
        </w:numPr>
        <w:ind w:left="720"/>
        <w:jc w:val="both"/>
        <w:rPr>
          <w:sz w:val="16"/>
          <w:szCs w:val="16"/>
        </w:rPr>
      </w:pPr>
      <w:r>
        <w:rPr>
          <w:sz w:val="16"/>
          <w:szCs w:val="16"/>
        </w:rPr>
        <w:t>Source: Torbay Council Retail Monitor 2021</w:t>
      </w:r>
    </w:p>
    <w:p w14:paraId="6B7B473C" w14:textId="461895C4" w:rsidR="00367E8D" w:rsidRPr="001B5252" w:rsidRDefault="006D656B" w:rsidP="00FC7952">
      <w:pPr>
        <w:pStyle w:val="Level1"/>
        <w:jc w:val="both"/>
      </w:pPr>
      <w:r w:rsidRPr="001B5252">
        <w:t xml:space="preserve">Table 4.21 below provides the equivalent data for the district centre taken from the Experian GOAD land use database.  The latest Experian </w:t>
      </w:r>
      <w:r w:rsidR="00367463" w:rsidRPr="001B5252">
        <w:t xml:space="preserve">survey was undertaken in June 2021.  Land use data for St Marychurch district centre was not included in the 2011 and 2013 retail study documents for TC and therefore we have obtained historic data for the centre from Experian’s </w:t>
      </w:r>
      <w:proofErr w:type="gramStart"/>
      <w:r w:rsidR="00367463" w:rsidRPr="001B5252">
        <w:t>database</w:t>
      </w:r>
      <w:proofErr w:type="gramEnd"/>
      <w:r w:rsidR="00367463" w:rsidRPr="001B5252">
        <w:t xml:space="preserve"> and this is shown in Table 4.21 below.</w:t>
      </w:r>
    </w:p>
    <w:p w14:paraId="01D11153" w14:textId="77777777" w:rsidR="00851307" w:rsidRDefault="00851307" w:rsidP="001B5252">
      <w:pPr>
        <w:pStyle w:val="Level1"/>
        <w:numPr>
          <w:ilvl w:val="0"/>
          <w:numId w:val="0"/>
        </w:numPr>
        <w:spacing w:after="120" w:line="240" w:lineRule="auto"/>
        <w:ind w:left="720"/>
        <w:jc w:val="both"/>
        <w:rPr>
          <w:rStyle w:val="Emphasis"/>
          <w:sz w:val="18"/>
          <w:szCs w:val="18"/>
        </w:rPr>
      </w:pPr>
    </w:p>
    <w:p w14:paraId="216BC1D9" w14:textId="77777777" w:rsidR="00851307" w:rsidRDefault="00851307" w:rsidP="001B5252">
      <w:pPr>
        <w:pStyle w:val="Level1"/>
        <w:numPr>
          <w:ilvl w:val="0"/>
          <w:numId w:val="0"/>
        </w:numPr>
        <w:spacing w:after="120" w:line="240" w:lineRule="auto"/>
        <w:ind w:left="720"/>
        <w:jc w:val="both"/>
        <w:rPr>
          <w:rStyle w:val="Emphasis"/>
          <w:sz w:val="18"/>
          <w:szCs w:val="18"/>
        </w:rPr>
      </w:pPr>
    </w:p>
    <w:p w14:paraId="00234D5E" w14:textId="77777777" w:rsidR="00851307" w:rsidRDefault="00851307" w:rsidP="001B5252">
      <w:pPr>
        <w:pStyle w:val="Level1"/>
        <w:numPr>
          <w:ilvl w:val="0"/>
          <w:numId w:val="0"/>
        </w:numPr>
        <w:spacing w:after="120" w:line="240" w:lineRule="auto"/>
        <w:ind w:left="720"/>
        <w:jc w:val="both"/>
        <w:rPr>
          <w:rStyle w:val="Emphasis"/>
          <w:sz w:val="18"/>
          <w:szCs w:val="18"/>
        </w:rPr>
      </w:pPr>
    </w:p>
    <w:p w14:paraId="0D1AFC3B" w14:textId="77777777" w:rsidR="00851307" w:rsidRDefault="00851307" w:rsidP="001B5252">
      <w:pPr>
        <w:pStyle w:val="Level1"/>
        <w:numPr>
          <w:ilvl w:val="0"/>
          <w:numId w:val="0"/>
        </w:numPr>
        <w:spacing w:after="120" w:line="240" w:lineRule="auto"/>
        <w:ind w:left="720"/>
        <w:jc w:val="both"/>
        <w:rPr>
          <w:rStyle w:val="Emphasis"/>
          <w:sz w:val="18"/>
          <w:szCs w:val="18"/>
        </w:rPr>
      </w:pPr>
    </w:p>
    <w:p w14:paraId="611C1EE6" w14:textId="77777777" w:rsidR="00851307" w:rsidRDefault="00851307" w:rsidP="001B5252">
      <w:pPr>
        <w:pStyle w:val="Level1"/>
        <w:numPr>
          <w:ilvl w:val="0"/>
          <w:numId w:val="0"/>
        </w:numPr>
        <w:spacing w:after="120" w:line="240" w:lineRule="auto"/>
        <w:ind w:left="720"/>
        <w:jc w:val="both"/>
        <w:rPr>
          <w:rStyle w:val="Emphasis"/>
          <w:sz w:val="18"/>
          <w:szCs w:val="18"/>
        </w:rPr>
      </w:pPr>
    </w:p>
    <w:p w14:paraId="65C82123" w14:textId="77777777" w:rsidR="00851307" w:rsidRDefault="00851307" w:rsidP="001B5252">
      <w:pPr>
        <w:pStyle w:val="Level1"/>
        <w:numPr>
          <w:ilvl w:val="0"/>
          <w:numId w:val="0"/>
        </w:numPr>
        <w:spacing w:after="120" w:line="240" w:lineRule="auto"/>
        <w:ind w:left="720"/>
        <w:jc w:val="both"/>
        <w:rPr>
          <w:rStyle w:val="Emphasis"/>
          <w:sz w:val="18"/>
          <w:szCs w:val="18"/>
        </w:rPr>
      </w:pPr>
    </w:p>
    <w:p w14:paraId="6AC0AEE0" w14:textId="77777777" w:rsidR="00851307" w:rsidRDefault="00851307" w:rsidP="001B5252">
      <w:pPr>
        <w:pStyle w:val="Level1"/>
        <w:numPr>
          <w:ilvl w:val="0"/>
          <w:numId w:val="0"/>
        </w:numPr>
        <w:spacing w:after="120" w:line="240" w:lineRule="auto"/>
        <w:ind w:left="720"/>
        <w:jc w:val="both"/>
        <w:rPr>
          <w:rStyle w:val="Emphasis"/>
          <w:sz w:val="18"/>
          <w:szCs w:val="18"/>
        </w:rPr>
      </w:pPr>
    </w:p>
    <w:p w14:paraId="45A62938" w14:textId="77777777" w:rsidR="00851307" w:rsidRDefault="00851307" w:rsidP="001B5252">
      <w:pPr>
        <w:pStyle w:val="Level1"/>
        <w:numPr>
          <w:ilvl w:val="0"/>
          <w:numId w:val="0"/>
        </w:numPr>
        <w:spacing w:after="120" w:line="240" w:lineRule="auto"/>
        <w:ind w:left="720"/>
        <w:jc w:val="both"/>
        <w:rPr>
          <w:rStyle w:val="Emphasis"/>
          <w:sz w:val="18"/>
          <w:szCs w:val="18"/>
        </w:rPr>
      </w:pPr>
    </w:p>
    <w:p w14:paraId="092B313C" w14:textId="77777777" w:rsidR="00851307" w:rsidRDefault="00851307" w:rsidP="001B5252">
      <w:pPr>
        <w:pStyle w:val="Level1"/>
        <w:numPr>
          <w:ilvl w:val="0"/>
          <w:numId w:val="0"/>
        </w:numPr>
        <w:spacing w:after="120" w:line="240" w:lineRule="auto"/>
        <w:ind w:left="720"/>
        <w:jc w:val="both"/>
        <w:rPr>
          <w:rStyle w:val="Emphasis"/>
          <w:sz w:val="18"/>
          <w:szCs w:val="18"/>
        </w:rPr>
      </w:pPr>
    </w:p>
    <w:p w14:paraId="6AFD4269" w14:textId="1288121A" w:rsidR="001B5252" w:rsidRPr="00995B93" w:rsidRDefault="001B5252" w:rsidP="001B5252">
      <w:pPr>
        <w:pStyle w:val="Level1"/>
        <w:numPr>
          <w:ilvl w:val="0"/>
          <w:numId w:val="0"/>
        </w:numPr>
        <w:spacing w:after="120" w:line="240" w:lineRule="auto"/>
        <w:ind w:left="720"/>
        <w:jc w:val="both"/>
        <w:rPr>
          <w:rStyle w:val="Emphasis"/>
          <w:sz w:val="18"/>
          <w:szCs w:val="18"/>
        </w:rPr>
      </w:pPr>
      <w:r w:rsidRPr="00995B93">
        <w:rPr>
          <w:rStyle w:val="Emphasis"/>
          <w:sz w:val="18"/>
          <w:szCs w:val="18"/>
        </w:rPr>
        <w:lastRenderedPageBreak/>
        <w:t>Table 4.</w:t>
      </w:r>
      <w:r>
        <w:rPr>
          <w:rStyle w:val="Emphasis"/>
          <w:sz w:val="18"/>
          <w:szCs w:val="18"/>
        </w:rPr>
        <w:t>21</w:t>
      </w:r>
      <w:r w:rsidRPr="00995B93">
        <w:rPr>
          <w:rStyle w:val="Emphasis"/>
          <w:sz w:val="18"/>
          <w:szCs w:val="18"/>
        </w:rPr>
        <w:t xml:space="preserve">: </w:t>
      </w:r>
      <w:r>
        <w:rPr>
          <w:rStyle w:val="Emphasis"/>
          <w:sz w:val="18"/>
          <w:szCs w:val="18"/>
        </w:rPr>
        <w:t>St Marychurch district c</w:t>
      </w:r>
      <w:r w:rsidRPr="00995B93">
        <w:rPr>
          <w:rStyle w:val="Emphasis"/>
          <w:sz w:val="18"/>
          <w:szCs w:val="18"/>
        </w:rPr>
        <w:t xml:space="preserve">entre land use profile – </w:t>
      </w:r>
      <w:r>
        <w:rPr>
          <w:rStyle w:val="Emphasis"/>
          <w:sz w:val="18"/>
          <w:szCs w:val="18"/>
        </w:rPr>
        <w:t>Experian GOAD data</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67"/>
        <w:gridCol w:w="567"/>
        <w:gridCol w:w="567"/>
        <w:gridCol w:w="567"/>
        <w:gridCol w:w="567"/>
        <w:gridCol w:w="708"/>
        <w:gridCol w:w="567"/>
        <w:gridCol w:w="567"/>
        <w:gridCol w:w="709"/>
      </w:tblGrid>
      <w:tr w:rsidR="005E7B6B" w:rsidRPr="0068660F" w14:paraId="0B090D09" w14:textId="77777777" w:rsidTr="005E7B6B">
        <w:trPr>
          <w:cantSplit/>
        </w:trPr>
        <w:tc>
          <w:tcPr>
            <w:tcW w:w="1418" w:type="dxa"/>
            <w:shd w:val="pct12" w:color="auto" w:fill="FFFFFF"/>
          </w:tcPr>
          <w:p w14:paraId="10E9A258" w14:textId="77777777" w:rsidR="005E7B6B" w:rsidRPr="0068660F" w:rsidRDefault="005E7B6B" w:rsidP="003F5A85">
            <w:pPr>
              <w:spacing w:line="360" w:lineRule="auto"/>
              <w:ind w:left="60" w:hanging="60"/>
              <w:rPr>
                <w:rFonts w:ascii="Century Gothic" w:hAnsi="Century Gothic"/>
                <w:b/>
                <w:sz w:val="16"/>
                <w:szCs w:val="16"/>
              </w:rPr>
            </w:pPr>
            <w:r w:rsidRPr="00FE04A8">
              <w:rPr>
                <w:rFonts w:ascii="Century Gothic" w:hAnsi="Century Gothic"/>
                <w:sz w:val="16"/>
                <w:szCs w:val="16"/>
              </w:rPr>
              <w:tab/>
            </w:r>
            <w:r w:rsidRPr="0068660F">
              <w:rPr>
                <w:rFonts w:ascii="Century Gothic" w:hAnsi="Century Gothic"/>
                <w:b/>
                <w:sz w:val="16"/>
                <w:szCs w:val="16"/>
              </w:rPr>
              <w:t>Sector</w:t>
            </w:r>
          </w:p>
        </w:tc>
        <w:tc>
          <w:tcPr>
            <w:tcW w:w="1701" w:type="dxa"/>
            <w:gridSpan w:val="3"/>
            <w:shd w:val="pct12" w:color="auto" w:fill="FFFFFF"/>
          </w:tcPr>
          <w:p w14:paraId="6EEAFCF1" w14:textId="2586DCC1" w:rsidR="005E7B6B" w:rsidRPr="0068660F" w:rsidRDefault="005E7B6B" w:rsidP="003F5A85">
            <w:pPr>
              <w:spacing w:line="360" w:lineRule="auto"/>
              <w:ind w:left="709" w:hanging="709"/>
              <w:jc w:val="center"/>
              <w:rPr>
                <w:rFonts w:ascii="Century Gothic" w:hAnsi="Century Gothic"/>
                <w:b/>
                <w:sz w:val="16"/>
                <w:szCs w:val="16"/>
              </w:rPr>
            </w:pPr>
            <w:r>
              <w:rPr>
                <w:rFonts w:ascii="Century Gothic" w:hAnsi="Century Gothic"/>
                <w:b/>
                <w:sz w:val="16"/>
                <w:szCs w:val="16"/>
              </w:rPr>
              <w:t>May 2008</w:t>
            </w:r>
          </w:p>
        </w:tc>
        <w:tc>
          <w:tcPr>
            <w:tcW w:w="1842" w:type="dxa"/>
            <w:gridSpan w:val="3"/>
            <w:shd w:val="pct12" w:color="auto" w:fill="FFFFFF"/>
          </w:tcPr>
          <w:p w14:paraId="47F6AD59" w14:textId="03400AF5" w:rsidR="005E7B6B" w:rsidRPr="0068660F" w:rsidRDefault="005E7B6B" w:rsidP="003F5A85">
            <w:pPr>
              <w:spacing w:line="360" w:lineRule="auto"/>
              <w:ind w:left="709" w:hanging="709"/>
              <w:jc w:val="center"/>
              <w:rPr>
                <w:rFonts w:ascii="Century Gothic" w:hAnsi="Century Gothic"/>
                <w:b/>
                <w:sz w:val="16"/>
                <w:szCs w:val="16"/>
              </w:rPr>
            </w:pPr>
            <w:r>
              <w:rPr>
                <w:rFonts w:ascii="Century Gothic" w:hAnsi="Century Gothic"/>
                <w:b/>
                <w:sz w:val="16"/>
                <w:szCs w:val="16"/>
              </w:rPr>
              <w:t>July 2012</w:t>
            </w:r>
          </w:p>
        </w:tc>
        <w:tc>
          <w:tcPr>
            <w:tcW w:w="1843" w:type="dxa"/>
            <w:gridSpan w:val="3"/>
            <w:shd w:val="pct12" w:color="auto" w:fill="FFFFFF"/>
          </w:tcPr>
          <w:p w14:paraId="5D651CA7" w14:textId="0119036B" w:rsidR="005E7B6B" w:rsidRPr="0068660F" w:rsidRDefault="005E7B6B" w:rsidP="003F5A85">
            <w:pPr>
              <w:spacing w:line="360" w:lineRule="auto"/>
              <w:ind w:left="709" w:hanging="709"/>
              <w:jc w:val="center"/>
              <w:rPr>
                <w:rFonts w:ascii="Century Gothic" w:hAnsi="Century Gothic"/>
                <w:b/>
                <w:sz w:val="16"/>
                <w:szCs w:val="16"/>
              </w:rPr>
            </w:pPr>
            <w:r>
              <w:rPr>
                <w:rFonts w:ascii="Century Gothic" w:hAnsi="Century Gothic"/>
                <w:b/>
                <w:sz w:val="16"/>
                <w:szCs w:val="16"/>
              </w:rPr>
              <w:t>June</w:t>
            </w:r>
            <w:r w:rsidRPr="0068660F">
              <w:rPr>
                <w:rFonts w:ascii="Century Gothic" w:hAnsi="Century Gothic"/>
                <w:b/>
                <w:sz w:val="16"/>
                <w:szCs w:val="16"/>
              </w:rPr>
              <w:t xml:space="preserve"> 20</w:t>
            </w:r>
            <w:r>
              <w:rPr>
                <w:rFonts w:ascii="Century Gothic" w:hAnsi="Century Gothic"/>
                <w:b/>
                <w:sz w:val="16"/>
                <w:szCs w:val="16"/>
              </w:rPr>
              <w:t>21</w:t>
            </w:r>
          </w:p>
        </w:tc>
      </w:tr>
      <w:tr w:rsidR="005E7B6B" w:rsidRPr="0068660F" w14:paraId="2E786027" w14:textId="77777777" w:rsidTr="005E7B6B">
        <w:tc>
          <w:tcPr>
            <w:tcW w:w="1418" w:type="dxa"/>
            <w:shd w:val="pct12" w:color="auto" w:fill="FFFFFF"/>
          </w:tcPr>
          <w:p w14:paraId="7545C7FD" w14:textId="77777777" w:rsidR="005E7B6B" w:rsidRPr="0068660F" w:rsidRDefault="005E7B6B" w:rsidP="003F5A85">
            <w:pPr>
              <w:spacing w:line="360" w:lineRule="auto"/>
              <w:ind w:left="709" w:hanging="709"/>
              <w:jc w:val="both"/>
              <w:rPr>
                <w:rFonts w:ascii="Century Gothic" w:hAnsi="Century Gothic"/>
                <w:b/>
                <w:sz w:val="16"/>
                <w:szCs w:val="16"/>
              </w:rPr>
            </w:pPr>
          </w:p>
        </w:tc>
        <w:tc>
          <w:tcPr>
            <w:tcW w:w="567" w:type="dxa"/>
            <w:shd w:val="pct12" w:color="auto" w:fill="FFFFFF"/>
          </w:tcPr>
          <w:p w14:paraId="2CFAEC67"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No</w:t>
            </w:r>
          </w:p>
        </w:tc>
        <w:tc>
          <w:tcPr>
            <w:tcW w:w="567" w:type="dxa"/>
            <w:shd w:val="pct12" w:color="auto" w:fill="FFFFFF"/>
          </w:tcPr>
          <w:p w14:paraId="314C04A9"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4C5B87AF"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GB</w:t>
            </w:r>
          </w:p>
          <w:p w14:paraId="6E711891"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Ave</w:t>
            </w:r>
          </w:p>
          <w:p w14:paraId="03C86445"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39BB6CA1"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No</w:t>
            </w:r>
          </w:p>
        </w:tc>
        <w:tc>
          <w:tcPr>
            <w:tcW w:w="567" w:type="dxa"/>
            <w:shd w:val="pct12" w:color="auto" w:fill="FFFFFF"/>
          </w:tcPr>
          <w:p w14:paraId="664333DA"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708" w:type="dxa"/>
            <w:shd w:val="pct12" w:color="auto" w:fill="FFFFFF"/>
          </w:tcPr>
          <w:p w14:paraId="3B292A75"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GB</w:t>
            </w:r>
          </w:p>
          <w:p w14:paraId="354E9270"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Ave</w:t>
            </w:r>
          </w:p>
          <w:p w14:paraId="2254948D"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567" w:type="dxa"/>
            <w:shd w:val="pct12" w:color="auto" w:fill="FFFFFF"/>
          </w:tcPr>
          <w:p w14:paraId="21D3B21A"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No</w:t>
            </w:r>
          </w:p>
        </w:tc>
        <w:tc>
          <w:tcPr>
            <w:tcW w:w="567" w:type="dxa"/>
            <w:shd w:val="pct12" w:color="auto" w:fill="FFFFFF"/>
          </w:tcPr>
          <w:p w14:paraId="516450DB"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c>
          <w:tcPr>
            <w:tcW w:w="709" w:type="dxa"/>
            <w:shd w:val="pct12" w:color="auto" w:fill="FFFFFF"/>
          </w:tcPr>
          <w:p w14:paraId="107ED15B"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GB</w:t>
            </w:r>
          </w:p>
          <w:p w14:paraId="6C3243D5"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Ave</w:t>
            </w:r>
          </w:p>
          <w:p w14:paraId="5F612FEC" w14:textId="77777777" w:rsidR="005E7B6B" w:rsidRPr="0068660F" w:rsidRDefault="005E7B6B" w:rsidP="003F5A85">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w:t>
            </w:r>
          </w:p>
        </w:tc>
      </w:tr>
      <w:tr w:rsidR="005E7B6B" w:rsidRPr="0068660F" w14:paraId="06EF91ED" w14:textId="77777777" w:rsidTr="005E7B6B">
        <w:tc>
          <w:tcPr>
            <w:tcW w:w="1418" w:type="dxa"/>
          </w:tcPr>
          <w:p w14:paraId="5B0D95D4" w14:textId="77777777" w:rsidR="005E7B6B" w:rsidRPr="0068660F" w:rsidRDefault="005E7B6B" w:rsidP="005E7B6B">
            <w:pPr>
              <w:spacing w:line="360" w:lineRule="auto"/>
              <w:ind w:left="709" w:hanging="709"/>
              <w:jc w:val="both"/>
              <w:rPr>
                <w:rFonts w:ascii="Century Gothic" w:hAnsi="Century Gothic"/>
                <w:sz w:val="16"/>
                <w:szCs w:val="16"/>
              </w:rPr>
            </w:pPr>
            <w:r w:rsidRPr="0068660F">
              <w:rPr>
                <w:rFonts w:ascii="Century Gothic" w:hAnsi="Century Gothic"/>
                <w:sz w:val="16"/>
                <w:szCs w:val="16"/>
              </w:rPr>
              <w:t>Convenience</w:t>
            </w:r>
          </w:p>
        </w:tc>
        <w:tc>
          <w:tcPr>
            <w:tcW w:w="567" w:type="dxa"/>
          </w:tcPr>
          <w:p w14:paraId="2F723827" w14:textId="02A9D7E9"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11</w:t>
            </w:r>
          </w:p>
        </w:tc>
        <w:tc>
          <w:tcPr>
            <w:tcW w:w="567" w:type="dxa"/>
          </w:tcPr>
          <w:p w14:paraId="4BE0ED16" w14:textId="6BC4CEFB" w:rsidR="005E7B6B" w:rsidRPr="0068660F" w:rsidRDefault="004313C1" w:rsidP="005E7B6B">
            <w:pPr>
              <w:spacing w:line="360" w:lineRule="auto"/>
              <w:ind w:left="709" w:hanging="709"/>
              <w:jc w:val="center"/>
              <w:rPr>
                <w:rFonts w:ascii="Century Gothic" w:hAnsi="Century Gothic"/>
                <w:sz w:val="16"/>
                <w:szCs w:val="16"/>
              </w:rPr>
            </w:pPr>
            <w:r>
              <w:rPr>
                <w:rFonts w:ascii="Century Gothic" w:hAnsi="Century Gothic"/>
                <w:sz w:val="16"/>
                <w:szCs w:val="16"/>
              </w:rPr>
              <w:t>15.1</w:t>
            </w:r>
          </w:p>
        </w:tc>
        <w:tc>
          <w:tcPr>
            <w:tcW w:w="567" w:type="dxa"/>
          </w:tcPr>
          <w:p w14:paraId="0EF43252" w14:textId="3AA254C8"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9.3</w:t>
            </w:r>
          </w:p>
        </w:tc>
        <w:tc>
          <w:tcPr>
            <w:tcW w:w="567" w:type="dxa"/>
          </w:tcPr>
          <w:p w14:paraId="493B38A6" w14:textId="116D8335"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12</w:t>
            </w:r>
          </w:p>
        </w:tc>
        <w:tc>
          <w:tcPr>
            <w:tcW w:w="567" w:type="dxa"/>
          </w:tcPr>
          <w:p w14:paraId="7FF90F5E" w14:textId="48537948"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16.2</w:t>
            </w:r>
          </w:p>
        </w:tc>
        <w:tc>
          <w:tcPr>
            <w:tcW w:w="708" w:type="dxa"/>
          </w:tcPr>
          <w:p w14:paraId="10CF8BE7" w14:textId="1F82BC97" w:rsidR="005E7B6B" w:rsidRPr="0068660F" w:rsidRDefault="005E7B6B" w:rsidP="005E7B6B">
            <w:pPr>
              <w:spacing w:line="360" w:lineRule="auto"/>
              <w:ind w:left="709" w:hanging="709"/>
              <w:jc w:val="center"/>
              <w:rPr>
                <w:rFonts w:ascii="Century Gothic" w:hAnsi="Century Gothic"/>
                <w:sz w:val="16"/>
                <w:szCs w:val="16"/>
              </w:rPr>
            </w:pPr>
            <w:r w:rsidRPr="0068660F">
              <w:rPr>
                <w:rFonts w:ascii="Century Gothic" w:hAnsi="Century Gothic"/>
                <w:sz w:val="16"/>
                <w:szCs w:val="16"/>
              </w:rPr>
              <w:t>8.7</w:t>
            </w:r>
          </w:p>
        </w:tc>
        <w:tc>
          <w:tcPr>
            <w:tcW w:w="567" w:type="dxa"/>
          </w:tcPr>
          <w:p w14:paraId="0536CF0D" w14:textId="34788A39"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11</w:t>
            </w:r>
          </w:p>
        </w:tc>
        <w:tc>
          <w:tcPr>
            <w:tcW w:w="567" w:type="dxa"/>
          </w:tcPr>
          <w:p w14:paraId="22B1C6B1" w14:textId="65C3D69A"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14.1</w:t>
            </w:r>
          </w:p>
        </w:tc>
        <w:tc>
          <w:tcPr>
            <w:tcW w:w="709" w:type="dxa"/>
          </w:tcPr>
          <w:p w14:paraId="19204B25" w14:textId="77777777"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10.2</w:t>
            </w:r>
          </w:p>
        </w:tc>
      </w:tr>
      <w:tr w:rsidR="005E7B6B" w:rsidRPr="0068660F" w14:paraId="55CDE2B9" w14:textId="77777777" w:rsidTr="005E7B6B">
        <w:tc>
          <w:tcPr>
            <w:tcW w:w="1418" w:type="dxa"/>
          </w:tcPr>
          <w:p w14:paraId="2FBDEF84" w14:textId="77777777" w:rsidR="005E7B6B" w:rsidRPr="0068660F" w:rsidRDefault="005E7B6B" w:rsidP="005E7B6B">
            <w:pPr>
              <w:spacing w:line="360" w:lineRule="auto"/>
              <w:ind w:left="709" w:hanging="709"/>
              <w:jc w:val="both"/>
              <w:rPr>
                <w:rFonts w:ascii="Century Gothic" w:hAnsi="Century Gothic"/>
                <w:sz w:val="16"/>
                <w:szCs w:val="16"/>
              </w:rPr>
            </w:pPr>
            <w:r w:rsidRPr="0068660F">
              <w:rPr>
                <w:rFonts w:ascii="Century Gothic" w:hAnsi="Century Gothic"/>
                <w:sz w:val="16"/>
                <w:szCs w:val="16"/>
              </w:rPr>
              <w:t>Comparison</w:t>
            </w:r>
          </w:p>
        </w:tc>
        <w:tc>
          <w:tcPr>
            <w:tcW w:w="567" w:type="dxa"/>
          </w:tcPr>
          <w:p w14:paraId="6CEDE395" w14:textId="7187A4B1"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29</w:t>
            </w:r>
          </w:p>
        </w:tc>
        <w:tc>
          <w:tcPr>
            <w:tcW w:w="567" w:type="dxa"/>
          </w:tcPr>
          <w:p w14:paraId="7D40AD6E" w14:textId="15769E43" w:rsidR="005E7B6B" w:rsidRPr="0068660F" w:rsidRDefault="004313C1" w:rsidP="005E7B6B">
            <w:pPr>
              <w:spacing w:line="360" w:lineRule="auto"/>
              <w:ind w:left="709" w:hanging="709"/>
              <w:jc w:val="center"/>
              <w:rPr>
                <w:rFonts w:ascii="Century Gothic" w:hAnsi="Century Gothic"/>
                <w:sz w:val="16"/>
                <w:szCs w:val="16"/>
              </w:rPr>
            </w:pPr>
            <w:r>
              <w:rPr>
                <w:rFonts w:ascii="Century Gothic" w:hAnsi="Century Gothic"/>
                <w:sz w:val="16"/>
                <w:szCs w:val="16"/>
              </w:rPr>
              <w:t>39.7</w:t>
            </w:r>
          </w:p>
        </w:tc>
        <w:tc>
          <w:tcPr>
            <w:tcW w:w="567" w:type="dxa"/>
          </w:tcPr>
          <w:p w14:paraId="354A6127" w14:textId="009B3EBF"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41.8</w:t>
            </w:r>
          </w:p>
        </w:tc>
        <w:tc>
          <w:tcPr>
            <w:tcW w:w="567" w:type="dxa"/>
          </w:tcPr>
          <w:p w14:paraId="017DE951" w14:textId="4A53E858"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28</w:t>
            </w:r>
          </w:p>
        </w:tc>
        <w:tc>
          <w:tcPr>
            <w:tcW w:w="567" w:type="dxa"/>
          </w:tcPr>
          <w:p w14:paraId="566C7B3A" w14:textId="7EEE226E"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37.8</w:t>
            </w:r>
          </w:p>
        </w:tc>
        <w:tc>
          <w:tcPr>
            <w:tcW w:w="708" w:type="dxa"/>
          </w:tcPr>
          <w:p w14:paraId="1AC03FC2" w14:textId="7589B010" w:rsidR="005E7B6B" w:rsidRPr="0068660F" w:rsidRDefault="005E7B6B" w:rsidP="005E7B6B">
            <w:pPr>
              <w:spacing w:line="360" w:lineRule="auto"/>
              <w:ind w:left="709" w:hanging="709"/>
              <w:jc w:val="center"/>
              <w:rPr>
                <w:rFonts w:ascii="Century Gothic" w:hAnsi="Century Gothic"/>
                <w:sz w:val="16"/>
                <w:szCs w:val="16"/>
              </w:rPr>
            </w:pPr>
            <w:r w:rsidRPr="0068660F">
              <w:rPr>
                <w:rFonts w:ascii="Century Gothic" w:hAnsi="Century Gothic"/>
                <w:sz w:val="16"/>
                <w:szCs w:val="16"/>
              </w:rPr>
              <w:t>41.2</w:t>
            </w:r>
          </w:p>
        </w:tc>
        <w:tc>
          <w:tcPr>
            <w:tcW w:w="567" w:type="dxa"/>
          </w:tcPr>
          <w:p w14:paraId="5C5AB2B1" w14:textId="42517C8B"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26</w:t>
            </w:r>
          </w:p>
        </w:tc>
        <w:tc>
          <w:tcPr>
            <w:tcW w:w="567" w:type="dxa"/>
          </w:tcPr>
          <w:p w14:paraId="1E861981" w14:textId="362B21E2"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33.3</w:t>
            </w:r>
          </w:p>
        </w:tc>
        <w:tc>
          <w:tcPr>
            <w:tcW w:w="709" w:type="dxa"/>
          </w:tcPr>
          <w:p w14:paraId="198D1E3E" w14:textId="77777777"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34.1</w:t>
            </w:r>
          </w:p>
        </w:tc>
      </w:tr>
      <w:tr w:rsidR="005E7B6B" w:rsidRPr="0068660F" w14:paraId="2871872E" w14:textId="77777777" w:rsidTr="005E7B6B">
        <w:tc>
          <w:tcPr>
            <w:tcW w:w="1418" w:type="dxa"/>
          </w:tcPr>
          <w:p w14:paraId="567FC7DF" w14:textId="77777777" w:rsidR="005E7B6B" w:rsidRPr="0068660F" w:rsidRDefault="005E7B6B" w:rsidP="005E7B6B">
            <w:pPr>
              <w:spacing w:line="360" w:lineRule="auto"/>
              <w:ind w:left="709" w:hanging="709"/>
              <w:jc w:val="both"/>
              <w:rPr>
                <w:rFonts w:ascii="Century Gothic" w:hAnsi="Century Gothic"/>
                <w:sz w:val="16"/>
                <w:szCs w:val="16"/>
              </w:rPr>
            </w:pPr>
            <w:r w:rsidRPr="0068660F">
              <w:rPr>
                <w:rFonts w:ascii="Century Gothic" w:hAnsi="Century Gothic"/>
                <w:sz w:val="16"/>
                <w:szCs w:val="16"/>
              </w:rPr>
              <w:t>Service</w:t>
            </w:r>
          </w:p>
        </w:tc>
        <w:tc>
          <w:tcPr>
            <w:tcW w:w="567" w:type="dxa"/>
          </w:tcPr>
          <w:p w14:paraId="29A07778" w14:textId="777E14DB"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30</w:t>
            </w:r>
          </w:p>
        </w:tc>
        <w:tc>
          <w:tcPr>
            <w:tcW w:w="567" w:type="dxa"/>
          </w:tcPr>
          <w:p w14:paraId="0C13F384" w14:textId="41C50FF5" w:rsidR="005E7B6B" w:rsidRPr="0068660F" w:rsidRDefault="004313C1" w:rsidP="005E7B6B">
            <w:pPr>
              <w:spacing w:line="360" w:lineRule="auto"/>
              <w:ind w:left="709" w:hanging="709"/>
              <w:jc w:val="center"/>
              <w:rPr>
                <w:rFonts w:ascii="Century Gothic" w:hAnsi="Century Gothic"/>
                <w:sz w:val="16"/>
                <w:szCs w:val="16"/>
              </w:rPr>
            </w:pPr>
            <w:r>
              <w:rPr>
                <w:rFonts w:ascii="Century Gothic" w:hAnsi="Century Gothic"/>
                <w:sz w:val="16"/>
                <w:szCs w:val="16"/>
              </w:rPr>
              <w:t>41.1</w:t>
            </w:r>
          </w:p>
        </w:tc>
        <w:tc>
          <w:tcPr>
            <w:tcW w:w="567" w:type="dxa"/>
          </w:tcPr>
          <w:p w14:paraId="7471B5EA" w14:textId="5EC2E0CE"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34.7</w:t>
            </w:r>
          </w:p>
        </w:tc>
        <w:tc>
          <w:tcPr>
            <w:tcW w:w="567" w:type="dxa"/>
          </w:tcPr>
          <w:p w14:paraId="495CBD3B" w14:textId="3645CDB3"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29</w:t>
            </w:r>
          </w:p>
        </w:tc>
        <w:tc>
          <w:tcPr>
            <w:tcW w:w="567" w:type="dxa"/>
          </w:tcPr>
          <w:p w14:paraId="05D45794" w14:textId="5429366B"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39.2</w:t>
            </w:r>
          </w:p>
        </w:tc>
        <w:tc>
          <w:tcPr>
            <w:tcW w:w="708" w:type="dxa"/>
          </w:tcPr>
          <w:p w14:paraId="3E3085C2" w14:textId="3E345365" w:rsidR="005E7B6B" w:rsidRPr="0068660F" w:rsidRDefault="005E7B6B" w:rsidP="005E7B6B">
            <w:pPr>
              <w:spacing w:line="360" w:lineRule="auto"/>
              <w:ind w:left="709" w:hanging="709"/>
              <w:jc w:val="center"/>
              <w:rPr>
                <w:rFonts w:ascii="Century Gothic" w:hAnsi="Century Gothic"/>
                <w:sz w:val="16"/>
                <w:szCs w:val="16"/>
              </w:rPr>
            </w:pPr>
            <w:r w:rsidRPr="0068660F">
              <w:rPr>
                <w:rFonts w:ascii="Century Gothic" w:hAnsi="Century Gothic"/>
                <w:sz w:val="16"/>
                <w:szCs w:val="16"/>
              </w:rPr>
              <w:t>36.3</w:t>
            </w:r>
          </w:p>
        </w:tc>
        <w:tc>
          <w:tcPr>
            <w:tcW w:w="567" w:type="dxa"/>
          </w:tcPr>
          <w:p w14:paraId="668837C5" w14:textId="3611D702"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33</w:t>
            </w:r>
          </w:p>
        </w:tc>
        <w:tc>
          <w:tcPr>
            <w:tcW w:w="567" w:type="dxa"/>
          </w:tcPr>
          <w:p w14:paraId="12D067AC" w14:textId="6DC5ABE1"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42.3</w:t>
            </w:r>
          </w:p>
        </w:tc>
        <w:tc>
          <w:tcPr>
            <w:tcW w:w="709" w:type="dxa"/>
          </w:tcPr>
          <w:p w14:paraId="6025E290" w14:textId="77777777"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39.4</w:t>
            </w:r>
          </w:p>
        </w:tc>
      </w:tr>
      <w:tr w:rsidR="005E7B6B" w:rsidRPr="0068660F" w14:paraId="15380C40" w14:textId="77777777" w:rsidTr="005E7B6B">
        <w:tc>
          <w:tcPr>
            <w:tcW w:w="1418" w:type="dxa"/>
            <w:tcBorders>
              <w:bottom w:val="single" w:sz="4" w:space="0" w:color="auto"/>
            </w:tcBorders>
          </w:tcPr>
          <w:p w14:paraId="265BB386" w14:textId="77777777" w:rsidR="005E7B6B" w:rsidRPr="0068660F" w:rsidRDefault="005E7B6B" w:rsidP="005E7B6B">
            <w:pPr>
              <w:spacing w:line="360" w:lineRule="auto"/>
              <w:ind w:left="709" w:hanging="709"/>
              <w:jc w:val="both"/>
              <w:rPr>
                <w:rFonts w:ascii="Century Gothic" w:hAnsi="Century Gothic"/>
                <w:sz w:val="16"/>
                <w:szCs w:val="16"/>
              </w:rPr>
            </w:pPr>
            <w:r w:rsidRPr="0068660F">
              <w:rPr>
                <w:rFonts w:ascii="Century Gothic" w:hAnsi="Century Gothic"/>
                <w:sz w:val="16"/>
                <w:szCs w:val="16"/>
              </w:rPr>
              <w:t>Other</w:t>
            </w:r>
          </w:p>
        </w:tc>
        <w:tc>
          <w:tcPr>
            <w:tcW w:w="567" w:type="dxa"/>
          </w:tcPr>
          <w:p w14:paraId="72C43F53" w14:textId="3AF3032E"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w:t>
            </w:r>
          </w:p>
        </w:tc>
        <w:tc>
          <w:tcPr>
            <w:tcW w:w="567" w:type="dxa"/>
          </w:tcPr>
          <w:p w14:paraId="6DBE420B" w14:textId="4DCA3732" w:rsidR="005E7B6B" w:rsidRPr="0068660F" w:rsidRDefault="004313C1" w:rsidP="005E7B6B">
            <w:pPr>
              <w:spacing w:line="360" w:lineRule="auto"/>
              <w:ind w:left="709" w:hanging="709"/>
              <w:jc w:val="center"/>
              <w:rPr>
                <w:rFonts w:ascii="Century Gothic" w:hAnsi="Century Gothic"/>
                <w:sz w:val="16"/>
                <w:szCs w:val="16"/>
              </w:rPr>
            </w:pPr>
            <w:r>
              <w:rPr>
                <w:rFonts w:ascii="Century Gothic" w:hAnsi="Century Gothic"/>
                <w:sz w:val="16"/>
                <w:szCs w:val="16"/>
              </w:rPr>
              <w:t>1.4</w:t>
            </w:r>
          </w:p>
        </w:tc>
        <w:tc>
          <w:tcPr>
            <w:tcW w:w="567" w:type="dxa"/>
          </w:tcPr>
          <w:p w14:paraId="36F8999B" w14:textId="75371A3F"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1.2</w:t>
            </w:r>
          </w:p>
        </w:tc>
        <w:tc>
          <w:tcPr>
            <w:tcW w:w="567" w:type="dxa"/>
          </w:tcPr>
          <w:p w14:paraId="7A29A1A7" w14:textId="2EF12BB6"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w:t>
            </w:r>
          </w:p>
        </w:tc>
        <w:tc>
          <w:tcPr>
            <w:tcW w:w="567" w:type="dxa"/>
          </w:tcPr>
          <w:p w14:paraId="2A2B7569" w14:textId="12AFE26A"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1.4</w:t>
            </w:r>
          </w:p>
        </w:tc>
        <w:tc>
          <w:tcPr>
            <w:tcW w:w="708" w:type="dxa"/>
          </w:tcPr>
          <w:p w14:paraId="60440CCB" w14:textId="78700DA6" w:rsidR="005E7B6B" w:rsidRPr="0068660F" w:rsidRDefault="005E7B6B" w:rsidP="005E7B6B">
            <w:pPr>
              <w:spacing w:line="360" w:lineRule="auto"/>
              <w:ind w:left="709" w:hanging="709"/>
              <w:jc w:val="center"/>
              <w:rPr>
                <w:rFonts w:ascii="Century Gothic" w:hAnsi="Century Gothic"/>
                <w:sz w:val="16"/>
                <w:szCs w:val="16"/>
              </w:rPr>
            </w:pPr>
            <w:r w:rsidRPr="0068660F">
              <w:rPr>
                <w:rFonts w:ascii="Century Gothic" w:hAnsi="Century Gothic"/>
                <w:sz w:val="16"/>
                <w:szCs w:val="16"/>
              </w:rPr>
              <w:t>1.2</w:t>
            </w:r>
          </w:p>
        </w:tc>
        <w:tc>
          <w:tcPr>
            <w:tcW w:w="567" w:type="dxa"/>
            <w:tcBorders>
              <w:bottom w:val="single" w:sz="4" w:space="0" w:color="auto"/>
            </w:tcBorders>
          </w:tcPr>
          <w:p w14:paraId="2DABA4CF" w14:textId="69FF9838"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w:t>
            </w:r>
          </w:p>
        </w:tc>
        <w:tc>
          <w:tcPr>
            <w:tcW w:w="567" w:type="dxa"/>
            <w:tcBorders>
              <w:bottom w:val="single" w:sz="4" w:space="0" w:color="auto"/>
            </w:tcBorders>
          </w:tcPr>
          <w:p w14:paraId="2CDE639B" w14:textId="2AF9C295"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1.3</w:t>
            </w:r>
          </w:p>
        </w:tc>
        <w:tc>
          <w:tcPr>
            <w:tcW w:w="709" w:type="dxa"/>
            <w:tcBorders>
              <w:bottom w:val="single" w:sz="4" w:space="0" w:color="auto"/>
            </w:tcBorders>
          </w:tcPr>
          <w:p w14:paraId="6A9FF2F2" w14:textId="77777777"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1.0</w:t>
            </w:r>
          </w:p>
        </w:tc>
      </w:tr>
      <w:tr w:rsidR="005E7B6B" w:rsidRPr="0068660F" w14:paraId="39E7821F" w14:textId="77777777" w:rsidTr="005E7B6B">
        <w:tc>
          <w:tcPr>
            <w:tcW w:w="1418" w:type="dxa"/>
            <w:tcBorders>
              <w:top w:val="single" w:sz="4" w:space="0" w:color="auto"/>
              <w:left w:val="single" w:sz="4" w:space="0" w:color="auto"/>
              <w:bottom w:val="single" w:sz="4" w:space="0" w:color="auto"/>
              <w:right w:val="single" w:sz="4" w:space="0" w:color="auto"/>
            </w:tcBorders>
          </w:tcPr>
          <w:p w14:paraId="223AC107" w14:textId="77777777" w:rsidR="005E7B6B" w:rsidRPr="0068660F" w:rsidRDefault="005E7B6B" w:rsidP="005E7B6B">
            <w:pPr>
              <w:spacing w:line="360" w:lineRule="auto"/>
              <w:ind w:left="709" w:hanging="709"/>
              <w:jc w:val="both"/>
              <w:rPr>
                <w:rFonts w:ascii="Century Gothic" w:hAnsi="Century Gothic"/>
                <w:sz w:val="16"/>
                <w:szCs w:val="16"/>
              </w:rPr>
            </w:pPr>
            <w:r w:rsidRPr="0068660F">
              <w:rPr>
                <w:rFonts w:ascii="Century Gothic" w:hAnsi="Century Gothic"/>
                <w:sz w:val="16"/>
                <w:szCs w:val="16"/>
              </w:rPr>
              <w:t>Vacant</w:t>
            </w:r>
          </w:p>
        </w:tc>
        <w:tc>
          <w:tcPr>
            <w:tcW w:w="567" w:type="dxa"/>
          </w:tcPr>
          <w:p w14:paraId="66128D11" w14:textId="17CDCBAA"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2</w:t>
            </w:r>
          </w:p>
        </w:tc>
        <w:tc>
          <w:tcPr>
            <w:tcW w:w="567" w:type="dxa"/>
          </w:tcPr>
          <w:p w14:paraId="70BAA382" w14:textId="2BBAB0F0" w:rsidR="005E7B6B" w:rsidRPr="0068660F" w:rsidRDefault="004313C1" w:rsidP="005E7B6B">
            <w:pPr>
              <w:spacing w:line="360" w:lineRule="auto"/>
              <w:ind w:left="709" w:hanging="709"/>
              <w:jc w:val="center"/>
              <w:rPr>
                <w:rFonts w:ascii="Century Gothic" w:hAnsi="Century Gothic"/>
                <w:sz w:val="16"/>
                <w:szCs w:val="16"/>
              </w:rPr>
            </w:pPr>
            <w:r>
              <w:rPr>
                <w:rFonts w:ascii="Century Gothic" w:hAnsi="Century Gothic"/>
                <w:sz w:val="16"/>
                <w:szCs w:val="16"/>
              </w:rPr>
              <w:t>2.7</w:t>
            </w:r>
          </w:p>
        </w:tc>
        <w:tc>
          <w:tcPr>
            <w:tcW w:w="567" w:type="dxa"/>
          </w:tcPr>
          <w:p w14:paraId="431FA65E" w14:textId="5DF6DF44"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13.0</w:t>
            </w:r>
          </w:p>
        </w:tc>
        <w:tc>
          <w:tcPr>
            <w:tcW w:w="567" w:type="dxa"/>
          </w:tcPr>
          <w:p w14:paraId="303E2C9B" w14:textId="7526BD3B"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4</w:t>
            </w:r>
          </w:p>
        </w:tc>
        <w:tc>
          <w:tcPr>
            <w:tcW w:w="567" w:type="dxa"/>
          </w:tcPr>
          <w:p w14:paraId="5C420296" w14:textId="0CFFDBD2"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5.4</w:t>
            </w:r>
          </w:p>
        </w:tc>
        <w:tc>
          <w:tcPr>
            <w:tcW w:w="708" w:type="dxa"/>
          </w:tcPr>
          <w:p w14:paraId="6B6A0AE2" w14:textId="7DC88FD6" w:rsidR="005E7B6B" w:rsidRPr="0068660F" w:rsidRDefault="005E7B6B" w:rsidP="005E7B6B">
            <w:pPr>
              <w:spacing w:line="360" w:lineRule="auto"/>
              <w:ind w:left="709" w:hanging="709"/>
              <w:jc w:val="center"/>
              <w:rPr>
                <w:rFonts w:ascii="Century Gothic" w:hAnsi="Century Gothic"/>
                <w:sz w:val="16"/>
                <w:szCs w:val="16"/>
              </w:rPr>
            </w:pPr>
            <w:r w:rsidRPr="0068660F">
              <w:rPr>
                <w:rFonts w:ascii="Century Gothic" w:hAnsi="Century Gothic"/>
                <w:sz w:val="16"/>
                <w:szCs w:val="16"/>
              </w:rPr>
              <w:t>12.6</w:t>
            </w:r>
          </w:p>
        </w:tc>
        <w:tc>
          <w:tcPr>
            <w:tcW w:w="567" w:type="dxa"/>
            <w:tcBorders>
              <w:top w:val="single" w:sz="4" w:space="0" w:color="auto"/>
              <w:left w:val="single" w:sz="4" w:space="0" w:color="auto"/>
              <w:bottom w:val="single" w:sz="4" w:space="0" w:color="auto"/>
              <w:right w:val="single" w:sz="4" w:space="0" w:color="auto"/>
            </w:tcBorders>
          </w:tcPr>
          <w:p w14:paraId="5E306A80" w14:textId="657238F2"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7</w:t>
            </w:r>
          </w:p>
        </w:tc>
        <w:tc>
          <w:tcPr>
            <w:tcW w:w="567" w:type="dxa"/>
            <w:tcBorders>
              <w:top w:val="single" w:sz="4" w:space="0" w:color="auto"/>
              <w:left w:val="single" w:sz="4" w:space="0" w:color="auto"/>
              <w:bottom w:val="single" w:sz="4" w:space="0" w:color="auto"/>
              <w:right w:val="single" w:sz="4" w:space="0" w:color="auto"/>
            </w:tcBorders>
          </w:tcPr>
          <w:p w14:paraId="027287A5" w14:textId="34397703"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9.0</w:t>
            </w:r>
          </w:p>
        </w:tc>
        <w:tc>
          <w:tcPr>
            <w:tcW w:w="709" w:type="dxa"/>
            <w:tcBorders>
              <w:top w:val="single" w:sz="4" w:space="0" w:color="auto"/>
              <w:left w:val="single" w:sz="4" w:space="0" w:color="auto"/>
              <w:bottom w:val="single" w:sz="4" w:space="0" w:color="auto"/>
              <w:right w:val="single" w:sz="4" w:space="0" w:color="auto"/>
            </w:tcBorders>
          </w:tcPr>
          <w:p w14:paraId="7ECA81EE" w14:textId="77777777" w:rsidR="005E7B6B" w:rsidRPr="0068660F" w:rsidRDefault="005E7B6B" w:rsidP="005E7B6B">
            <w:pPr>
              <w:spacing w:line="360" w:lineRule="auto"/>
              <w:ind w:left="709" w:hanging="709"/>
              <w:jc w:val="center"/>
              <w:rPr>
                <w:rFonts w:ascii="Century Gothic" w:hAnsi="Century Gothic"/>
                <w:sz w:val="16"/>
                <w:szCs w:val="16"/>
              </w:rPr>
            </w:pPr>
            <w:r>
              <w:rPr>
                <w:rFonts w:ascii="Century Gothic" w:hAnsi="Century Gothic"/>
                <w:sz w:val="16"/>
                <w:szCs w:val="16"/>
              </w:rPr>
              <w:t>15.2</w:t>
            </w:r>
          </w:p>
        </w:tc>
      </w:tr>
      <w:tr w:rsidR="005E7B6B" w:rsidRPr="0068660F" w14:paraId="77BD7187" w14:textId="77777777" w:rsidTr="005E7B6B">
        <w:tc>
          <w:tcPr>
            <w:tcW w:w="1418" w:type="dxa"/>
            <w:tcBorders>
              <w:top w:val="single" w:sz="4" w:space="0" w:color="auto"/>
              <w:left w:val="single" w:sz="4" w:space="0" w:color="auto"/>
              <w:bottom w:val="single" w:sz="4" w:space="0" w:color="auto"/>
              <w:right w:val="single" w:sz="4" w:space="0" w:color="auto"/>
            </w:tcBorders>
          </w:tcPr>
          <w:p w14:paraId="0177B702" w14:textId="77777777" w:rsidR="005E7B6B" w:rsidRPr="0068660F" w:rsidRDefault="005E7B6B" w:rsidP="005E7B6B">
            <w:pPr>
              <w:spacing w:line="360" w:lineRule="auto"/>
              <w:ind w:left="709" w:hanging="709"/>
              <w:jc w:val="both"/>
              <w:rPr>
                <w:rFonts w:ascii="Century Gothic" w:hAnsi="Century Gothic"/>
                <w:b/>
                <w:sz w:val="16"/>
                <w:szCs w:val="16"/>
              </w:rPr>
            </w:pPr>
            <w:r w:rsidRPr="0068660F">
              <w:rPr>
                <w:rFonts w:ascii="Century Gothic" w:hAnsi="Century Gothic"/>
                <w:b/>
                <w:sz w:val="16"/>
                <w:szCs w:val="16"/>
              </w:rPr>
              <w:t>Total</w:t>
            </w:r>
          </w:p>
        </w:tc>
        <w:tc>
          <w:tcPr>
            <w:tcW w:w="567" w:type="dxa"/>
          </w:tcPr>
          <w:p w14:paraId="66EC20E1" w14:textId="35FEB804" w:rsidR="005E7B6B" w:rsidRPr="0068660F" w:rsidRDefault="005E7B6B" w:rsidP="005E7B6B">
            <w:pPr>
              <w:spacing w:line="360" w:lineRule="auto"/>
              <w:ind w:left="709" w:hanging="709"/>
              <w:jc w:val="center"/>
              <w:rPr>
                <w:rFonts w:ascii="Century Gothic" w:hAnsi="Century Gothic"/>
                <w:b/>
                <w:sz w:val="16"/>
                <w:szCs w:val="16"/>
              </w:rPr>
            </w:pPr>
            <w:r>
              <w:rPr>
                <w:rFonts w:ascii="Century Gothic" w:hAnsi="Century Gothic"/>
                <w:b/>
                <w:sz w:val="16"/>
                <w:szCs w:val="16"/>
              </w:rPr>
              <w:t>73</w:t>
            </w:r>
          </w:p>
        </w:tc>
        <w:tc>
          <w:tcPr>
            <w:tcW w:w="567" w:type="dxa"/>
          </w:tcPr>
          <w:p w14:paraId="0BB641D7" w14:textId="2DD9B4E4" w:rsidR="005E7B6B" w:rsidRPr="0068660F" w:rsidRDefault="005E7B6B" w:rsidP="005E7B6B">
            <w:pPr>
              <w:spacing w:line="360" w:lineRule="auto"/>
              <w:ind w:left="709" w:hanging="709"/>
              <w:jc w:val="center"/>
              <w:rPr>
                <w:rFonts w:ascii="Century Gothic" w:hAnsi="Century Gothic"/>
                <w:b/>
                <w:sz w:val="16"/>
                <w:szCs w:val="16"/>
              </w:rPr>
            </w:pPr>
            <w:r>
              <w:rPr>
                <w:rFonts w:ascii="Century Gothic" w:hAnsi="Century Gothic"/>
                <w:b/>
                <w:sz w:val="16"/>
                <w:szCs w:val="16"/>
              </w:rPr>
              <w:t>100</w:t>
            </w:r>
          </w:p>
        </w:tc>
        <w:tc>
          <w:tcPr>
            <w:tcW w:w="567" w:type="dxa"/>
          </w:tcPr>
          <w:p w14:paraId="6A08905F" w14:textId="62E0219F" w:rsidR="005E7B6B" w:rsidRPr="0068660F" w:rsidRDefault="005E7B6B" w:rsidP="005E7B6B">
            <w:pPr>
              <w:spacing w:line="360" w:lineRule="auto"/>
              <w:ind w:left="709" w:hanging="709"/>
              <w:jc w:val="center"/>
              <w:rPr>
                <w:rFonts w:ascii="Century Gothic" w:hAnsi="Century Gothic"/>
                <w:b/>
                <w:sz w:val="16"/>
                <w:szCs w:val="16"/>
              </w:rPr>
            </w:pPr>
            <w:r>
              <w:rPr>
                <w:rFonts w:ascii="Century Gothic" w:hAnsi="Century Gothic"/>
                <w:b/>
                <w:sz w:val="16"/>
                <w:szCs w:val="16"/>
              </w:rPr>
              <w:t>100</w:t>
            </w:r>
          </w:p>
        </w:tc>
        <w:tc>
          <w:tcPr>
            <w:tcW w:w="567" w:type="dxa"/>
          </w:tcPr>
          <w:p w14:paraId="65978059" w14:textId="45B2D8D4" w:rsidR="005E7B6B" w:rsidRPr="0068660F" w:rsidRDefault="005E7B6B" w:rsidP="005E7B6B">
            <w:pPr>
              <w:spacing w:line="360" w:lineRule="auto"/>
              <w:ind w:left="709" w:hanging="709"/>
              <w:jc w:val="center"/>
              <w:rPr>
                <w:rFonts w:ascii="Century Gothic" w:hAnsi="Century Gothic"/>
                <w:b/>
                <w:sz w:val="16"/>
                <w:szCs w:val="16"/>
              </w:rPr>
            </w:pPr>
            <w:r>
              <w:rPr>
                <w:rFonts w:ascii="Century Gothic" w:hAnsi="Century Gothic"/>
                <w:b/>
                <w:sz w:val="16"/>
                <w:szCs w:val="16"/>
              </w:rPr>
              <w:t>74</w:t>
            </w:r>
          </w:p>
        </w:tc>
        <w:tc>
          <w:tcPr>
            <w:tcW w:w="567" w:type="dxa"/>
          </w:tcPr>
          <w:p w14:paraId="0023CF7F" w14:textId="4818F740" w:rsidR="005E7B6B" w:rsidRPr="0068660F" w:rsidRDefault="005E7B6B" w:rsidP="005E7B6B">
            <w:pPr>
              <w:spacing w:line="360" w:lineRule="auto"/>
              <w:ind w:left="709" w:hanging="709"/>
              <w:jc w:val="center"/>
              <w:rPr>
                <w:rFonts w:ascii="Century Gothic" w:hAnsi="Century Gothic"/>
                <w:b/>
                <w:sz w:val="16"/>
                <w:szCs w:val="16"/>
              </w:rPr>
            </w:pPr>
            <w:r>
              <w:rPr>
                <w:rFonts w:ascii="Century Gothic" w:hAnsi="Century Gothic"/>
                <w:b/>
                <w:sz w:val="16"/>
                <w:szCs w:val="16"/>
              </w:rPr>
              <w:t>100</w:t>
            </w:r>
          </w:p>
        </w:tc>
        <w:tc>
          <w:tcPr>
            <w:tcW w:w="708" w:type="dxa"/>
          </w:tcPr>
          <w:p w14:paraId="78DBE398" w14:textId="124312BC" w:rsidR="005E7B6B" w:rsidRPr="0068660F" w:rsidRDefault="005E7B6B" w:rsidP="005E7B6B">
            <w:pPr>
              <w:spacing w:line="360" w:lineRule="auto"/>
              <w:ind w:left="709" w:hanging="709"/>
              <w:jc w:val="center"/>
              <w:rPr>
                <w:rFonts w:ascii="Century Gothic" w:hAnsi="Century Gothic"/>
                <w:b/>
                <w:sz w:val="16"/>
                <w:szCs w:val="16"/>
              </w:rPr>
            </w:pPr>
            <w:r w:rsidRPr="0068660F">
              <w:rPr>
                <w:rFonts w:ascii="Century Gothic" w:hAnsi="Century Gothic"/>
                <w:b/>
                <w:sz w:val="16"/>
                <w:szCs w:val="16"/>
              </w:rPr>
              <w:t>100</w:t>
            </w:r>
          </w:p>
        </w:tc>
        <w:tc>
          <w:tcPr>
            <w:tcW w:w="567" w:type="dxa"/>
            <w:tcBorders>
              <w:top w:val="single" w:sz="4" w:space="0" w:color="auto"/>
              <w:left w:val="single" w:sz="4" w:space="0" w:color="auto"/>
              <w:bottom w:val="single" w:sz="4" w:space="0" w:color="auto"/>
              <w:right w:val="single" w:sz="4" w:space="0" w:color="auto"/>
            </w:tcBorders>
          </w:tcPr>
          <w:p w14:paraId="26B741B9" w14:textId="6FDCC41D" w:rsidR="005E7B6B" w:rsidRPr="0068660F" w:rsidRDefault="005E7B6B" w:rsidP="005E7B6B">
            <w:pPr>
              <w:spacing w:line="360" w:lineRule="auto"/>
              <w:ind w:left="709" w:hanging="709"/>
              <w:jc w:val="center"/>
              <w:rPr>
                <w:rFonts w:ascii="Century Gothic" w:hAnsi="Century Gothic"/>
                <w:b/>
                <w:sz w:val="16"/>
                <w:szCs w:val="16"/>
              </w:rPr>
            </w:pPr>
            <w:r>
              <w:rPr>
                <w:rFonts w:ascii="Century Gothic" w:hAnsi="Century Gothic"/>
                <w:b/>
                <w:sz w:val="16"/>
                <w:szCs w:val="16"/>
              </w:rPr>
              <w:t>78</w:t>
            </w:r>
          </w:p>
        </w:tc>
        <w:tc>
          <w:tcPr>
            <w:tcW w:w="567" w:type="dxa"/>
            <w:tcBorders>
              <w:top w:val="single" w:sz="4" w:space="0" w:color="auto"/>
              <w:left w:val="single" w:sz="4" w:space="0" w:color="auto"/>
              <w:bottom w:val="single" w:sz="4" w:space="0" w:color="auto"/>
              <w:right w:val="single" w:sz="4" w:space="0" w:color="auto"/>
            </w:tcBorders>
          </w:tcPr>
          <w:p w14:paraId="5F610FAD" w14:textId="3B43EDA5" w:rsidR="005E7B6B" w:rsidRPr="0068660F" w:rsidRDefault="005E7B6B" w:rsidP="005E7B6B">
            <w:pPr>
              <w:spacing w:line="360" w:lineRule="auto"/>
              <w:ind w:left="709" w:hanging="709"/>
              <w:jc w:val="center"/>
              <w:rPr>
                <w:rFonts w:ascii="Century Gothic" w:hAnsi="Century Gothic"/>
                <w:b/>
                <w:sz w:val="16"/>
                <w:szCs w:val="16"/>
              </w:rPr>
            </w:pPr>
            <w:r>
              <w:rPr>
                <w:rFonts w:ascii="Century Gothic" w:hAnsi="Century Gothic"/>
                <w:b/>
                <w:sz w:val="16"/>
                <w:szCs w:val="16"/>
              </w:rPr>
              <w:t>100</w:t>
            </w:r>
          </w:p>
        </w:tc>
        <w:tc>
          <w:tcPr>
            <w:tcW w:w="709" w:type="dxa"/>
            <w:tcBorders>
              <w:top w:val="single" w:sz="4" w:space="0" w:color="auto"/>
              <w:left w:val="single" w:sz="4" w:space="0" w:color="auto"/>
              <w:bottom w:val="single" w:sz="4" w:space="0" w:color="auto"/>
              <w:right w:val="single" w:sz="4" w:space="0" w:color="auto"/>
            </w:tcBorders>
          </w:tcPr>
          <w:p w14:paraId="29A345E7" w14:textId="77777777" w:rsidR="005E7B6B" w:rsidRPr="0068660F" w:rsidRDefault="005E7B6B" w:rsidP="005E7B6B">
            <w:pPr>
              <w:spacing w:line="360" w:lineRule="auto"/>
              <w:ind w:left="709" w:hanging="709"/>
              <w:jc w:val="center"/>
              <w:rPr>
                <w:rFonts w:ascii="Century Gothic" w:hAnsi="Century Gothic"/>
                <w:b/>
                <w:sz w:val="16"/>
                <w:szCs w:val="16"/>
              </w:rPr>
            </w:pPr>
            <w:r>
              <w:rPr>
                <w:rFonts w:ascii="Century Gothic" w:hAnsi="Century Gothic"/>
                <w:b/>
                <w:sz w:val="16"/>
                <w:szCs w:val="16"/>
              </w:rPr>
              <w:t>100</w:t>
            </w:r>
          </w:p>
        </w:tc>
      </w:tr>
    </w:tbl>
    <w:p w14:paraId="39B9343D" w14:textId="77777777" w:rsidR="001B5252" w:rsidRPr="008E3DC7" w:rsidRDefault="001B5252" w:rsidP="001B5252">
      <w:pPr>
        <w:pStyle w:val="Level1"/>
        <w:numPr>
          <w:ilvl w:val="0"/>
          <w:numId w:val="0"/>
        </w:numPr>
        <w:ind w:left="720" w:firstLine="131"/>
        <w:jc w:val="both"/>
        <w:rPr>
          <w:sz w:val="16"/>
          <w:szCs w:val="16"/>
        </w:rPr>
      </w:pPr>
      <w:r>
        <w:rPr>
          <w:sz w:val="16"/>
          <w:szCs w:val="16"/>
        </w:rPr>
        <w:t>Source: Experian GOAD</w:t>
      </w:r>
    </w:p>
    <w:p w14:paraId="311DE034" w14:textId="2138D1D7" w:rsidR="004313C1" w:rsidRDefault="00477B4A" w:rsidP="00FC7952">
      <w:pPr>
        <w:pStyle w:val="Level1"/>
        <w:jc w:val="both"/>
      </w:pPr>
      <w:r>
        <w:t>The above data shows that there has been a small increase in the number of surveyed units in the district centre between 2008 and 2021 (from 73 to 78)</w:t>
      </w:r>
      <w:r w:rsidR="00E5666A">
        <w:t xml:space="preserve"> which indicates the continued popularity of St Marychurch as a retail destination for the local community.  Convenience goods retail uses have remained generally static over the past decade, occupying a proportion of units which has been consistently above the national average.  </w:t>
      </w:r>
    </w:p>
    <w:p w14:paraId="1BD6F8E1" w14:textId="5899CF2B" w:rsidR="00040CAB" w:rsidRDefault="00040CAB" w:rsidP="00FC7952">
      <w:pPr>
        <w:pStyle w:val="Level1"/>
        <w:jc w:val="both"/>
      </w:pPr>
      <w:r>
        <w:t xml:space="preserve">There has been a small fall in the number of comparison goods retailers in the district centre between 2012 and 2021, with a corresponding fall in the </w:t>
      </w:r>
      <w:r w:rsidR="002B5BA6">
        <w:t xml:space="preserve">proportion of units in this category.  The fall mirrors </w:t>
      </w:r>
      <w:r w:rsidR="00C01E20">
        <w:t>the national trend, with 33% of units currently in comparison goods use against a national average of 34%.  Conversely, retail service uses have increased slightly</w:t>
      </w:r>
      <w:r w:rsidR="007F51C8">
        <w:t xml:space="preserve"> since 2012, from 29 units to 33 units in 2021.  This category remains slightly above the national average.  Finally, the number of vacant retail units in St Marychurch district centre has been consistently low since 2008 and below the respective national average.  Vacancies have risen in recent years and, at the time of the 2021 Experian survey, comprised 7 units in the centre.</w:t>
      </w:r>
    </w:p>
    <w:p w14:paraId="3B560C09" w14:textId="729F75EE" w:rsidR="00FC7952" w:rsidRDefault="001D75F3" w:rsidP="00FC7952">
      <w:pPr>
        <w:pStyle w:val="Level1"/>
        <w:jc w:val="both"/>
      </w:pPr>
      <w:r>
        <w:t xml:space="preserve">Table 4.4 earlier in this section outlines the </w:t>
      </w:r>
      <w:r w:rsidR="00FC7952">
        <w:t>market share</w:t>
      </w:r>
      <w:r>
        <w:t xml:space="preserve"> of St Marychurch district centre in relation to first and second choice main food shopping trips across the study area.  This indicates a limited catchment which has a 1% share of first choice trips in Zones 4 (Paignton) and 5 (Torquay) and a similar market penetration level for second choice main food trips.</w:t>
      </w:r>
      <w:r w:rsidR="005D7D6B">
        <w:t xml:space="preserve">  It will be noted that the district centre’s share of first choice main food trips has fallen slightly since the data used in the 2013 retail study, albeit the market share was only 3% previously.</w:t>
      </w:r>
    </w:p>
    <w:p w14:paraId="6A7C2AB0" w14:textId="06E43D52" w:rsidR="005D7D6B" w:rsidRDefault="005D7D6B" w:rsidP="00FC7952">
      <w:pPr>
        <w:pStyle w:val="Level1"/>
        <w:jc w:val="both"/>
      </w:pPr>
      <w:r>
        <w:t xml:space="preserve">For top-up food shopping Table 4.5 shows that </w:t>
      </w:r>
      <w:r w:rsidR="000E7C67">
        <w:t xml:space="preserve">the catchment of the district centre is limited to Zone 5 (save for a small share of trips in Zone 7), with the available data showing that the centre currently </w:t>
      </w:r>
      <w:r w:rsidR="00034335">
        <w:t xml:space="preserve">attracts 6% of first choice top-up food trips and 12% of second choice top-up trips.  </w:t>
      </w:r>
      <w:proofErr w:type="gramStart"/>
      <w:r w:rsidR="00034335">
        <w:t>Both of these</w:t>
      </w:r>
      <w:proofErr w:type="gramEnd"/>
      <w:r w:rsidR="00034335">
        <w:t xml:space="preserve"> levels are small increases over the market share levels used in the 2013 retail study.</w:t>
      </w:r>
    </w:p>
    <w:p w14:paraId="7D11382B" w14:textId="05CD505A" w:rsidR="00034335" w:rsidRDefault="00034335" w:rsidP="00FC7952">
      <w:pPr>
        <w:pStyle w:val="Level1"/>
        <w:jc w:val="both"/>
      </w:pPr>
      <w:r>
        <w:t>In relation to comparison goods shopping</w:t>
      </w:r>
      <w:r w:rsidR="00163707">
        <w:t xml:space="preserve">, Table 6 at </w:t>
      </w:r>
      <w:r w:rsidR="00163707" w:rsidRPr="00516D6A">
        <w:t xml:space="preserve">Appendix </w:t>
      </w:r>
      <w:r w:rsidR="00163707" w:rsidRPr="00B44051">
        <w:t>X</w:t>
      </w:r>
      <w:r w:rsidR="00516D6A" w:rsidRPr="00B44051">
        <w:t>VII</w:t>
      </w:r>
      <w:r w:rsidR="00163707" w:rsidRPr="00B44051">
        <w:t>,</w:t>
      </w:r>
      <w:r w:rsidR="00163707" w:rsidRPr="00516D6A">
        <w:t xml:space="preserve"> which</w:t>
      </w:r>
      <w:r w:rsidR="00163707">
        <w:t xml:space="preserve"> informs the quantitative assessment of ‘need’ indicates that St Marychurch district centre does not feature as attracting any noticeable market share in many categories.  The only ones which register</w:t>
      </w:r>
      <w:r w:rsidR="002A5487">
        <w:t xml:space="preserve"> a market share amongst Zone 5 residents </w:t>
      </w:r>
      <w:r w:rsidR="00163707">
        <w:t>are:</w:t>
      </w:r>
    </w:p>
    <w:p w14:paraId="7CA4EFEB" w14:textId="5A5BBD4D" w:rsidR="00163707" w:rsidRDefault="002A5487" w:rsidP="00163707">
      <w:pPr>
        <w:pStyle w:val="ListBullet"/>
      </w:pPr>
      <w:r>
        <w:t xml:space="preserve">0.8% of first choice health and beauty </w:t>
      </w:r>
      <w:proofErr w:type="gramStart"/>
      <w:r>
        <w:t>trips;</w:t>
      </w:r>
      <w:proofErr w:type="gramEnd"/>
    </w:p>
    <w:p w14:paraId="0C7A2072" w14:textId="091ED66E" w:rsidR="002A5487" w:rsidRDefault="002A5487" w:rsidP="00163707">
      <w:pPr>
        <w:pStyle w:val="ListBullet"/>
      </w:pPr>
      <w:r>
        <w:t>5.1% of first choice recreational goods trips; and</w:t>
      </w:r>
    </w:p>
    <w:p w14:paraId="7F14EFAE" w14:textId="657C8016" w:rsidR="002A5487" w:rsidRPr="00DA35C0" w:rsidRDefault="002A5487" w:rsidP="00163707">
      <w:pPr>
        <w:pStyle w:val="ListBullet"/>
      </w:pPr>
      <w:r>
        <w:t xml:space="preserve">5.7% of second </w:t>
      </w:r>
      <w:r w:rsidRPr="00DA35C0">
        <w:t>choice recreational goods trips.</w:t>
      </w:r>
    </w:p>
    <w:p w14:paraId="6F189B78" w14:textId="08136CBC" w:rsidR="00FC7952" w:rsidRPr="00B44051" w:rsidRDefault="00B566A9" w:rsidP="00FC7952">
      <w:pPr>
        <w:pStyle w:val="Level1"/>
        <w:jc w:val="both"/>
      </w:pPr>
      <w:r w:rsidRPr="00B44051">
        <w:t xml:space="preserve">In relation to food and beverage visits, St Marychurch attracts a market share of 1% from Zone 4 residents, 4% from Zone 5 residents and </w:t>
      </w:r>
      <w:r w:rsidR="00DA35C0" w:rsidRPr="00B44051">
        <w:t xml:space="preserve">2% from Zone 6 residents. </w:t>
      </w:r>
    </w:p>
    <w:p w14:paraId="19E9EE11" w14:textId="50768363" w:rsidR="00643176" w:rsidRPr="00643176" w:rsidRDefault="00643176" w:rsidP="00643176">
      <w:pPr>
        <w:pStyle w:val="Level1"/>
        <w:numPr>
          <w:ilvl w:val="0"/>
          <w:numId w:val="0"/>
        </w:numPr>
        <w:ind w:left="720"/>
        <w:jc w:val="both"/>
        <w:rPr>
          <w:rStyle w:val="Emphasis"/>
        </w:rPr>
      </w:pPr>
      <w:r>
        <w:rPr>
          <w:rStyle w:val="Emphasis"/>
        </w:rPr>
        <w:lastRenderedPageBreak/>
        <w:t>Preston District Centre</w:t>
      </w:r>
    </w:p>
    <w:p w14:paraId="4CD80110" w14:textId="6C3F103B" w:rsidR="00FC7952" w:rsidRDefault="002A5487" w:rsidP="00FC7952">
      <w:pPr>
        <w:pStyle w:val="Level1"/>
      </w:pPr>
      <w:r>
        <w:t xml:space="preserve">The final centre subject to our health check review is Preston district centre in Paignton.  The district centre lies to the north of Paignton town centre and is location on the main vehicular route linking Paignton to Torquay.  The development plan policies map provides a </w:t>
      </w:r>
      <w:r w:rsidR="00575F2C">
        <w:t xml:space="preserve">single </w:t>
      </w:r>
      <w:r>
        <w:t xml:space="preserve">boundary </w:t>
      </w:r>
      <w:r w:rsidR="00575F2C">
        <w:t xml:space="preserve">definition for </w:t>
      </w:r>
      <w:r w:rsidR="00575F2C" w:rsidRPr="00516D6A">
        <w:t>the centre</w:t>
      </w:r>
      <w:r w:rsidR="00847E5B" w:rsidRPr="00516D6A">
        <w:t xml:space="preserve"> </w:t>
      </w:r>
      <w:r w:rsidR="00847E5B" w:rsidRPr="00B44051">
        <w:t>(see plan at Appendix X</w:t>
      </w:r>
      <w:r w:rsidR="00516D6A" w:rsidRPr="00B44051">
        <w:t>VI</w:t>
      </w:r>
      <w:r w:rsidR="00847E5B" w:rsidRPr="00B44051">
        <w:t>),</w:t>
      </w:r>
      <w:r w:rsidR="00847E5B" w:rsidRPr="00516D6A">
        <w:t xml:space="preserve"> which</w:t>
      </w:r>
      <w:r w:rsidR="00847E5B">
        <w:t xml:space="preserve"> extends along both sides of Torquay Road from the junction with Orient Road in the north to Brookfield Close in the south.</w:t>
      </w:r>
    </w:p>
    <w:p w14:paraId="610AB18D" w14:textId="3F1121C4" w:rsidR="0074360F" w:rsidRDefault="00315C4C" w:rsidP="0082601E">
      <w:pPr>
        <w:pStyle w:val="Level1"/>
      </w:pPr>
      <w:r>
        <w:t xml:space="preserve">Table 4.22 below outlines the land use composition of the district centre using data taken from TC’s 2021 Retail Monitor </w:t>
      </w:r>
      <w:r w:rsidR="00EA5460">
        <w:t>which has been classified using Experian GOAD’s ‘centre report’ definitions.</w:t>
      </w:r>
      <w:r w:rsidR="00ED15B1">
        <w:t xml:space="preserve">  It indicates </w:t>
      </w:r>
      <w:r w:rsidR="002F3EE6">
        <w:t>a small number of convenience goods retailers in the centre (circa 5% of all surveyed units), along with a broadly equal split between comparison goods retail and retail service uses. (39% and 44% respectively).  At the time of the survey there were 7 vacant retail units in the district centre which is equivalent to circa 11% of all surveyed retail units.</w:t>
      </w:r>
    </w:p>
    <w:p w14:paraId="7E8A5561" w14:textId="6B13D39D" w:rsidR="00EA5460" w:rsidRPr="00B75C59" w:rsidRDefault="00EA5460" w:rsidP="00EA5460">
      <w:pPr>
        <w:pStyle w:val="Level1"/>
        <w:numPr>
          <w:ilvl w:val="0"/>
          <w:numId w:val="0"/>
        </w:numPr>
        <w:spacing w:after="120" w:line="240" w:lineRule="auto"/>
        <w:ind w:left="720"/>
        <w:jc w:val="both"/>
        <w:rPr>
          <w:rStyle w:val="Emphasis"/>
          <w:sz w:val="18"/>
          <w:szCs w:val="18"/>
        </w:rPr>
      </w:pPr>
      <w:r>
        <w:rPr>
          <w:rStyle w:val="Emphasis"/>
          <w:sz w:val="18"/>
          <w:szCs w:val="18"/>
        </w:rPr>
        <w:t>Table 4.22: Preston district centre land use profile – Torbay Council 2021 Retail Monitor Data</w:t>
      </w:r>
    </w:p>
    <w:tbl>
      <w:tblPr>
        <w:tblStyle w:val="CustomTable2"/>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501"/>
        <w:gridCol w:w="2268"/>
      </w:tblGrid>
      <w:tr w:rsidR="00EA5460" w:rsidRPr="00EA5460" w14:paraId="7FCFF99F" w14:textId="77777777" w:rsidTr="003F5A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E8E9E7" w:themeFill="background2" w:themeFillTint="66"/>
          </w:tcPr>
          <w:p w14:paraId="1BFA7349" w14:textId="77777777" w:rsidR="00EA5460" w:rsidRPr="00EA5460" w:rsidRDefault="00EA5460" w:rsidP="003F5A85">
            <w:pPr>
              <w:pStyle w:val="Level1"/>
              <w:numPr>
                <w:ilvl w:val="0"/>
                <w:numId w:val="0"/>
              </w:numPr>
              <w:spacing w:before="0" w:after="0" w:line="240" w:lineRule="auto"/>
              <w:jc w:val="both"/>
              <w:rPr>
                <w:rFonts w:asciiTheme="minorHAnsi" w:hAnsiTheme="minorHAnsi" w:cstheme="minorHAnsi"/>
                <w:color w:val="auto"/>
                <w:sz w:val="18"/>
                <w:szCs w:val="18"/>
              </w:rPr>
            </w:pPr>
            <w:r w:rsidRPr="00EA5460">
              <w:rPr>
                <w:rFonts w:asciiTheme="minorHAnsi" w:hAnsiTheme="minorHAnsi" w:cstheme="minorHAnsi"/>
                <w:color w:val="auto"/>
                <w:sz w:val="18"/>
                <w:szCs w:val="18"/>
              </w:rPr>
              <w:t>Sector</w:t>
            </w:r>
          </w:p>
        </w:tc>
        <w:tc>
          <w:tcPr>
            <w:tcW w:w="2501" w:type="dxa"/>
            <w:shd w:val="clear" w:color="auto" w:fill="E8E9E7" w:themeFill="background2" w:themeFillTint="66"/>
          </w:tcPr>
          <w:p w14:paraId="72257389" w14:textId="77777777" w:rsidR="00EA5460" w:rsidRPr="00EA5460" w:rsidRDefault="00EA5460" w:rsidP="003F5A85">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EA5460">
              <w:rPr>
                <w:rFonts w:asciiTheme="minorHAnsi" w:hAnsiTheme="minorHAnsi" w:cstheme="minorHAnsi"/>
                <w:color w:val="auto"/>
                <w:sz w:val="18"/>
                <w:szCs w:val="18"/>
              </w:rPr>
              <w:t>No. of Units</w:t>
            </w:r>
          </w:p>
        </w:tc>
        <w:tc>
          <w:tcPr>
            <w:tcW w:w="2268" w:type="dxa"/>
            <w:shd w:val="clear" w:color="auto" w:fill="E8E9E7" w:themeFill="background2" w:themeFillTint="66"/>
          </w:tcPr>
          <w:p w14:paraId="21CE3B91" w14:textId="77777777" w:rsidR="00EA5460" w:rsidRPr="00EA5460" w:rsidRDefault="00EA5460" w:rsidP="003F5A85">
            <w:pPr>
              <w:pStyle w:val="Level1"/>
              <w:numPr>
                <w:ilvl w:val="0"/>
                <w:numId w:val="0"/>
              </w:num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EA5460">
              <w:rPr>
                <w:rFonts w:asciiTheme="minorHAnsi" w:hAnsiTheme="minorHAnsi" w:cstheme="minorHAnsi"/>
                <w:color w:val="auto"/>
                <w:sz w:val="18"/>
                <w:szCs w:val="18"/>
              </w:rPr>
              <w:t xml:space="preserve">% </w:t>
            </w:r>
            <w:proofErr w:type="gramStart"/>
            <w:r w:rsidRPr="00EA5460">
              <w:rPr>
                <w:rFonts w:asciiTheme="minorHAnsi" w:hAnsiTheme="minorHAnsi" w:cstheme="minorHAnsi"/>
                <w:color w:val="auto"/>
                <w:sz w:val="18"/>
                <w:szCs w:val="18"/>
              </w:rPr>
              <w:t>of</w:t>
            </w:r>
            <w:proofErr w:type="gramEnd"/>
            <w:r w:rsidRPr="00EA5460">
              <w:rPr>
                <w:rFonts w:asciiTheme="minorHAnsi" w:hAnsiTheme="minorHAnsi" w:cstheme="minorHAnsi"/>
                <w:color w:val="auto"/>
                <w:sz w:val="18"/>
                <w:szCs w:val="18"/>
              </w:rPr>
              <w:t xml:space="preserve"> Total Surveyed Units</w:t>
            </w:r>
          </w:p>
        </w:tc>
      </w:tr>
      <w:tr w:rsidR="00EA5460" w:rsidRPr="00EA5460" w14:paraId="2EAF108A" w14:textId="77777777" w:rsidTr="00EA5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68A841B2" w14:textId="77777777" w:rsidR="00EA5460" w:rsidRPr="00EA5460" w:rsidRDefault="00EA5460" w:rsidP="00EA5460">
            <w:pPr>
              <w:pStyle w:val="Level1"/>
              <w:numPr>
                <w:ilvl w:val="0"/>
                <w:numId w:val="0"/>
              </w:numPr>
              <w:spacing w:before="0" w:after="0" w:line="240" w:lineRule="auto"/>
              <w:jc w:val="both"/>
              <w:rPr>
                <w:rFonts w:asciiTheme="minorHAnsi" w:hAnsiTheme="minorHAnsi" w:cstheme="minorHAnsi"/>
                <w:bCs/>
                <w:color w:val="auto"/>
                <w:sz w:val="18"/>
                <w:szCs w:val="18"/>
              </w:rPr>
            </w:pPr>
            <w:r w:rsidRPr="00EA5460">
              <w:rPr>
                <w:rFonts w:asciiTheme="minorHAnsi" w:hAnsiTheme="minorHAnsi" w:cstheme="minorHAnsi"/>
                <w:bCs/>
                <w:color w:val="auto"/>
                <w:sz w:val="18"/>
                <w:szCs w:val="18"/>
              </w:rPr>
              <w:t>Convenience</w:t>
            </w:r>
          </w:p>
        </w:tc>
        <w:tc>
          <w:tcPr>
            <w:tcW w:w="2501" w:type="dxa"/>
            <w:shd w:val="clear" w:color="auto" w:fill="auto"/>
            <w:vAlign w:val="bottom"/>
          </w:tcPr>
          <w:p w14:paraId="19ED2A19" w14:textId="156D055A" w:rsidR="00EA5460" w:rsidRPr="00EA5460" w:rsidRDefault="00EA5460" w:rsidP="00EA5460">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A5460">
              <w:rPr>
                <w:rFonts w:asciiTheme="minorHAnsi" w:hAnsiTheme="minorHAnsi" w:cstheme="minorHAnsi"/>
                <w:sz w:val="18"/>
                <w:szCs w:val="18"/>
              </w:rPr>
              <w:t>3</w:t>
            </w:r>
          </w:p>
        </w:tc>
        <w:tc>
          <w:tcPr>
            <w:tcW w:w="2268" w:type="dxa"/>
            <w:shd w:val="clear" w:color="auto" w:fill="auto"/>
            <w:vAlign w:val="bottom"/>
          </w:tcPr>
          <w:p w14:paraId="3A74D228" w14:textId="12731987" w:rsidR="00EA5460" w:rsidRPr="00EA5460" w:rsidRDefault="00EA5460" w:rsidP="00EA5460">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A5460">
              <w:rPr>
                <w:rFonts w:asciiTheme="minorHAnsi" w:hAnsiTheme="minorHAnsi" w:cstheme="minorHAnsi"/>
                <w:sz w:val="18"/>
                <w:szCs w:val="18"/>
              </w:rPr>
              <w:t>4.7%</w:t>
            </w:r>
          </w:p>
        </w:tc>
      </w:tr>
      <w:tr w:rsidR="00EA5460" w:rsidRPr="00EA5460" w14:paraId="6DFB5D6F" w14:textId="77777777" w:rsidTr="00EA5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0D1A46F7" w14:textId="77777777" w:rsidR="00EA5460" w:rsidRPr="00EA5460" w:rsidRDefault="00EA5460" w:rsidP="00EA5460">
            <w:pPr>
              <w:pStyle w:val="Level1"/>
              <w:numPr>
                <w:ilvl w:val="0"/>
                <w:numId w:val="0"/>
              </w:numPr>
              <w:spacing w:before="0" w:after="0" w:line="240" w:lineRule="auto"/>
              <w:jc w:val="both"/>
              <w:rPr>
                <w:rFonts w:asciiTheme="minorHAnsi" w:hAnsiTheme="minorHAnsi" w:cstheme="minorHAnsi"/>
                <w:bCs/>
                <w:color w:val="auto"/>
                <w:sz w:val="18"/>
                <w:szCs w:val="18"/>
              </w:rPr>
            </w:pPr>
            <w:r w:rsidRPr="00EA5460">
              <w:rPr>
                <w:rFonts w:asciiTheme="minorHAnsi" w:hAnsiTheme="minorHAnsi" w:cstheme="minorHAnsi"/>
                <w:bCs/>
                <w:color w:val="auto"/>
                <w:sz w:val="18"/>
                <w:szCs w:val="18"/>
              </w:rPr>
              <w:t>Comparison</w:t>
            </w:r>
          </w:p>
        </w:tc>
        <w:tc>
          <w:tcPr>
            <w:tcW w:w="2501" w:type="dxa"/>
            <w:shd w:val="clear" w:color="auto" w:fill="auto"/>
            <w:vAlign w:val="bottom"/>
          </w:tcPr>
          <w:p w14:paraId="44213A7C" w14:textId="64A6FCA0" w:rsidR="00EA5460" w:rsidRPr="00EA5460" w:rsidRDefault="00EA5460" w:rsidP="00EA5460">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EA5460">
              <w:rPr>
                <w:rFonts w:asciiTheme="minorHAnsi" w:hAnsiTheme="minorHAnsi" w:cstheme="minorHAnsi"/>
                <w:sz w:val="18"/>
                <w:szCs w:val="18"/>
              </w:rPr>
              <w:t>25</w:t>
            </w:r>
          </w:p>
        </w:tc>
        <w:tc>
          <w:tcPr>
            <w:tcW w:w="2268" w:type="dxa"/>
            <w:shd w:val="clear" w:color="auto" w:fill="auto"/>
            <w:vAlign w:val="bottom"/>
          </w:tcPr>
          <w:p w14:paraId="49CD8F32" w14:textId="753662E2" w:rsidR="00EA5460" w:rsidRPr="00EA5460" w:rsidRDefault="00EA5460" w:rsidP="00EA5460">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EA5460">
              <w:rPr>
                <w:rFonts w:asciiTheme="minorHAnsi" w:hAnsiTheme="minorHAnsi" w:cstheme="minorHAnsi"/>
                <w:sz w:val="18"/>
                <w:szCs w:val="18"/>
              </w:rPr>
              <w:t>39.1%</w:t>
            </w:r>
          </w:p>
        </w:tc>
      </w:tr>
      <w:tr w:rsidR="00EA5460" w:rsidRPr="00EA5460" w14:paraId="5CD8E649" w14:textId="77777777" w:rsidTr="00EA5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5F3C5738" w14:textId="77777777" w:rsidR="00EA5460" w:rsidRPr="00EA5460" w:rsidRDefault="00EA5460" w:rsidP="00EA5460">
            <w:pPr>
              <w:pStyle w:val="Level1"/>
              <w:numPr>
                <w:ilvl w:val="0"/>
                <w:numId w:val="0"/>
              </w:numPr>
              <w:spacing w:before="0" w:after="0" w:line="240" w:lineRule="auto"/>
              <w:jc w:val="both"/>
              <w:rPr>
                <w:rFonts w:asciiTheme="minorHAnsi" w:hAnsiTheme="minorHAnsi" w:cstheme="minorHAnsi"/>
                <w:bCs/>
                <w:color w:val="auto"/>
                <w:sz w:val="18"/>
                <w:szCs w:val="18"/>
              </w:rPr>
            </w:pPr>
            <w:r w:rsidRPr="00EA5460">
              <w:rPr>
                <w:rFonts w:asciiTheme="minorHAnsi" w:hAnsiTheme="minorHAnsi" w:cstheme="minorHAnsi"/>
                <w:bCs/>
                <w:color w:val="auto"/>
                <w:sz w:val="18"/>
                <w:szCs w:val="18"/>
              </w:rPr>
              <w:t>Service</w:t>
            </w:r>
          </w:p>
        </w:tc>
        <w:tc>
          <w:tcPr>
            <w:tcW w:w="2501" w:type="dxa"/>
            <w:shd w:val="clear" w:color="auto" w:fill="auto"/>
            <w:vAlign w:val="bottom"/>
          </w:tcPr>
          <w:p w14:paraId="28EAEEC4" w14:textId="427C735C" w:rsidR="00EA5460" w:rsidRPr="00EA5460" w:rsidRDefault="00EA5460" w:rsidP="00EA5460">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A5460">
              <w:rPr>
                <w:rFonts w:asciiTheme="minorHAnsi" w:hAnsiTheme="minorHAnsi" w:cstheme="minorHAnsi"/>
                <w:sz w:val="18"/>
                <w:szCs w:val="18"/>
              </w:rPr>
              <w:t>28</w:t>
            </w:r>
          </w:p>
        </w:tc>
        <w:tc>
          <w:tcPr>
            <w:tcW w:w="2268" w:type="dxa"/>
            <w:shd w:val="clear" w:color="auto" w:fill="auto"/>
            <w:vAlign w:val="bottom"/>
          </w:tcPr>
          <w:p w14:paraId="57D68C80" w14:textId="3B62629E" w:rsidR="00EA5460" w:rsidRPr="00EA5460" w:rsidRDefault="00EA5460" w:rsidP="00EA5460">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A5460">
              <w:rPr>
                <w:rFonts w:asciiTheme="minorHAnsi" w:hAnsiTheme="minorHAnsi" w:cstheme="minorHAnsi"/>
                <w:sz w:val="18"/>
                <w:szCs w:val="18"/>
              </w:rPr>
              <w:t>43.8%</w:t>
            </w:r>
          </w:p>
        </w:tc>
      </w:tr>
      <w:tr w:rsidR="00EA5460" w:rsidRPr="00EA5460" w14:paraId="3BFB9A52" w14:textId="77777777" w:rsidTr="00EA5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08076BEB" w14:textId="77777777" w:rsidR="00EA5460" w:rsidRPr="00EA5460" w:rsidRDefault="00EA5460" w:rsidP="00EA5460">
            <w:pPr>
              <w:pStyle w:val="Level1"/>
              <w:numPr>
                <w:ilvl w:val="0"/>
                <w:numId w:val="0"/>
              </w:numPr>
              <w:spacing w:before="0" w:after="0" w:line="240" w:lineRule="auto"/>
              <w:jc w:val="both"/>
              <w:rPr>
                <w:rFonts w:asciiTheme="minorHAnsi" w:hAnsiTheme="minorHAnsi" w:cstheme="minorHAnsi"/>
                <w:bCs/>
                <w:color w:val="auto"/>
                <w:sz w:val="18"/>
                <w:szCs w:val="18"/>
              </w:rPr>
            </w:pPr>
            <w:r w:rsidRPr="00EA5460">
              <w:rPr>
                <w:rFonts w:asciiTheme="minorHAnsi" w:hAnsiTheme="minorHAnsi" w:cstheme="minorHAnsi"/>
                <w:bCs/>
                <w:color w:val="auto"/>
                <w:sz w:val="18"/>
                <w:szCs w:val="18"/>
              </w:rPr>
              <w:t>Other</w:t>
            </w:r>
          </w:p>
        </w:tc>
        <w:tc>
          <w:tcPr>
            <w:tcW w:w="2501" w:type="dxa"/>
            <w:shd w:val="clear" w:color="auto" w:fill="auto"/>
            <w:vAlign w:val="bottom"/>
          </w:tcPr>
          <w:p w14:paraId="1FC3D158" w14:textId="486E2B34" w:rsidR="00EA5460" w:rsidRPr="00EA5460" w:rsidRDefault="00EA5460" w:rsidP="00EA5460">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EA5460">
              <w:rPr>
                <w:rFonts w:asciiTheme="minorHAnsi" w:hAnsiTheme="minorHAnsi" w:cstheme="minorHAnsi"/>
                <w:sz w:val="18"/>
                <w:szCs w:val="18"/>
              </w:rPr>
              <w:t>1</w:t>
            </w:r>
          </w:p>
        </w:tc>
        <w:tc>
          <w:tcPr>
            <w:tcW w:w="2268" w:type="dxa"/>
            <w:shd w:val="clear" w:color="auto" w:fill="auto"/>
            <w:vAlign w:val="bottom"/>
          </w:tcPr>
          <w:p w14:paraId="3642CE92" w14:textId="457C41A2" w:rsidR="00EA5460" w:rsidRPr="00EA5460" w:rsidRDefault="00EA5460" w:rsidP="00EA5460">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EA5460">
              <w:rPr>
                <w:rFonts w:asciiTheme="minorHAnsi" w:hAnsiTheme="minorHAnsi" w:cstheme="minorHAnsi"/>
                <w:sz w:val="18"/>
                <w:szCs w:val="18"/>
              </w:rPr>
              <w:t>1.6%</w:t>
            </w:r>
          </w:p>
        </w:tc>
      </w:tr>
      <w:tr w:rsidR="00EA5460" w:rsidRPr="00EA5460" w14:paraId="37CA1E09" w14:textId="77777777" w:rsidTr="00EA5460">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3E5C091E" w14:textId="77777777" w:rsidR="00EA5460" w:rsidRPr="00EA5460" w:rsidRDefault="00EA5460" w:rsidP="00EA5460">
            <w:pPr>
              <w:pStyle w:val="Level1"/>
              <w:numPr>
                <w:ilvl w:val="0"/>
                <w:numId w:val="0"/>
              </w:numPr>
              <w:spacing w:before="0" w:after="0" w:line="240" w:lineRule="auto"/>
              <w:jc w:val="both"/>
              <w:rPr>
                <w:rFonts w:asciiTheme="minorHAnsi" w:hAnsiTheme="minorHAnsi" w:cstheme="minorHAnsi"/>
                <w:bCs/>
                <w:color w:val="auto"/>
                <w:sz w:val="18"/>
                <w:szCs w:val="18"/>
              </w:rPr>
            </w:pPr>
            <w:r w:rsidRPr="00EA5460">
              <w:rPr>
                <w:rFonts w:asciiTheme="minorHAnsi" w:hAnsiTheme="minorHAnsi" w:cstheme="minorHAnsi"/>
                <w:bCs/>
                <w:color w:val="auto"/>
                <w:sz w:val="18"/>
                <w:szCs w:val="18"/>
              </w:rPr>
              <w:t>Vacant</w:t>
            </w:r>
          </w:p>
        </w:tc>
        <w:tc>
          <w:tcPr>
            <w:tcW w:w="2501" w:type="dxa"/>
            <w:shd w:val="clear" w:color="auto" w:fill="auto"/>
            <w:vAlign w:val="bottom"/>
          </w:tcPr>
          <w:p w14:paraId="6BD688C1" w14:textId="4AEEB23A" w:rsidR="00EA5460" w:rsidRPr="00EA5460" w:rsidRDefault="00EA5460" w:rsidP="00EA5460">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A5460">
              <w:rPr>
                <w:rFonts w:asciiTheme="minorHAnsi" w:hAnsiTheme="minorHAnsi" w:cstheme="minorHAnsi"/>
                <w:sz w:val="18"/>
                <w:szCs w:val="18"/>
              </w:rPr>
              <w:t>7</w:t>
            </w:r>
          </w:p>
        </w:tc>
        <w:tc>
          <w:tcPr>
            <w:tcW w:w="2268" w:type="dxa"/>
            <w:shd w:val="clear" w:color="auto" w:fill="auto"/>
            <w:vAlign w:val="bottom"/>
          </w:tcPr>
          <w:p w14:paraId="2049518C" w14:textId="423834C2" w:rsidR="00EA5460" w:rsidRPr="00EA5460" w:rsidRDefault="00EA5460" w:rsidP="00EA5460">
            <w:pPr>
              <w:pStyle w:val="Level1"/>
              <w:numPr>
                <w:ilvl w:val="0"/>
                <w:numId w:val="0"/>
              </w:num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sidRPr="00EA5460">
              <w:rPr>
                <w:rFonts w:asciiTheme="minorHAnsi" w:hAnsiTheme="minorHAnsi" w:cstheme="minorHAnsi"/>
                <w:sz w:val="18"/>
                <w:szCs w:val="18"/>
              </w:rPr>
              <w:t>10.9%</w:t>
            </w:r>
          </w:p>
        </w:tc>
      </w:tr>
      <w:tr w:rsidR="00EA5460" w:rsidRPr="00EA5460" w14:paraId="11B28332" w14:textId="77777777" w:rsidTr="00EA54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3" w:type="dxa"/>
            <w:shd w:val="clear" w:color="auto" w:fill="auto"/>
          </w:tcPr>
          <w:p w14:paraId="5FEEFF42" w14:textId="77777777" w:rsidR="00EA5460" w:rsidRPr="00EA5460" w:rsidRDefault="00EA5460" w:rsidP="00EA5460">
            <w:pPr>
              <w:pStyle w:val="Level1"/>
              <w:numPr>
                <w:ilvl w:val="0"/>
                <w:numId w:val="0"/>
              </w:numPr>
              <w:spacing w:before="0" w:after="0" w:line="240" w:lineRule="auto"/>
              <w:jc w:val="both"/>
              <w:rPr>
                <w:rFonts w:asciiTheme="minorHAnsi" w:hAnsiTheme="minorHAnsi" w:cstheme="minorHAnsi"/>
                <w:bCs/>
                <w:color w:val="auto"/>
                <w:sz w:val="18"/>
                <w:szCs w:val="18"/>
              </w:rPr>
            </w:pPr>
            <w:r w:rsidRPr="00EA5460">
              <w:rPr>
                <w:rFonts w:asciiTheme="minorHAnsi" w:hAnsiTheme="minorHAnsi" w:cstheme="minorHAnsi"/>
                <w:bCs/>
                <w:color w:val="auto"/>
                <w:sz w:val="18"/>
                <w:szCs w:val="18"/>
              </w:rPr>
              <w:t>Total</w:t>
            </w:r>
          </w:p>
        </w:tc>
        <w:tc>
          <w:tcPr>
            <w:tcW w:w="2501" w:type="dxa"/>
            <w:shd w:val="clear" w:color="auto" w:fill="auto"/>
            <w:vAlign w:val="bottom"/>
          </w:tcPr>
          <w:p w14:paraId="6EC36575" w14:textId="014CE094" w:rsidR="00EA5460" w:rsidRPr="00EA5460" w:rsidRDefault="00EA5460" w:rsidP="00EA5460">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EA5460">
              <w:rPr>
                <w:rFonts w:asciiTheme="minorHAnsi" w:hAnsiTheme="minorHAnsi" w:cstheme="minorHAnsi"/>
                <w:b/>
                <w:bCs/>
                <w:sz w:val="18"/>
                <w:szCs w:val="18"/>
              </w:rPr>
              <w:t>64</w:t>
            </w:r>
          </w:p>
        </w:tc>
        <w:tc>
          <w:tcPr>
            <w:tcW w:w="2268" w:type="dxa"/>
            <w:shd w:val="clear" w:color="auto" w:fill="auto"/>
            <w:vAlign w:val="bottom"/>
          </w:tcPr>
          <w:p w14:paraId="59183B94" w14:textId="7D504908" w:rsidR="00EA5460" w:rsidRPr="00EA5460" w:rsidRDefault="00EA5460" w:rsidP="00EA5460">
            <w:pPr>
              <w:pStyle w:val="Level1"/>
              <w:numPr>
                <w:ilvl w:val="0"/>
                <w:numId w:val="0"/>
              </w:numPr>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sidRPr="00EA5460">
              <w:rPr>
                <w:rFonts w:asciiTheme="minorHAnsi" w:hAnsiTheme="minorHAnsi" w:cstheme="minorHAnsi"/>
                <w:sz w:val="18"/>
                <w:szCs w:val="18"/>
              </w:rPr>
              <w:t>100.0%</w:t>
            </w:r>
          </w:p>
        </w:tc>
      </w:tr>
    </w:tbl>
    <w:p w14:paraId="085FD442" w14:textId="77777777" w:rsidR="00EA5460" w:rsidRPr="00B75C59" w:rsidRDefault="00EA5460" w:rsidP="00EA5460">
      <w:pPr>
        <w:pStyle w:val="Level1"/>
        <w:numPr>
          <w:ilvl w:val="0"/>
          <w:numId w:val="0"/>
        </w:numPr>
        <w:ind w:left="720"/>
        <w:jc w:val="both"/>
        <w:rPr>
          <w:sz w:val="16"/>
          <w:szCs w:val="16"/>
        </w:rPr>
      </w:pPr>
      <w:r>
        <w:rPr>
          <w:sz w:val="16"/>
          <w:szCs w:val="16"/>
        </w:rPr>
        <w:t>Source: Torbay Council Retail Monitor 2021</w:t>
      </w:r>
    </w:p>
    <w:p w14:paraId="15ADA86B" w14:textId="654CE44D" w:rsidR="00FC7952" w:rsidRDefault="00ED15B1" w:rsidP="00FC7952">
      <w:pPr>
        <w:pStyle w:val="Level1"/>
        <w:jc w:val="both"/>
      </w:pPr>
      <w:r>
        <w:t>Unlike the main town centres and other district centres in Torbay, Experian GOAD do not undertake a regular land use survey of Preston district centre.</w:t>
      </w:r>
    </w:p>
    <w:p w14:paraId="4222D009" w14:textId="134AA6A2" w:rsidR="00FC7952" w:rsidRDefault="00FA06D6" w:rsidP="00FC7952">
      <w:pPr>
        <w:pStyle w:val="Level1"/>
        <w:jc w:val="both"/>
      </w:pPr>
      <w:r>
        <w:t xml:space="preserve">Tables 4.10 and 4.11 earlier in this section outline the </w:t>
      </w:r>
      <w:r w:rsidR="00FC7952">
        <w:t>market share</w:t>
      </w:r>
      <w:r>
        <w:t xml:space="preserve"> levels </w:t>
      </w:r>
      <w:r w:rsidR="0071423C">
        <w:t>for main and top-up food shopping trips associated with Preston district centre.  They indicate a catchment which encompasses, to varying extents, Zones 3, 4 and 5 of the study area with Zone 4 being the primary catchment for top-up food shopping but Zones 3 and 4 contributing relatively equally to main food shopping visits. The data in these tables indicates that:</w:t>
      </w:r>
    </w:p>
    <w:p w14:paraId="31E7590A" w14:textId="73735661" w:rsidR="0071423C" w:rsidRDefault="00325F71" w:rsidP="0071423C">
      <w:pPr>
        <w:pStyle w:val="ListBullet"/>
      </w:pPr>
      <w:r>
        <w:t xml:space="preserve">The centre’s share of first choice main food trips amongst Zone 4 (Paignton) residents has fallen from 6% to 4% over the past decade, whilst the share of similar trips from Zone 3 (Brixham) residents has increased from 4% to 7%.  A similar trend can also be seen in relation to second choice main food trips, with a fall in Zone 4 from 9% to 4% and a slight increase in Zone 3 from 4% to 5%. </w:t>
      </w:r>
    </w:p>
    <w:p w14:paraId="65D7A923" w14:textId="46B810FA" w:rsidR="0071423C" w:rsidRPr="003B58EC" w:rsidRDefault="008615F2" w:rsidP="00325F71">
      <w:pPr>
        <w:pStyle w:val="ListBullet"/>
      </w:pPr>
      <w:r>
        <w:t xml:space="preserve">The district centre’s market </w:t>
      </w:r>
      <w:r w:rsidR="00D545D4">
        <w:t xml:space="preserve">share for top-up food shopping trips is unsurprisingly higher given the </w:t>
      </w:r>
      <w:r w:rsidR="00363656">
        <w:t>small size of convenience goods stores in the centre.  The centre currently attracts 16% of first choice top-up trips from Zone 4 residents, which is a small decrease from the 19% adopted for the 2013 retail study.  The share of second choice top-up food trips from Zone 4 residents is higher at 19% (and which is also a slight decrease from the 23% level used in the 2013 retail study).</w:t>
      </w:r>
      <w:r w:rsidR="00604D02">
        <w:t xml:space="preserve">  Zone 4 residents contribute </w:t>
      </w:r>
      <w:proofErr w:type="gramStart"/>
      <w:r w:rsidR="00604D02">
        <w:t>the majority of</w:t>
      </w:r>
      <w:proofErr w:type="gramEnd"/>
      <w:r w:rsidR="00604D02">
        <w:t xml:space="preserve"> top-up food shopping trips to Preston district centre, with </w:t>
      </w:r>
      <w:r w:rsidR="00604D02" w:rsidRPr="003B58EC">
        <w:t>only 2% of first choice and 5% of second choice trips being derived from Zone 3 residents.</w:t>
      </w:r>
    </w:p>
    <w:p w14:paraId="17F2D117" w14:textId="062825CF" w:rsidR="00E12887" w:rsidRPr="0061797F" w:rsidRDefault="00DA35C0" w:rsidP="0061797F">
      <w:pPr>
        <w:pStyle w:val="Level1"/>
        <w:jc w:val="both"/>
      </w:pPr>
      <w:r w:rsidRPr="00B44051">
        <w:t xml:space="preserve">In relation to food and beverage visits associated with Preston district centre, these are confined to </w:t>
      </w:r>
      <w:r w:rsidR="003B58EC" w:rsidRPr="00B44051">
        <w:t xml:space="preserve">Zone 4 residents, where the centre has a 3% market share.  </w:t>
      </w:r>
    </w:p>
    <w:p w14:paraId="0349DCED" w14:textId="5E375901" w:rsidR="00E12887" w:rsidRDefault="00E12887" w:rsidP="00E12887">
      <w:pPr>
        <w:pStyle w:val="ListHeading1"/>
      </w:pPr>
      <w:bookmarkStart w:id="12" w:name="_Toc116897148"/>
      <w:r>
        <w:lastRenderedPageBreak/>
        <w:t>Assessment of Need</w:t>
      </w:r>
      <w:bookmarkEnd w:id="12"/>
    </w:p>
    <w:p w14:paraId="4BDD06B3" w14:textId="2FBAB714" w:rsidR="00293BD4" w:rsidRPr="00293BD4" w:rsidRDefault="00293BD4" w:rsidP="00293BD4">
      <w:pPr>
        <w:pStyle w:val="Level1"/>
        <w:numPr>
          <w:ilvl w:val="0"/>
          <w:numId w:val="0"/>
        </w:numPr>
        <w:ind w:left="720"/>
        <w:rPr>
          <w:rStyle w:val="Emphasis"/>
        </w:rPr>
      </w:pPr>
      <w:r>
        <w:rPr>
          <w:rStyle w:val="Emphasis"/>
        </w:rPr>
        <w:t>Introduction</w:t>
      </w:r>
    </w:p>
    <w:p w14:paraId="4C093D07" w14:textId="72C00718" w:rsidR="00293BD4" w:rsidRDefault="00676443" w:rsidP="00E12887">
      <w:pPr>
        <w:pStyle w:val="Level1"/>
      </w:pPr>
      <w:r>
        <w:t xml:space="preserve">Within previous retail and town centre studies produced for TC, assessments of ‘need’ have focused upon </w:t>
      </w:r>
      <w:r w:rsidR="00A3429A">
        <w:t>quantitative and qualitative indicators.  The reasons for doing so were based upon national planning practice guidance in force at that time and long-standing good/best practice.</w:t>
      </w:r>
      <w:r w:rsidR="000F46E0">
        <w:t xml:space="preserve">  Specific references to quantitative and qualitative indicators have been removed from the most recent versions of the NPPF</w:t>
      </w:r>
      <w:r w:rsidR="00D01B36">
        <w:t xml:space="preserve">, although we consider that it remains useful and best practice to consider both indicators </w:t>
      </w:r>
      <w:proofErr w:type="gramStart"/>
      <w:r w:rsidR="00D01B36">
        <w:t>in order to</w:t>
      </w:r>
      <w:proofErr w:type="gramEnd"/>
      <w:r w:rsidR="00D01B36">
        <w:t xml:space="preserve"> provide a rounded picture of retail floorspace provision.  Therefore, each indicator </w:t>
      </w:r>
      <w:r w:rsidR="00293BD4">
        <w:t>is discussed, in relation to convenience and comparison goods retail floorspace provision, in turn below.</w:t>
      </w:r>
    </w:p>
    <w:p w14:paraId="0C5E688A" w14:textId="570E9A86" w:rsidR="00E12887" w:rsidRPr="00640D2E" w:rsidRDefault="00293BD4" w:rsidP="00293BD4">
      <w:pPr>
        <w:pStyle w:val="Level1"/>
        <w:numPr>
          <w:ilvl w:val="0"/>
          <w:numId w:val="0"/>
        </w:numPr>
        <w:ind w:left="720"/>
        <w:rPr>
          <w:rStyle w:val="Emphasis"/>
        </w:rPr>
      </w:pPr>
      <w:r w:rsidRPr="00640D2E">
        <w:rPr>
          <w:rStyle w:val="Emphasis"/>
        </w:rPr>
        <w:t>Quantitative Need Assessment</w:t>
      </w:r>
      <w:r w:rsidR="00640D2E">
        <w:rPr>
          <w:rStyle w:val="Emphasis"/>
        </w:rPr>
        <w:t xml:space="preserve"> – Retail Floorspace</w:t>
      </w:r>
    </w:p>
    <w:p w14:paraId="6C130AFA" w14:textId="3C5DB459" w:rsidR="00C12F2C" w:rsidRDefault="002777FB" w:rsidP="002777FB">
      <w:pPr>
        <w:pStyle w:val="Level1"/>
      </w:pPr>
      <w:r>
        <w:t>T</w:t>
      </w:r>
      <w:r w:rsidR="00C12F2C">
        <w:t xml:space="preserve">he most recent assessment of quantitative retail floorspace need in </w:t>
      </w:r>
      <w:r>
        <w:t xml:space="preserve">Torbay </w:t>
      </w:r>
      <w:r w:rsidR="00C12F2C">
        <w:t>was undertaken in the 201</w:t>
      </w:r>
      <w:r>
        <w:t>3</w:t>
      </w:r>
      <w:r w:rsidR="00C12F2C">
        <w:t xml:space="preserve"> retail study.  That assessment provided individual forecasts for convenience and comparison goods floorspace in </w:t>
      </w:r>
      <w:r>
        <w:t>the three main settlements (Torquay, Paignton and Brixham).</w:t>
      </w:r>
      <w:r w:rsidR="00C12F2C">
        <w:t xml:space="preserve">  The period of assessment stretched from 20</w:t>
      </w:r>
      <w:r w:rsidR="00516A76">
        <w:t>13</w:t>
      </w:r>
      <w:r w:rsidR="00C12F2C">
        <w:t xml:space="preserve"> to 203</w:t>
      </w:r>
      <w:r w:rsidR="00516A76">
        <w:t>1</w:t>
      </w:r>
      <w:r w:rsidR="00C12F2C">
        <w:t>, with interim forecasts provided for 20</w:t>
      </w:r>
      <w:r w:rsidR="00516A76">
        <w:t>16</w:t>
      </w:r>
      <w:r w:rsidR="00C12F2C">
        <w:t xml:space="preserve"> and 20</w:t>
      </w:r>
      <w:r w:rsidR="00516A76">
        <w:t>21</w:t>
      </w:r>
      <w:r w:rsidR="00C12F2C">
        <w:t>.</w:t>
      </w:r>
    </w:p>
    <w:p w14:paraId="31990BE9" w14:textId="4EAE3130" w:rsidR="00C12F2C" w:rsidRDefault="00C12F2C" w:rsidP="00DC35CC">
      <w:pPr>
        <w:pStyle w:val="Level1"/>
      </w:pPr>
      <w:r>
        <w:t>For the purposes of this current study, it has been agreed that the 201</w:t>
      </w:r>
      <w:r w:rsidR="00DC35CC">
        <w:t>3</w:t>
      </w:r>
      <w:r>
        <w:t xml:space="preserve"> retail study quantitative need forecasts would be updated using: (A) the latest available retail expenditure forecasts; and (B) informed by new empirical research.  </w:t>
      </w:r>
      <w:r w:rsidRPr="007508C7">
        <w:t xml:space="preserve">This </w:t>
      </w:r>
      <w:r>
        <w:t>sub-</w:t>
      </w:r>
      <w:r w:rsidRPr="007508C7">
        <w:t xml:space="preserve">section outlines the various data sources and assumptions which have been adopted </w:t>
      </w:r>
      <w:proofErr w:type="gramStart"/>
      <w:r>
        <w:t>i</w:t>
      </w:r>
      <w:r w:rsidRPr="007508C7">
        <w:t>n order to</w:t>
      </w:r>
      <w:proofErr w:type="gramEnd"/>
      <w:r w:rsidRPr="007508C7">
        <w:t xml:space="preserve"> prepare our quantitative need forecasts.  </w:t>
      </w:r>
    </w:p>
    <w:p w14:paraId="576AC37C" w14:textId="77777777" w:rsidR="00C12F2C" w:rsidRDefault="00C12F2C" w:rsidP="00DC35CC">
      <w:pPr>
        <w:pStyle w:val="Level1"/>
      </w:pPr>
      <w:r w:rsidRPr="00B71324">
        <w:t xml:space="preserve">Quantitative need is conventionally measured as expenditure capacity, </w:t>
      </w:r>
      <w:proofErr w:type="gramStart"/>
      <w:r w:rsidRPr="00B71324">
        <w:t>i.e.</w:t>
      </w:r>
      <w:proofErr w:type="gramEnd"/>
      <w:r w:rsidRPr="00B71324">
        <w:t xml:space="preserve"> the balance between the turnover capacity of existing facilities and available expenditure in any given area. Expenditure capacity, or ‘quantitative need’ can arise </w:t>
      </w:r>
      <w:proofErr w:type="gramStart"/>
      <w:r w:rsidRPr="00B71324">
        <w:t>as a result of</w:t>
      </w:r>
      <w:proofErr w:type="gramEnd"/>
      <w:r w:rsidRPr="00B71324">
        <w:t xml:space="preserve"> forecast expenditure growth (either through population growth or increases in spending), or by identification of an imbalance </w:t>
      </w:r>
      <w:r w:rsidRPr="00DC35CC">
        <w:t>between</w:t>
      </w:r>
      <w:r w:rsidRPr="00B71324">
        <w:t xml:space="preserve"> the existing facilities and current level of expenditure available in an area.</w:t>
      </w:r>
    </w:p>
    <w:p w14:paraId="35DA3DB8" w14:textId="77777777" w:rsidR="00C12F2C" w:rsidRPr="007508C7" w:rsidRDefault="00C12F2C" w:rsidP="00DC35CC">
      <w:pPr>
        <w:pStyle w:val="Level1"/>
      </w:pPr>
      <w:r w:rsidRPr="007508C7">
        <w:t>Quantitative capacity forecasts are reliant on a series of data sources which are regularly updated in response to various factors including UK economic forecasts and the performance of retailers.  The section covers the following areas:</w:t>
      </w:r>
    </w:p>
    <w:p w14:paraId="107E953D" w14:textId="77777777" w:rsidR="00C12F2C" w:rsidRPr="007508C7" w:rsidRDefault="00C12F2C" w:rsidP="00DC35CC">
      <w:pPr>
        <w:pStyle w:val="ListBullet"/>
      </w:pPr>
      <w:r w:rsidRPr="007508C7">
        <w:t>Study area</w:t>
      </w:r>
    </w:p>
    <w:p w14:paraId="632FED05" w14:textId="77777777" w:rsidR="00C12F2C" w:rsidRPr="007508C7" w:rsidRDefault="00C12F2C" w:rsidP="00DC35CC">
      <w:pPr>
        <w:pStyle w:val="ListBullet"/>
      </w:pPr>
      <w:r w:rsidRPr="007508C7">
        <w:t>Population data</w:t>
      </w:r>
    </w:p>
    <w:p w14:paraId="40A4CAEF" w14:textId="77777777" w:rsidR="00C12F2C" w:rsidRPr="007508C7" w:rsidRDefault="00C12F2C" w:rsidP="00DC35CC">
      <w:pPr>
        <w:pStyle w:val="ListBullet"/>
      </w:pPr>
      <w:r w:rsidRPr="007508C7">
        <w:t>Per capita retail expenditure forecasts</w:t>
      </w:r>
    </w:p>
    <w:p w14:paraId="0D09FECE" w14:textId="77777777" w:rsidR="00C12F2C" w:rsidRPr="007508C7" w:rsidRDefault="00C12F2C" w:rsidP="00DC35CC">
      <w:pPr>
        <w:pStyle w:val="ListBullet"/>
      </w:pPr>
      <w:r w:rsidRPr="007508C7">
        <w:t>Data on shopping patterns for convenience and comparison goods shopping</w:t>
      </w:r>
    </w:p>
    <w:p w14:paraId="5380DF5B" w14:textId="77777777" w:rsidR="00C12F2C" w:rsidRDefault="00C12F2C" w:rsidP="00DC35CC">
      <w:pPr>
        <w:pStyle w:val="ListBullet"/>
      </w:pPr>
      <w:r w:rsidRPr="007508C7">
        <w:t>Commitments for retail floorspace</w:t>
      </w:r>
    </w:p>
    <w:p w14:paraId="12057A95" w14:textId="77777777" w:rsidR="00C12F2C" w:rsidRPr="007508C7" w:rsidRDefault="00C12F2C" w:rsidP="00DC35CC">
      <w:pPr>
        <w:pStyle w:val="ListBullet"/>
      </w:pPr>
      <w:r>
        <w:t>Floorspace efficiency levels</w:t>
      </w:r>
    </w:p>
    <w:p w14:paraId="773C5568" w14:textId="77777777" w:rsidR="00C12F2C" w:rsidRDefault="00C12F2C" w:rsidP="00DC35CC">
      <w:pPr>
        <w:pStyle w:val="ListBullet"/>
      </w:pPr>
      <w:r w:rsidRPr="007508C7">
        <w:t>Benchmark turnover levels of existing and committed retail floorspace</w:t>
      </w:r>
    </w:p>
    <w:p w14:paraId="60A56839" w14:textId="77777777" w:rsidR="00C12F2C" w:rsidRDefault="00C12F2C" w:rsidP="00DC35CC">
      <w:pPr>
        <w:pStyle w:val="ListBullet"/>
      </w:pPr>
      <w:r>
        <w:t>The timeframe for the assessment and the use of the quantitative capacity forecasts</w:t>
      </w:r>
    </w:p>
    <w:p w14:paraId="2BC3D75A" w14:textId="77777777" w:rsidR="00DC35CC" w:rsidRDefault="00C12F2C" w:rsidP="004C3C1A">
      <w:pPr>
        <w:pStyle w:val="Level1"/>
      </w:pPr>
      <w:r w:rsidRPr="007508C7">
        <w:t xml:space="preserve">Given the scale of </w:t>
      </w:r>
      <w:r w:rsidR="00DC35CC">
        <w:t>Torbay</w:t>
      </w:r>
      <w:r>
        <w:t>, along with its wider catchment</w:t>
      </w:r>
      <w:r w:rsidRPr="007508C7">
        <w:t xml:space="preserve">, the study area for this assessment is required to be necessarily large.  The </w:t>
      </w:r>
      <w:r>
        <w:t xml:space="preserve">study area will need to capture shopping patterns associated with each of the main town centres and the average spending levels of those </w:t>
      </w:r>
      <w:r w:rsidRPr="00F27B6A">
        <w:t xml:space="preserve">people who use these centres.  </w:t>
      </w:r>
      <w:r w:rsidR="00DC35CC">
        <w:t xml:space="preserve">This requires the study area to extend beyond the Torbay administrative area in order that data on all relevant shopping patterns is gathered.  </w:t>
      </w:r>
      <w:r w:rsidRPr="00F27B6A">
        <w:t xml:space="preserve">A plan showing the extent of the study area and the constituent sub-zones is </w:t>
      </w:r>
      <w:r w:rsidRPr="007910D0">
        <w:t xml:space="preserve">contained at </w:t>
      </w:r>
      <w:r w:rsidRPr="00B44051">
        <w:t>Appendix I</w:t>
      </w:r>
      <w:r w:rsidRPr="007910D0">
        <w:t xml:space="preserve"> to this</w:t>
      </w:r>
      <w:r>
        <w:t xml:space="preserve"> document</w:t>
      </w:r>
      <w:r w:rsidR="00DC35CC">
        <w:t xml:space="preserve">.  </w:t>
      </w:r>
    </w:p>
    <w:p w14:paraId="049CBB26" w14:textId="01BF87A8" w:rsidR="00C12F2C" w:rsidRDefault="00C12F2C" w:rsidP="004C3C1A">
      <w:pPr>
        <w:pStyle w:val="Level1"/>
      </w:pPr>
      <w:r>
        <w:lastRenderedPageBreak/>
        <w:t>The study area / household survey area covers the same geographic area as the exercise undertaken for the 201</w:t>
      </w:r>
      <w:r w:rsidR="00DC35CC">
        <w:t>3</w:t>
      </w:r>
      <w:r>
        <w:t xml:space="preserve"> retail study.  Like the 201</w:t>
      </w:r>
      <w:r w:rsidR="00DC35CC">
        <w:t>3</w:t>
      </w:r>
      <w:r>
        <w:t xml:space="preserve"> </w:t>
      </w:r>
      <w:r w:rsidR="00DC35CC">
        <w:t>study</w:t>
      </w:r>
      <w:r>
        <w:t>, the study area is based upon postcode sector areas.</w:t>
      </w:r>
    </w:p>
    <w:p w14:paraId="2BF87FAA" w14:textId="3788425C" w:rsidR="00C12F2C" w:rsidRDefault="00C12F2C" w:rsidP="00DC35CC">
      <w:pPr>
        <w:pStyle w:val="Level1"/>
      </w:pPr>
      <w:r>
        <w:t>As set out in Section 4 of this report, the 202</w:t>
      </w:r>
      <w:r w:rsidR="00DC35CC">
        <w:t>2</w:t>
      </w:r>
      <w:r>
        <w:t xml:space="preserve"> </w:t>
      </w:r>
      <w:r w:rsidRPr="00DC35CC">
        <w:t>household</w:t>
      </w:r>
      <w:r>
        <w:t xml:space="preserve"> survey has been structured to collect data on the following convenience and </w:t>
      </w:r>
      <w:proofErr w:type="gramStart"/>
      <w:r>
        <w:t>comparison shopping</w:t>
      </w:r>
      <w:proofErr w:type="gramEnd"/>
      <w:r>
        <w:t xml:space="preserve"> activities:</w:t>
      </w:r>
    </w:p>
    <w:p w14:paraId="774666EF" w14:textId="77777777" w:rsidR="00C12F2C" w:rsidRDefault="00C12F2C" w:rsidP="003817CB">
      <w:pPr>
        <w:pStyle w:val="ListBullet"/>
      </w:pPr>
      <w:r>
        <w:t>First choice and other main food shopping destinations</w:t>
      </w:r>
    </w:p>
    <w:p w14:paraId="62E7D848" w14:textId="77777777" w:rsidR="00C12F2C" w:rsidRDefault="00C12F2C" w:rsidP="003817CB">
      <w:pPr>
        <w:pStyle w:val="ListBullet"/>
      </w:pPr>
      <w:r>
        <w:t>First choice and other top-up food shopping destinations</w:t>
      </w:r>
    </w:p>
    <w:p w14:paraId="73612CED" w14:textId="77777777" w:rsidR="00C12F2C" w:rsidRDefault="00C12F2C" w:rsidP="003817CB">
      <w:pPr>
        <w:pStyle w:val="ListBullet"/>
      </w:pPr>
      <w:r>
        <w:t>First and second choice destinations for the following types of comparison goods:</w:t>
      </w:r>
    </w:p>
    <w:p w14:paraId="72057A14" w14:textId="77777777" w:rsidR="00C12F2C" w:rsidRDefault="00C12F2C" w:rsidP="003817CB">
      <w:pPr>
        <w:pStyle w:val="ListBullet"/>
        <w:numPr>
          <w:ilvl w:val="1"/>
          <w:numId w:val="5"/>
        </w:numPr>
      </w:pPr>
      <w:r>
        <w:t>Clothing and fashion goods</w:t>
      </w:r>
    </w:p>
    <w:p w14:paraId="57294661" w14:textId="77777777" w:rsidR="00C12F2C" w:rsidRDefault="00C12F2C" w:rsidP="003817CB">
      <w:pPr>
        <w:pStyle w:val="ListBullet"/>
        <w:numPr>
          <w:ilvl w:val="1"/>
          <w:numId w:val="5"/>
        </w:numPr>
      </w:pPr>
      <w:r>
        <w:t xml:space="preserve">Furniture, </w:t>
      </w:r>
      <w:proofErr w:type="gramStart"/>
      <w:r>
        <w:t>floorcoverings</w:t>
      </w:r>
      <w:proofErr w:type="gramEnd"/>
      <w:r>
        <w:t xml:space="preserve"> and household textiles</w:t>
      </w:r>
    </w:p>
    <w:p w14:paraId="657DCD7B" w14:textId="77777777" w:rsidR="00C12F2C" w:rsidRDefault="00C12F2C" w:rsidP="003817CB">
      <w:pPr>
        <w:pStyle w:val="ListBullet"/>
        <w:numPr>
          <w:ilvl w:val="1"/>
          <w:numId w:val="5"/>
        </w:numPr>
      </w:pPr>
      <w:r>
        <w:t>DIY goods</w:t>
      </w:r>
    </w:p>
    <w:p w14:paraId="2640C426" w14:textId="77777777" w:rsidR="00C12F2C" w:rsidRDefault="00C12F2C" w:rsidP="003817CB">
      <w:pPr>
        <w:pStyle w:val="ListBullet"/>
        <w:numPr>
          <w:ilvl w:val="1"/>
          <w:numId w:val="5"/>
        </w:numPr>
      </w:pPr>
      <w:r>
        <w:t>Domestic appliances</w:t>
      </w:r>
    </w:p>
    <w:p w14:paraId="1DB19ED4" w14:textId="77777777" w:rsidR="00C12F2C" w:rsidRDefault="00C12F2C" w:rsidP="003817CB">
      <w:pPr>
        <w:pStyle w:val="ListBullet"/>
        <w:numPr>
          <w:ilvl w:val="1"/>
          <w:numId w:val="5"/>
        </w:numPr>
      </w:pPr>
      <w:r>
        <w:t>Smaller electrical goods</w:t>
      </w:r>
    </w:p>
    <w:p w14:paraId="4226E742" w14:textId="77777777" w:rsidR="00C12F2C" w:rsidRDefault="00C12F2C" w:rsidP="003817CB">
      <w:pPr>
        <w:pStyle w:val="ListBullet"/>
        <w:numPr>
          <w:ilvl w:val="1"/>
          <w:numId w:val="5"/>
        </w:numPr>
      </w:pPr>
      <w:r>
        <w:t>Health and beauty goods</w:t>
      </w:r>
    </w:p>
    <w:p w14:paraId="6982AA50" w14:textId="77777777" w:rsidR="00C12F2C" w:rsidRDefault="00C12F2C" w:rsidP="003817CB">
      <w:pPr>
        <w:pStyle w:val="ListBullet"/>
        <w:numPr>
          <w:ilvl w:val="1"/>
          <w:numId w:val="5"/>
        </w:numPr>
      </w:pPr>
      <w:r>
        <w:t>Recreation and luxury goods</w:t>
      </w:r>
    </w:p>
    <w:p w14:paraId="2BD713BD" w14:textId="53051685" w:rsidR="00C12F2C" w:rsidRDefault="00C12F2C" w:rsidP="003817CB">
      <w:pPr>
        <w:pStyle w:val="Level1"/>
      </w:pPr>
      <w:r>
        <w:t xml:space="preserve">The results of the household survey have been weighted against the age profile of each individual zone and have been </w:t>
      </w:r>
      <w:r w:rsidRPr="00F27B6A">
        <w:t xml:space="preserve">summarised in Table 4 at Appendix </w:t>
      </w:r>
      <w:r w:rsidR="00516D6A">
        <w:t>XVII</w:t>
      </w:r>
      <w:r w:rsidRPr="00F27B6A">
        <w:t xml:space="preserve"> (for convenience goods shopping) and Table 6 at Appendix II (for comparison goods shopping).</w:t>
      </w:r>
    </w:p>
    <w:p w14:paraId="751D0BB4" w14:textId="3852BC7D" w:rsidR="00C12F2C" w:rsidRDefault="00C12F2C" w:rsidP="003817CB">
      <w:pPr>
        <w:pStyle w:val="Level1"/>
      </w:pPr>
      <w:r>
        <w:t xml:space="preserve">For the purposes of our assessment, and </w:t>
      </w:r>
      <w:proofErr w:type="gramStart"/>
      <w:r>
        <w:t>in order to</w:t>
      </w:r>
      <w:proofErr w:type="gramEnd"/>
      <w:r>
        <w:t xml:space="preserve"> provide consistency with the 201</w:t>
      </w:r>
      <w:r w:rsidR="003817CB">
        <w:t>3</w:t>
      </w:r>
      <w:r>
        <w:t xml:space="preserve"> retail study assessment, ‘don’t know’, internet/on-line, and ‘don’t do’ responses have been removed from the results and the market share data re-based</w:t>
      </w:r>
      <w:r w:rsidR="007910D0">
        <w:rPr>
          <w:rStyle w:val="FootnoteReference"/>
        </w:rPr>
        <w:footnoteReference w:id="28"/>
      </w:r>
      <w:r>
        <w:t xml:space="preserve">.  </w:t>
      </w:r>
    </w:p>
    <w:p w14:paraId="00F357E6" w14:textId="77777777" w:rsidR="00C12F2C" w:rsidRDefault="00C12F2C" w:rsidP="003817CB">
      <w:pPr>
        <w:pStyle w:val="Level1"/>
      </w:pPr>
      <w:r w:rsidRPr="007508C7">
        <w:t xml:space="preserve">The timeframe for </w:t>
      </w:r>
      <w:r>
        <w:t xml:space="preserve">the new assessment extends from the year in which the town centre strategy document is intended to be published (2022) to 2040, with interim forecasts for 2027 and 2032.  </w:t>
      </w:r>
    </w:p>
    <w:p w14:paraId="4B2DFB0F" w14:textId="77777777" w:rsidR="00D35413" w:rsidRDefault="00C12F2C" w:rsidP="00DC19DC">
      <w:pPr>
        <w:pStyle w:val="Level1"/>
      </w:pPr>
      <w:r>
        <w:t>The current version of the NPPF indicates that local authorities should</w:t>
      </w:r>
      <w:r w:rsidR="00D35413">
        <w:t>:</w:t>
      </w:r>
    </w:p>
    <w:p w14:paraId="127FC7D5" w14:textId="443BF4DF" w:rsidR="00C12F2C" w:rsidRPr="00DC74CD" w:rsidRDefault="00C12F2C" w:rsidP="00D35413">
      <w:pPr>
        <w:pStyle w:val="Level1"/>
        <w:numPr>
          <w:ilvl w:val="0"/>
          <w:numId w:val="0"/>
        </w:numPr>
        <w:ind w:left="1440"/>
        <w:jc w:val="both"/>
      </w:pPr>
      <w:r w:rsidRPr="00DC19DC">
        <w:rPr>
          <w:i/>
          <w:iCs/>
        </w:rPr>
        <w:t>“</w:t>
      </w:r>
      <w:proofErr w:type="gramStart"/>
      <w:r w:rsidRPr="00DC19DC">
        <w:rPr>
          <w:i/>
          <w:iCs/>
        </w:rPr>
        <w:t>allocate</w:t>
      </w:r>
      <w:proofErr w:type="gramEnd"/>
      <w:r w:rsidRPr="00DC19DC">
        <w:rPr>
          <w:i/>
          <w:iCs/>
        </w:rPr>
        <w:t xml:space="preserve"> a range of suitable sites in town centres to meet the scale and type of development likely to be needed, </w:t>
      </w:r>
      <w:r w:rsidRPr="00DC19DC">
        <w:rPr>
          <w:i/>
          <w:iCs/>
          <w:u w:val="single"/>
        </w:rPr>
        <w:t>looking at least ten years ahead</w:t>
      </w:r>
      <w:r w:rsidRPr="00DC19DC">
        <w:rPr>
          <w:i/>
          <w:iCs/>
        </w:rPr>
        <w:t>”</w:t>
      </w:r>
      <w:r w:rsidR="00DC19DC">
        <w:rPr>
          <w:rStyle w:val="FootnoteReference"/>
          <w:i/>
          <w:iCs/>
        </w:rPr>
        <w:footnoteReference w:id="29"/>
      </w:r>
      <w:r w:rsidRPr="00DC19DC">
        <w:rPr>
          <w:i/>
          <w:iCs/>
        </w:rPr>
        <w:t xml:space="preserve">.  </w:t>
      </w:r>
      <w:r>
        <w:t xml:space="preserve">The PPG also notes, in relation to the preparation of town centre strategies, that </w:t>
      </w:r>
      <w:r w:rsidRPr="00DC19DC">
        <w:rPr>
          <w:i/>
          <w:iCs/>
        </w:rPr>
        <w:t>“</w:t>
      </w:r>
      <w:r w:rsidRPr="00DC19DC">
        <w:rPr>
          <w:i/>
          <w:iCs/>
          <w:szCs w:val="18"/>
        </w:rPr>
        <w:t>Given the uncertainty in forecasting long-term retail trends and consumer behaviour, this assessment may need to focus on a limited period (such as the next five years) but will also need to take the lifetime of the plan into account and be regularly reviewed</w:t>
      </w:r>
      <w:r w:rsidRPr="008918EF">
        <w:rPr>
          <w:szCs w:val="18"/>
        </w:rPr>
        <w:t>”</w:t>
      </w:r>
      <w:r>
        <w:rPr>
          <w:szCs w:val="18"/>
        </w:rPr>
        <w:t>.</w:t>
      </w:r>
    </w:p>
    <w:p w14:paraId="4B21EF7A" w14:textId="643D533E" w:rsidR="00C12F2C" w:rsidRPr="001400FD" w:rsidRDefault="00C12F2C" w:rsidP="00DC19DC">
      <w:pPr>
        <w:pStyle w:val="Level1"/>
      </w:pPr>
      <w:r w:rsidRPr="00FA6971">
        <w:t xml:space="preserve">Therefore, there is no </w:t>
      </w:r>
      <w:r w:rsidRPr="00DC19DC">
        <w:t>compulsory</w:t>
      </w:r>
      <w:r w:rsidRPr="00FA6971">
        <w:t xml:space="preserve"> requirement for this quantitative assessment to run all the way to 20</w:t>
      </w:r>
      <w:r>
        <w:t>40</w:t>
      </w:r>
      <w:r w:rsidRPr="00FA6971">
        <w:t xml:space="preserve"> although we have done so </w:t>
      </w:r>
      <w:proofErr w:type="gramStart"/>
      <w:r w:rsidRPr="00FA6971">
        <w:t>in order to</w:t>
      </w:r>
      <w:proofErr w:type="gramEnd"/>
      <w:r w:rsidRPr="00FA6971">
        <w:t xml:space="preserve"> provide some broad informal guidance</w:t>
      </w:r>
      <w:r>
        <w:t>, with 2022</w:t>
      </w:r>
      <w:r w:rsidR="006767BC">
        <w:t>, 2027</w:t>
      </w:r>
      <w:r>
        <w:t xml:space="preserve"> and 2032 forecasts provided in order to meet NPPF policy and NPPG guidance</w:t>
      </w:r>
      <w:r w:rsidRPr="00FA6971">
        <w:t>.</w:t>
      </w:r>
    </w:p>
    <w:p w14:paraId="6FECEA08" w14:textId="77777777" w:rsidR="00C12F2C" w:rsidRPr="00F371DC" w:rsidRDefault="00C12F2C" w:rsidP="00DC19DC">
      <w:pPr>
        <w:pStyle w:val="Level1"/>
      </w:pPr>
      <w:r w:rsidRPr="00FA6971">
        <w:t xml:space="preserve">However, it should be noted when absorbing the </w:t>
      </w:r>
      <w:r w:rsidRPr="00DC19DC">
        <w:t>content</w:t>
      </w:r>
      <w:r w:rsidRPr="00FA6971">
        <w:t xml:space="preserve"> of our quantitative assessment that the forecasts will become less reliable over time due to nature of the economic forecasts which will be influenced by external factors some of which will be unforeseen.  As a consequence, we would recommend that the first five years of the assessment is the focus for the retail strategy (</w:t>
      </w:r>
      <w:proofErr w:type="gramStart"/>
      <w:r w:rsidRPr="00FA6971">
        <w:t>i.e.</w:t>
      </w:r>
      <w:proofErr w:type="gramEnd"/>
      <w:r w:rsidRPr="00FA6971">
        <w:t xml:space="preserve"> up to 202</w:t>
      </w:r>
      <w:r>
        <w:t>7</w:t>
      </w:r>
      <w:r w:rsidRPr="00FA6971">
        <w:t xml:space="preserve">). </w:t>
      </w:r>
    </w:p>
    <w:p w14:paraId="66A0523C" w14:textId="269CB5E9" w:rsidR="00C12F2C" w:rsidRPr="009963EC" w:rsidRDefault="00C12F2C" w:rsidP="00DC19DC">
      <w:pPr>
        <w:pStyle w:val="Level1"/>
      </w:pPr>
      <w:r w:rsidRPr="009963EC">
        <w:t>In line with the approach taken in the 201</w:t>
      </w:r>
      <w:r w:rsidR="00812A68">
        <w:t>3</w:t>
      </w:r>
      <w:r>
        <w:t xml:space="preserve"> retail</w:t>
      </w:r>
      <w:r w:rsidRPr="009963EC">
        <w:t xml:space="preserve"> </w:t>
      </w:r>
      <w:r>
        <w:t>s</w:t>
      </w:r>
      <w:r w:rsidRPr="009963EC">
        <w:t xml:space="preserve">tudy, our quantitative need assessment adopts </w:t>
      </w:r>
      <w:r w:rsidRPr="0022319A">
        <w:rPr>
          <w:b/>
          <w:bCs/>
        </w:rPr>
        <w:t>population forecasts</w:t>
      </w:r>
      <w:r w:rsidRPr="009963EC">
        <w:t xml:space="preserve"> provided by Experian.  Population levels for each of the study area zones are shown in Table 1 at Appendix </w:t>
      </w:r>
      <w:r w:rsidR="006767BC">
        <w:t>XV</w:t>
      </w:r>
      <w:r w:rsidRPr="009963EC">
        <w:t xml:space="preserve">II. </w:t>
      </w:r>
      <w:r>
        <w:t xml:space="preserve"> </w:t>
      </w:r>
    </w:p>
    <w:p w14:paraId="1E346F21" w14:textId="77777777" w:rsidR="006767BC" w:rsidRDefault="00C12F2C" w:rsidP="00812A68">
      <w:pPr>
        <w:pStyle w:val="Level1"/>
      </w:pPr>
      <w:r w:rsidRPr="00B42BCF">
        <w:lastRenderedPageBreak/>
        <w:t xml:space="preserve">New </w:t>
      </w:r>
      <w:r w:rsidRPr="0022319A">
        <w:rPr>
          <w:b/>
          <w:bCs/>
        </w:rPr>
        <w:t>per capita retail expenditure data</w:t>
      </w:r>
      <w:r w:rsidRPr="00B42BCF">
        <w:t xml:space="preserve"> has been obtained from Experian</w:t>
      </w:r>
      <w:r>
        <w:rPr>
          <w:rStyle w:val="FootnoteReference"/>
          <w:szCs w:val="18"/>
        </w:rPr>
        <w:footnoteReference w:id="30"/>
      </w:r>
      <w:r w:rsidRPr="00B42BCF">
        <w:t>.  Th</w:t>
      </w:r>
      <w:r>
        <w:t>e data provided is set at a 202</w:t>
      </w:r>
      <w:r w:rsidR="007E3325">
        <w:t>1</w:t>
      </w:r>
      <w:r w:rsidRPr="00B42BCF">
        <w:t xml:space="preserve"> base level and has been projected forward based upon the forecast change in per capita retail expenditure for convenience and comparison goods is based upon advice within Experian’s</w:t>
      </w:r>
      <w:r>
        <w:t xml:space="preserve"> Retail Planner Briefing Note 19, published in January 2022</w:t>
      </w:r>
      <w:r w:rsidRPr="00B42BCF">
        <w:t>.</w:t>
      </w:r>
      <w:r>
        <w:t xml:space="preserve">  These latest forecasts </w:t>
      </w:r>
      <w:proofErr w:type="gramStart"/>
      <w:r>
        <w:t>take into account</w:t>
      </w:r>
      <w:proofErr w:type="gramEnd"/>
      <w:r>
        <w:t xml:space="preserve">, at the time of finalising this report, the latest available data on the potential implications of the COVID-19 pandemic on the retail sector.  </w:t>
      </w:r>
    </w:p>
    <w:p w14:paraId="52680DD9" w14:textId="64FB77EB" w:rsidR="00C12F2C" w:rsidRDefault="007E3325" w:rsidP="00812A68">
      <w:pPr>
        <w:pStyle w:val="Level1"/>
      </w:pPr>
      <w:r>
        <w:t xml:space="preserve">However, it should be noted that </w:t>
      </w:r>
      <w:r w:rsidR="00F351D3">
        <w:t xml:space="preserve">the Experian forecasts were published before Russia’s invasion of Ukraine and the full extent of the effect of that war were forecast / understood.  Moreover, the forecasts do not </w:t>
      </w:r>
      <w:proofErr w:type="gramStart"/>
      <w:r w:rsidR="00F351D3">
        <w:t>take into account</w:t>
      </w:r>
      <w:proofErr w:type="gramEnd"/>
      <w:r w:rsidR="00F351D3">
        <w:t xml:space="preserve"> the current worsening economic situation in the UK, Europe and, arguably, across the world as a consequence of the Ukraine war and its impact upon global fuel prices and inflationary pressures.  </w:t>
      </w:r>
      <w:proofErr w:type="gramStart"/>
      <w:r w:rsidR="00F351D3">
        <w:t>As a consequence</w:t>
      </w:r>
      <w:proofErr w:type="gramEnd"/>
      <w:r w:rsidR="00F351D3">
        <w:t xml:space="preserve">, </w:t>
      </w:r>
      <w:r w:rsidR="00902AE6">
        <w:t xml:space="preserve">the economic forecasts contained within this assessment should be used with some caution, given that </w:t>
      </w:r>
      <w:r w:rsidR="0022319A">
        <w:t>it is currently unclear how long the short term pressures on inflation, interest rates and the ‘cost of living’ will continue beyond 2022 and 2023.</w:t>
      </w:r>
    </w:p>
    <w:p w14:paraId="7CE80DED" w14:textId="4F9F0252" w:rsidR="00C12F2C" w:rsidRDefault="00C12F2C" w:rsidP="0022319A">
      <w:pPr>
        <w:pStyle w:val="Level1"/>
      </w:pPr>
      <w:r w:rsidRPr="00B42BCF">
        <w:t xml:space="preserve">Per capita </w:t>
      </w:r>
      <w:r w:rsidRPr="0022319A">
        <w:t>retail</w:t>
      </w:r>
      <w:r w:rsidRPr="00B42BCF">
        <w:t xml:space="preserve"> expenditure for convenience and comparison goods is show</w:t>
      </w:r>
      <w:r>
        <w:t xml:space="preserve">n in Tables 2a-2d at Appendix </w:t>
      </w:r>
      <w:r w:rsidR="006767BC">
        <w:t>XV</w:t>
      </w:r>
      <w:r>
        <w:t>II for 2022, 2027, 2032 and 2040</w:t>
      </w:r>
      <w:r w:rsidRPr="00B42BCF">
        <w:t>.</w:t>
      </w:r>
    </w:p>
    <w:p w14:paraId="3408EB17" w14:textId="610842CC" w:rsidR="007C5AC8" w:rsidRDefault="007C5AC8" w:rsidP="007C5AC8">
      <w:pPr>
        <w:pStyle w:val="Level1"/>
      </w:pPr>
      <w:r>
        <w:t xml:space="preserve">As noted above, the </w:t>
      </w:r>
      <w:r w:rsidRPr="007C5AC8">
        <w:rPr>
          <w:b/>
          <w:bCs/>
        </w:rPr>
        <w:t>current market share levels</w:t>
      </w:r>
      <w:r>
        <w:t xml:space="preserve"> shown in the 2022 baseline analysis are taken from the household survey commissioned for this Study (and conducted in early 2022).  </w:t>
      </w:r>
      <w:r w:rsidR="00550F00">
        <w:t xml:space="preserve">The data </w:t>
      </w:r>
      <w:r w:rsidR="004F6D4D">
        <w:t>has been summarised to show the market share of the main stores and the town/district centres in each of the three settlements</w:t>
      </w:r>
      <w:r w:rsidR="009E4539">
        <w:t xml:space="preserve"> for first and second choice shopping destinations, along with a ‘summary’ total for other facilities in each settlement.  This is shown in Table 4 for convenience goods shopping and Table 6 for comparison goods shopping.</w:t>
      </w:r>
    </w:p>
    <w:p w14:paraId="7B814385" w14:textId="3E12202C" w:rsidR="007C5AC8" w:rsidRPr="00BA2F65" w:rsidRDefault="009E4539" w:rsidP="007C5AC8">
      <w:pPr>
        <w:pStyle w:val="Level1"/>
      </w:pPr>
      <w:r>
        <w:t xml:space="preserve">The market share levels in Tables 4 and 6 are then translated into study area derived turnover levels by applying this data to available convenience and comparison goods expenditure (by category) in Table 3.  This is contained in Tables 5a-5b for convenience goods and Tables 7a-7d for comparison goods.  The same structure </w:t>
      </w:r>
      <w:r w:rsidR="00A454BA">
        <w:t xml:space="preserve">as Tables 4 and 6 is adopted </w:t>
      </w:r>
      <w:proofErr w:type="gramStart"/>
      <w:r w:rsidR="00A454BA">
        <w:t>in order to</w:t>
      </w:r>
      <w:proofErr w:type="gramEnd"/>
      <w:r w:rsidR="00A454BA">
        <w:t xml:space="preserve"> show the amount of expenditure which each </w:t>
      </w:r>
      <w:r w:rsidR="00A454BA" w:rsidRPr="00BA2F65">
        <w:t>destination gains from each of the study area zones and also first and second choice shopping trips.</w:t>
      </w:r>
    </w:p>
    <w:p w14:paraId="0F46C71D" w14:textId="6F1C902C" w:rsidR="00A454BA" w:rsidRPr="00B44051" w:rsidRDefault="00C12F2C" w:rsidP="006767BC">
      <w:pPr>
        <w:pStyle w:val="Level1"/>
      </w:pPr>
      <w:r w:rsidRPr="00BA2F65">
        <w:t xml:space="preserve">As part of the assessment of future quantitative retail floorspace need it is important to include any significant </w:t>
      </w:r>
      <w:r w:rsidRPr="00BA2F65">
        <w:rPr>
          <w:b/>
          <w:bCs/>
        </w:rPr>
        <w:t>commitments</w:t>
      </w:r>
      <w:r w:rsidRPr="00BA2F65">
        <w:t xml:space="preserve">. Therefore, data on retail and other main town centre land use commitments has been provided by the Council.  This data has been reviewed and we have </w:t>
      </w:r>
      <w:r w:rsidR="005329AD" w:rsidRPr="00BA2F65">
        <w:t xml:space="preserve">incorporate the relevant floorspace commitments into the specific convenience and comparison goods floorspace assessments for each main settlement.  </w:t>
      </w:r>
      <w:r w:rsidR="00A454BA" w:rsidRPr="00BA2F65">
        <w:t>T</w:t>
      </w:r>
      <w:r w:rsidR="00A454BA" w:rsidRPr="00B44051">
        <w:t>he main commitments included in the assessment are:</w:t>
      </w:r>
    </w:p>
    <w:p w14:paraId="547241DF" w14:textId="19F5D3DA" w:rsidR="00A20508" w:rsidRPr="00B44051" w:rsidRDefault="00681DE2" w:rsidP="00A20508">
      <w:pPr>
        <w:pStyle w:val="ListBullet"/>
        <w:numPr>
          <w:ilvl w:val="1"/>
          <w:numId w:val="5"/>
        </w:numPr>
      </w:pPr>
      <w:proofErr w:type="spellStart"/>
      <w:r w:rsidRPr="00B44051">
        <w:t>Ker</w:t>
      </w:r>
      <w:r w:rsidR="000F6300" w:rsidRPr="00B44051">
        <w:t>swell</w:t>
      </w:r>
      <w:proofErr w:type="spellEnd"/>
      <w:r w:rsidR="000F6300" w:rsidRPr="00B44051">
        <w:t xml:space="preserve"> Gardens, Torquay Gateway</w:t>
      </w:r>
      <w:r w:rsidR="001A2D88" w:rsidRPr="00B44051">
        <w:t xml:space="preserve">:  </w:t>
      </w:r>
      <w:r w:rsidR="00B97C3A" w:rsidRPr="00B44051">
        <w:t>1</w:t>
      </w:r>
      <w:r w:rsidR="00AA00F4" w:rsidRPr="00B44051">
        <w:t>,</w:t>
      </w:r>
      <w:r w:rsidR="00B97C3A" w:rsidRPr="00B44051">
        <w:t xml:space="preserve">315sq m </w:t>
      </w:r>
      <w:r w:rsidR="001C36F6" w:rsidRPr="00B44051">
        <w:t xml:space="preserve">(net) </w:t>
      </w:r>
      <w:r w:rsidR="00B97C3A" w:rsidRPr="00B44051">
        <w:t xml:space="preserve">convenience store, of which no more than 20% </w:t>
      </w:r>
      <w:r w:rsidR="00645DF0" w:rsidRPr="00B44051">
        <w:t>comparison goods</w:t>
      </w:r>
      <w:r w:rsidR="00A20508" w:rsidRPr="00B44051">
        <w:t xml:space="preserve"> (Aldi)</w:t>
      </w:r>
      <w:r w:rsidR="00645DF0" w:rsidRPr="00B44051">
        <w:t xml:space="preserve">.  Drive through coffee shop of 167sq m.  Approved </w:t>
      </w:r>
      <w:r w:rsidR="00A20508" w:rsidRPr="00B44051">
        <w:t>10</w:t>
      </w:r>
      <w:r w:rsidR="00A20508" w:rsidRPr="00B44051">
        <w:rPr>
          <w:vertAlign w:val="superscript"/>
        </w:rPr>
        <w:t>th</w:t>
      </w:r>
      <w:r w:rsidR="00A20508" w:rsidRPr="00B44051">
        <w:t xml:space="preserve"> February 2022.</w:t>
      </w:r>
      <w:r w:rsidR="00AA5E44" w:rsidRPr="00B44051">
        <w:t xml:space="preserve">  Site preparation works underway in September 2022. </w:t>
      </w:r>
    </w:p>
    <w:p w14:paraId="00840B12" w14:textId="06CCFF02" w:rsidR="00A20508" w:rsidRPr="00B44051" w:rsidRDefault="001C36F6" w:rsidP="00A20508">
      <w:pPr>
        <w:pStyle w:val="ListBullet"/>
        <w:numPr>
          <w:ilvl w:val="1"/>
          <w:numId w:val="5"/>
        </w:numPr>
      </w:pPr>
      <w:r w:rsidRPr="00B44051">
        <w:t>Great Parks</w:t>
      </w:r>
      <w:r w:rsidR="00E145B6" w:rsidRPr="00B44051">
        <w:t>, Kings Ash Road</w:t>
      </w:r>
      <w:r w:rsidRPr="00B44051">
        <w:t>, Paignton</w:t>
      </w:r>
      <w:r w:rsidR="006651FF" w:rsidRPr="00B44051">
        <w:t xml:space="preserve">. </w:t>
      </w:r>
      <w:r w:rsidR="001C0937" w:rsidRPr="00B44051">
        <w:t xml:space="preserve"> </w:t>
      </w:r>
      <w:r w:rsidR="00277C65" w:rsidRPr="00B44051">
        <w:t>1,410sq m net trading area convenience store</w:t>
      </w:r>
      <w:r w:rsidR="00506AEA" w:rsidRPr="00B44051">
        <w:t xml:space="preserve">, and two smaller units of 87 </w:t>
      </w:r>
      <w:proofErr w:type="spellStart"/>
      <w:r w:rsidR="00506AEA" w:rsidRPr="00B44051">
        <w:t>sq</w:t>
      </w:r>
      <w:proofErr w:type="spellEnd"/>
      <w:r w:rsidR="00506AEA" w:rsidRPr="00B44051">
        <w:t xml:space="preserve"> m.</w:t>
      </w:r>
      <w:r w:rsidR="00E145B6" w:rsidRPr="00B44051">
        <w:t xml:space="preserve"> Approved </w:t>
      </w:r>
      <w:r w:rsidR="00AA5E44" w:rsidRPr="00B44051">
        <w:t xml:space="preserve">2022 and under construction. </w:t>
      </w:r>
    </w:p>
    <w:p w14:paraId="28935362" w14:textId="77777777" w:rsidR="00E145B6" w:rsidRPr="003F5A85" w:rsidRDefault="00E145B6" w:rsidP="006767BC">
      <w:pPr>
        <w:pStyle w:val="ListBullet"/>
        <w:numPr>
          <w:ilvl w:val="0"/>
          <w:numId w:val="0"/>
        </w:numPr>
      </w:pPr>
    </w:p>
    <w:p w14:paraId="5EDC9F71" w14:textId="71193EF2" w:rsidR="00C12F2C" w:rsidRPr="002D7C67" w:rsidRDefault="00C12F2C" w:rsidP="005329AD">
      <w:pPr>
        <w:pStyle w:val="Level1"/>
      </w:pPr>
      <w:r w:rsidRPr="00762464">
        <w:t>Within the 201</w:t>
      </w:r>
      <w:r w:rsidR="00BD35E5">
        <w:t>3</w:t>
      </w:r>
      <w:r w:rsidRPr="00762464">
        <w:t xml:space="preserve"> retail study two different</w:t>
      </w:r>
      <w:r w:rsidRPr="002D7C67">
        <w:t xml:space="preserve"> approaches were taken for </w:t>
      </w:r>
      <w:r w:rsidRPr="00BD35E5">
        <w:rPr>
          <w:b/>
          <w:bCs/>
        </w:rPr>
        <w:t>benchmark turnover levels</w:t>
      </w:r>
      <w:r w:rsidRPr="002D7C67">
        <w:t xml:space="preserve"> for the convenience and comparison goods assessments.  For convenience goods floorspace, it is common for the benchmark turnover of a selection of existing floorspace to be calculated using the existing net floorspace and company average sales densities for individual national multiple retailers </w:t>
      </w:r>
      <w:r w:rsidRPr="002D7C67">
        <w:lastRenderedPageBreak/>
        <w:t xml:space="preserve">and an assumed average for other convenience goods floorspace in defined ‘town centres’ and elsewhere.  We remain with this approach in this </w:t>
      </w:r>
      <w:r>
        <w:t xml:space="preserve">assessment </w:t>
      </w:r>
      <w:r w:rsidRPr="002D7C67">
        <w:t>and have:</w:t>
      </w:r>
    </w:p>
    <w:p w14:paraId="50DD93E8" w14:textId="77777777" w:rsidR="00C12F2C" w:rsidRPr="00242F08" w:rsidRDefault="00C12F2C" w:rsidP="005335CB">
      <w:pPr>
        <w:pStyle w:val="ListBullet"/>
      </w:pPr>
      <w:r w:rsidRPr="007508C7">
        <w:t>updated the sales density information for named national multiple retailers using the latest research undertaken by Verdict and Mintel</w:t>
      </w:r>
      <w:r w:rsidRPr="007508C7">
        <w:rPr>
          <w:rStyle w:val="FootnoteReference"/>
          <w:szCs w:val="18"/>
        </w:rPr>
        <w:footnoteReference w:id="31"/>
      </w:r>
      <w:r w:rsidRPr="00242F08">
        <w:t>; and</w:t>
      </w:r>
    </w:p>
    <w:p w14:paraId="5F800DA9" w14:textId="77777777" w:rsidR="00C12F2C" w:rsidRPr="007508C7" w:rsidRDefault="00C12F2C" w:rsidP="005335CB">
      <w:pPr>
        <w:pStyle w:val="ListBullet"/>
      </w:pPr>
      <w:r>
        <w:t xml:space="preserve">including data on new store openings since the previous studies.  </w:t>
      </w:r>
    </w:p>
    <w:p w14:paraId="5D9C9CBF" w14:textId="7B1A98C1" w:rsidR="00C12F2C" w:rsidRPr="00AD35B8" w:rsidRDefault="00C12F2C" w:rsidP="005335CB">
      <w:pPr>
        <w:pStyle w:val="Level1"/>
      </w:pPr>
      <w:r w:rsidRPr="007508C7">
        <w:t xml:space="preserve">For the comparison goods assessment, </w:t>
      </w:r>
      <w:r>
        <w:t>the 201</w:t>
      </w:r>
      <w:r w:rsidR="005335CB">
        <w:t>3</w:t>
      </w:r>
      <w:r>
        <w:t xml:space="preserve"> retail study adopted an approach which assumed that the supply and demand was in equilibrium at the base year for the assessment (</w:t>
      </w:r>
      <w:proofErr w:type="gramStart"/>
      <w:r>
        <w:t>i.e.</w:t>
      </w:r>
      <w:proofErr w:type="gramEnd"/>
      <w:r>
        <w:t xml:space="preserve"> the level of actual comparison goods turnover/expenditure attracted to each settlement was the same as the benchmark turnover at the base year)</w:t>
      </w:r>
      <w:r>
        <w:rPr>
          <w:rStyle w:val="FootnoteReference"/>
          <w:szCs w:val="18"/>
        </w:rPr>
        <w:footnoteReference w:id="32"/>
      </w:r>
      <w:r>
        <w:t>.  This is a common approach and is used, in our experience, in circumstances where there is a lack of data on exiting floorspace / average sales density figures and / or where this is not a recent (previous) quantitative assessment which uses broadly the same parameters as the latest study.</w:t>
      </w:r>
    </w:p>
    <w:p w14:paraId="5C364452" w14:textId="3C68B66C" w:rsidR="00C12F2C" w:rsidRPr="000736BE" w:rsidRDefault="00C12F2C" w:rsidP="005335CB">
      <w:pPr>
        <w:pStyle w:val="Level1"/>
      </w:pPr>
      <w:r>
        <w:t>In this instance, the 201</w:t>
      </w:r>
      <w:r w:rsidR="005335CB">
        <w:t>3</w:t>
      </w:r>
      <w:r>
        <w:t xml:space="preserve"> retail study does provide that link and therefore it is possible to undertake an assessment which continues to utilise the benchmark turnovers devised and agreed for the purposes of the 201</w:t>
      </w:r>
      <w:r w:rsidR="005335CB">
        <w:t>3</w:t>
      </w:r>
      <w:r>
        <w:t xml:space="preserve"> study.  However, as a sensitivity test, we have also undertaken an alternative assessment which adopts the same approach as the 201</w:t>
      </w:r>
      <w:r w:rsidR="005335CB">
        <w:t>3</w:t>
      </w:r>
      <w:r>
        <w:t xml:space="preserve"> study – </w:t>
      </w:r>
      <w:proofErr w:type="gramStart"/>
      <w:r>
        <w:t>i.e.</w:t>
      </w:r>
      <w:proofErr w:type="gramEnd"/>
      <w:r>
        <w:t xml:space="preserve"> actual turnover equals benchmark turnover at the base year of 2022.</w:t>
      </w:r>
    </w:p>
    <w:p w14:paraId="623F4209" w14:textId="77777777" w:rsidR="00C12F2C" w:rsidRDefault="00C12F2C" w:rsidP="005335CB">
      <w:pPr>
        <w:pStyle w:val="Level1"/>
      </w:pPr>
      <w:r>
        <w:t xml:space="preserve">Finally, our convenience and comparison goods capacity assessments both make an allowance for changes in </w:t>
      </w:r>
      <w:r w:rsidRPr="007C5AC8">
        <w:rPr>
          <w:b/>
          <w:bCs/>
        </w:rPr>
        <w:t>floorspace efficiency</w:t>
      </w:r>
      <w:r>
        <w:t xml:space="preserve"> over the assessment period.  The assumptions that have been made are taken from recommendations made by Experian in its Retail Planner Briefing Note (Note 19, January 2022).</w:t>
      </w:r>
    </w:p>
    <w:p w14:paraId="4717A05B" w14:textId="7089855D" w:rsidR="00C727DC" w:rsidRDefault="00C727DC" w:rsidP="000D2E30">
      <w:pPr>
        <w:pStyle w:val="Level1"/>
      </w:pPr>
      <w:r>
        <w:t xml:space="preserve">Turning now to the assessment of future quantitative capacity for convenience and comparison goods floorspace in each of the three main settlements, it should be noted that </w:t>
      </w:r>
      <w:r w:rsidR="0061498F">
        <w:t xml:space="preserve">the forecasts are based upon a constant market share </w:t>
      </w:r>
      <w:r w:rsidR="00A936C5">
        <w:t xml:space="preserve">across the assessment period, except for an initial adjustment in order </w:t>
      </w:r>
      <w:proofErr w:type="gramStart"/>
      <w:r w:rsidR="00A936C5">
        <w:t>take into account</w:t>
      </w:r>
      <w:proofErr w:type="gramEnd"/>
      <w:r w:rsidR="00A936C5">
        <w:t xml:space="preserve"> the impact of commitments on existing shopping patterns.  The main example of this is the committed Lidl store at Kings Ash Road in </w:t>
      </w:r>
      <w:proofErr w:type="gramStart"/>
      <w:r w:rsidR="00A936C5">
        <w:t>Paignton</w:t>
      </w:r>
      <w:proofErr w:type="gramEnd"/>
      <w:r w:rsidR="00A936C5">
        <w:t xml:space="preserve"> which is likely, in our opinion, to </w:t>
      </w:r>
      <w:r w:rsidR="00DE4981">
        <w:t>divert a modest amount of convenience goods expenditure to Paignton from existing stores in Torquay.</w:t>
      </w:r>
    </w:p>
    <w:p w14:paraId="35477441" w14:textId="00BC1A99" w:rsidR="00C12F2C" w:rsidRDefault="00C12F2C" w:rsidP="00A454BA">
      <w:pPr>
        <w:pStyle w:val="Level1"/>
      </w:pPr>
      <w:r>
        <w:t xml:space="preserve">For the avoidance of doubt, the quantitative capacity forecasts outlined in this section are for the </w:t>
      </w:r>
      <w:r w:rsidRPr="00DE4981">
        <w:t xml:space="preserve">whole of each town, not just town centres and are cumulative in nature – </w:t>
      </w:r>
      <w:proofErr w:type="gramStart"/>
      <w:r w:rsidRPr="00DE4981">
        <w:t>i.e.</w:t>
      </w:r>
      <w:proofErr w:type="gramEnd"/>
      <w:r w:rsidRPr="00DE4981">
        <w:t xml:space="preserve"> the quantitative capacity of </w:t>
      </w:r>
      <w:r w:rsidR="00DE4981" w:rsidRPr="00DE4981">
        <w:t>2,386</w:t>
      </w:r>
      <w:r w:rsidR="00A454BA" w:rsidRPr="00DE4981">
        <w:t>s</w:t>
      </w:r>
      <w:r w:rsidRPr="00DE4981">
        <w:t>q m net at 20</w:t>
      </w:r>
      <w:r w:rsidR="00DE4981" w:rsidRPr="00DE4981">
        <w:t>32</w:t>
      </w:r>
      <w:r w:rsidRPr="00DE4981">
        <w:t xml:space="preserve"> for </w:t>
      </w:r>
      <w:r w:rsidR="00DE4981" w:rsidRPr="00DE4981">
        <w:t>Torquay</w:t>
      </w:r>
      <w:r w:rsidRPr="00DE4981">
        <w:t xml:space="preserve"> for convenience goods floorspace includes the </w:t>
      </w:r>
      <w:r w:rsidR="00DE4981" w:rsidRPr="00DE4981">
        <w:t>1,984</w:t>
      </w:r>
      <w:r w:rsidRPr="00DE4981">
        <w:t>sq m net capacity at 202</w:t>
      </w:r>
      <w:r w:rsidR="00DE4981" w:rsidRPr="00DE4981">
        <w:t>7</w:t>
      </w:r>
      <w:r w:rsidRPr="00DE4981">
        <w:t>.</w:t>
      </w:r>
      <w:r>
        <w:t xml:space="preserve"> </w:t>
      </w:r>
    </w:p>
    <w:p w14:paraId="4B55195A" w14:textId="1487F262" w:rsidR="005477B4" w:rsidRDefault="005477B4" w:rsidP="00A454BA">
      <w:pPr>
        <w:pStyle w:val="Level1"/>
      </w:pPr>
      <w:r>
        <w:t xml:space="preserve">In addition, </w:t>
      </w:r>
      <w:r w:rsidRPr="00516D6A">
        <w:t xml:space="preserve">when forecasting future floorspace capacity, each element of the </w:t>
      </w:r>
      <w:r w:rsidRPr="00B44051">
        <w:t>assessment at Appendix X</w:t>
      </w:r>
      <w:r w:rsidR="00516D6A" w:rsidRPr="00B44051">
        <w:t>VII</w:t>
      </w:r>
      <w:r w:rsidRPr="00B44051">
        <w:t xml:space="preserve"> </w:t>
      </w:r>
      <w:r w:rsidR="002D0B1A" w:rsidRPr="00B44051">
        <w:t>adopts</w:t>
      </w:r>
      <w:r w:rsidR="002D0B1A" w:rsidRPr="00516D6A">
        <w:t xml:space="preserve"> an indicative</w:t>
      </w:r>
      <w:r w:rsidR="002D0B1A">
        <w:t xml:space="preserve"> sales density </w:t>
      </w:r>
      <w:proofErr w:type="gramStart"/>
      <w:r w:rsidR="002D0B1A">
        <w:t>in order to</w:t>
      </w:r>
      <w:proofErr w:type="gramEnd"/>
      <w:r w:rsidR="002D0B1A">
        <w:t xml:space="preserve"> </w:t>
      </w:r>
      <w:r w:rsidR="009474A5">
        <w:t>translate residual expenditure into a net sales area floorspace equivalent</w:t>
      </w:r>
      <w:r w:rsidR="00BA2F65">
        <w:rPr>
          <w:rStyle w:val="FootnoteReference"/>
        </w:rPr>
        <w:footnoteReference w:id="33"/>
      </w:r>
      <w:r w:rsidR="009474A5">
        <w:t xml:space="preserve">.  The sales density figure for convenience goods floorspace is considered representative of the main national grocery operators, whilst the comparison goods sales density figure is placed at the higher end of store performance levels in order to take into account a wide range of types of </w:t>
      </w:r>
      <w:proofErr w:type="gramStart"/>
      <w:r w:rsidR="009474A5">
        <w:t>operator</w:t>
      </w:r>
      <w:proofErr w:type="gramEnd"/>
      <w:r w:rsidR="009474A5">
        <w:t xml:space="preserve"> and also to ensure that potential future net additional capacity is not over-estimated.  However, the main guiding principle in this assessment is that the sales density figures are indicative and it will be important to: (A) re-visit the sales density levels as and when specific </w:t>
      </w:r>
      <w:r w:rsidR="009474A5">
        <w:lastRenderedPageBreak/>
        <w:t>proposals are considered; and (B) when/if there is a need to reduce future capacity levels as a consequence of further retail floorspace commitments then the likely turnover/sales density of those commitments is adopted (rather than the indicative density level).</w:t>
      </w:r>
    </w:p>
    <w:p w14:paraId="6AF76B4A" w14:textId="015F94AC" w:rsidR="00C12F2C" w:rsidRDefault="00C12F2C" w:rsidP="00A454BA">
      <w:pPr>
        <w:pStyle w:val="Level1"/>
      </w:pPr>
      <w:r>
        <w:t xml:space="preserve">As noted above, it should be noted that the results of the quantitative assessment represent only half of the overall assessment of need (with the other half being qualitative indicators).  Moreover, </w:t>
      </w:r>
      <w:proofErr w:type="gramStart"/>
      <w:r>
        <w:t>in order to</w:t>
      </w:r>
      <w:proofErr w:type="gramEnd"/>
      <w:r>
        <w:t xml:space="preserve"> understand whether it is appropriate to use the results of the quantitative assessment to plan for new, replacement or changing levels of floorspace provision, it will be important to understand the key factors influencing the quantitative assessment.  Therefore, any forecasts which show actual levels of current and future turnover diverting from benchmark turnover are referred to as a ‘</w:t>
      </w:r>
      <w:proofErr w:type="gramStart"/>
      <w:r>
        <w:t>surplus’</w:t>
      </w:r>
      <w:proofErr w:type="gramEnd"/>
      <w:r>
        <w:t xml:space="preserve"> or ‘deficit’ which need to be understood along with the wider set of factors.</w:t>
      </w:r>
    </w:p>
    <w:p w14:paraId="435A59EE" w14:textId="635F5AA7" w:rsidR="00E12887" w:rsidRDefault="00B43108" w:rsidP="000F46E0">
      <w:pPr>
        <w:pStyle w:val="Level1"/>
        <w:tabs>
          <w:tab w:val="left" w:pos="1418"/>
        </w:tabs>
      </w:pPr>
      <w:r>
        <w:t xml:space="preserve">Before the results of the quantitative assessments are summarised, </w:t>
      </w:r>
      <w:r w:rsidRPr="00BA2F65">
        <w:t xml:space="preserve">it is useful to, in </w:t>
      </w:r>
      <w:r w:rsidR="00DC7D9F" w:rsidRPr="00B44051">
        <w:t>our</w:t>
      </w:r>
      <w:r w:rsidR="00DC7D9F" w:rsidRPr="00BA2F65">
        <w:t xml:space="preserve"> </w:t>
      </w:r>
      <w:r w:rsidRPr="00BA2F65">
        <w:t>opinion</w:t>
      </w:r>
      <w:r>
        <w:t>, to compare the turnover and market share levels produced by this latest (2022) assessment with the findings of the previous quantitative assessment contained within the 2013 retail study.</w:t>
      </w:r>
      <w:r w:rsidR="006C2103">
        <w:t xml:space="preserve">  Table 5.1 below outlines the study area derived convenience goods turnover for each of the three main settlements, including the key destinations therein</w:t>
      </w:r>
      <w:r w:rsidR="00684149">
        <w:rPr>
          <w:rStyle w:val="FootnoteReference"/>
        </w:rPr>
        <w:footnoteReference w:id="34"/>
      </w:r>
      <w:r w:rsidR="006C2103">
        <w:t>.</w:t>
      </w:r>
    </w:p>
    <w:p w14:paraId="654DE747" w14:textId="7EED1F8D" w:rsidR="00B52460" w:rsidRPr="00B52460" w:rsidRDefault="00B52460" w:rsidP="00B52460">
      <w:pPr>
        <w:pStyle w:val="Level1"/>
        <w:numPr>
          <w:ilvl w:val="0"/>
          <w:numId w:val="0"/>
        </w:numPr>
        <w:tabs>
          <w:tab w:val="left" w:pos="1418"/>
        </w:tabs>
        <w:ind w:left="720"/>
        <w:rPr>
          <w:rStyle w:val="Emphasis"/>
        </w:rPr>
      </w:pPr>
      <w:r>
        <w:rPr>
          <w:rStyle w:val="Emphasis"/>
        </w:rPr>
        <w:t>Table 5.1</w:t>
      </w:r>
      <w:r w:rsidR="007B59E4">
        <w:rPr>
          <w:rStyle w:val="Emphasis"/>
        </w:rPr>
        <w:t>: comparison between convenience goods turnover levels across Torbay in the 2013 and 2022 quantitative assessments</w:t>
      </w:r>
    </w:p>
    <w:tbl>
      <w:tblPr>
        <w:tblStyle w:val="CustomTable2"/>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920"/>
        <w:gridCol w:w="1920"/>
        <w:gridCol w:w="1963"/>
        <w:gridCol w:w="1666"/>
      </w:tblGrid>
      <w:tr w:rsidR="0038085C" w:rsidRPr="006C2103" w14:paraId="7FD75D03" w14:textId="1AB6E271" w:rsidTr="003808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DDDEDB" w:themeFill="background2" w:themeFillTint="99"/>
          </w:tcPr>
          <w:p w14:paraId="23C4CDB0" w14:textId="77777777" w:rsidR="0038085C" w:rsidRPr="000D1D4F" w:rsidRDefault="0038085C" w:rsidP="006C2103">
            <w:pPr>
              <w:pStyle w:val="Level1"/>
              <w:numPr>
                <w:ilvl w:val="0"/>
                <w:numId w:val="0"/>
              </w:numPr>
              <w:tabs>
                <w:tab w:val="left" w:pos="1418"/>
              </w:tabs>
              <w:spacing w:before="0" w:after="0" w:line="240" w:lineRule="auto"/>
              <w:rPr>
                <w:rFonts w:asciiTheme="minorHAnsi" w:hAnsiTheme="minorHAnsi" w:cstheme="minorHAnsi"/>
                <w:color w:val="auto"/>
                <w:sz w:val="18"/>
                <w:szCs w:val="18"/>
              </w:rPr>
            </w:pPr>
            <w:r w:rsidRPr="000D1D4F">
              <w:rPr>
                <w:rFonts w:asciiTheme="minorHAnsi" w:hAnsiTheme="minorHAnsi" w:cstheme="minorHAnsi"/>
                <w:color w:val="auto"/>
                <w:sz w:val="18"/>
                <w:szCs w:val="18"/>
              </w:rPr>
              <w:t>Settlement / Destination</w:t>
            </w:r>
          </w:p>
          <w:p w14:paraId="44F80F32" w14:textId="4B80B5A1" w:rsidR="0038085C" w:rsidRPr="000D1D4F" w:rsidRDefault="0038085C" w:rsidP="006C2103">
            <w:pPr>
              <w:pStyle w:val="Level1"/>
              <w:numPr>
                <w:ilvl w:val="0"/>
                <w:numId w:val="0"/>
              </w:numPr>
              <w:tabs>
                <w:tab w:val="left" w:pos="1418"/>
              </w:tabs>
              <w:spacing w:before="0" w:after="0" w:line="240" w:lineRule="auto"/>
              <w:rPr>
                <w:rFonts w:asciiTheme="minorHAnsi" w:hAnsiTheme="minorHAnsi" w:cstheme="minorHAnsi"/>
                <w:color w:val="auto"/>
                <w:sz w:val="18"/>
                <w:szCs w:val="18"/>
              </w:rPr>
            </w:pPr>
          </w:p>
        </w:tc>
        <w:tc>
          <w:tcPr>
            <w:tcW w:w="1920" w:type="dxa"/>
            <w:shd w:val="clear" w:color="auto" w:fill="DDDEDB" w:themeFill="background2" w:themeFillTint="99"/>
          </w:tcPr>
          <w:p w14:paraId="6B5F4EC9" w14:textId="77777777" w:rsidR="0038085C" w:rsidRDefault="0038085C" w:rsidP="0038085C">
            <w:pPr>
              <w:pStyle w:val="Level1"/>
              <w:numPr>
                <w:ilvl w:val="0"/>
                <w:numId w:val="0"/>
              </w:numPr>
              <w:tabs>
                <w:tab w:val="left" w:pos="1418"/>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0D1D4F">
              <w:rPr>
                <w:rFonts w:asciiTheme="minorHAnsi" w:hAnsiTheme="minorHAnsi" w:cstheme="minorHAnsi"/>
                <w:color w:val="auto"/>
                <w:sz w:val="18"/>
                <w:szCs w:val="18"/>
              </w:rPr>
              <w:t>2013 Retail Study Turnover</w:t>
            </w:r>
          </w:p>
          <w:p w14:paraId="7B6BD1D1" w14:textId="74401E35" w:rsidR="0038085C" w:rsidRPr="000D1D4F" w:rsidRDefault="0038085C" w:rsidP="0038085C">
            <w:pPr>
              <w:pStyle w:val="Level1"/>
              <w:numPr>
                <w:ilvl w:val="0"/>
                <w:numId w:val="0"/>
              </w:numPr>
              <w:tabs>
                <w:tab w:val="left" w:pos="1418"/>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(2013 turnover level)</w:t>
            </w:r>
          </w:p>
        </w:tc>
        <w:tc>
          <w:tcPr>
            <w:tcW w:w="1920" w:type="dxa"/>
            <w:shd w:val="clear" w:color="auto" w:fill="DDDEDB" w:themeFill="background2" w:themeFillTint="99"/>
          </w:tcPr>
          <w:p w14:paraId="0BF4D591" w14:textId="77777777" w:rsidR="0038085C" w:rsidRDefault="0038085C" w:rsidP="0038085C">
            <w:pPr>
              <w:pStyle w:val="Level1"/>
              <w:numPr>
                <w:ilvl w:val="0"/>
                <w:numId w:val="0"/>
              </w:numPr>
              <w:tabs>
                <w:tab w:val="left" w:pos="1418"/>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0D1D4F">
              <w:rPr>
                <w:rFonts w:asciiTheme="minorHAnsi" w:hAnsiTheme="minorHAnsi" w:cstheme="minorHAnsi"/>
                <w:color w:val="auto"/>
                <w:sz w:val="18"/>
                <w:szCs w:val="18"/>
              </w:rPr>
              <w:t>2022 Retail Study Turnover</w:t>
            </w:r>
          </w:p>
          <w:p w14:paraId="725D4B44" w14:textId="43B32AB6" w:rsidR="0038085C" w:rsidRPr="000D1D4F" w:rsidRDefault="0038085C" w:rsidP="0038085C">
            <w:pPr>
              <w:pStyle w:val="Level1"/>
              <w:numPr>
                <w:ilvl w:val="0"/>
                <w:numId w:val="0"/>
              </w:numPr>
              <w:tabs>
                <w:tab w:val="left" w:pos="1418"/>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Pr>
                <w:rFonts w:asciiTheme="minorHAnsi" w:hAnsiTheme="minorHAnsi" w:cstheme="minorHAnsi"/>
                <w:color w:val="auto"/>
                <w:sz w:val="18"/>
                <w:szCs w:val="18"/>
              </w:rPr>
              <w:t>(2022 turnover level)</w:t>
            </w:r>
          </w:p>
        </w:tc>
        <w:tc>
          <w:tcPr>
            <w:tcW w:w="1963" w:type="dxa"/>
            <w:shd w:val="clear" w:color="auto" w:fill="DDDEDB" w:themeFill="background2" w:themeFillTint="99"/>
          </w:tcPr>
          <w:p w14:paraId="001D51CA" w14:textId="6DE4D652" w:rsidR="0038085C" w:rsidRPr="000D1D4F" w:rsidRDefault="0038085C" w:rsidP="0038085C">
            <w:pPr>
              <w:pStyle w:val="Level1"/>
              <w:numPr>
                <w:ilvl w:val="0"/>
                <w:numId w:val="0"/>
              </w:numPr>
              <w:tabs>
                <w:tab w:val="left" w:pos="1418"/>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r w:rsidRPr="000D1D4F">
              <w:rPr>
                <w:rFonts w:asciiTheme="minorHAnsi" w:hAnsiTheme="minorHAnsi" w:cstheme="minorHAnsi"/>
                <w:color w:val="auto"/>
                <w:sz w:val="18"/>
                <w:szCs w:val="18"/>
              </w:rPr>
              <w:t>Difference (£m)</w:t>
            </w:r>
          </w:p>
        </w:tc>
        <w:tc>
          <w:tcPr>
            <w:tcW w:w="1666" w:type="dxa"/>
            <w:shd w:val="clear" w:color="auto" w:fill="DDDEDB" w:themeFill="background2" w:themeFillTint="99"/>
          </w:tcPr>
          <w:p w14:paraId="7519CB82" w14:textId="311FD81B" w:rsidR="0038085C" w:rsidRPr="000D1D4F" w:rsidRDefault="0038085C" w:rsidP="0038085C">
            <w:pPr>
              <w:pStyle w:val="Level1"/>
              <w:numPr>
                <w:ilvl w:val="0"/>
                <w:numId w:val="0"/>
              </w:numPr>
              <w:tabs>
                <w:tab w:val="left" w:pos="1418"/>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D1D4F">
              <w:rPr>
                <w:rFonts w:asciiTheme="minorHAnsi" w:hAnsiTheme="minorHAnsi" w:cstheme="minorHAnsi"/>
                <w:color w:val="auto"/>
                <w:sz w:val="18"/>
                <w:szCs w:val="18"/>
              </w:rPr>
              <w:t>Difference (</w:t>
            </w:r>
            <w:r>
              <w:rPr>
                <w:rFonts w:asciiTheme="minorHAnsi" w:hAnsiTheme="minorHAnsi" w:cstheme="minorHAnsi"/>
                <w:color w:val="auto"/>
                <w:sz w:val="18"/>
                <w:szCs w:val="18"/>
              </w:rPr>
              <w:t>%</w:t>
            </w:r>
            <w:r w:rsidRPr="000D1D4F">
              <w:rPr>
                <w:rFonts w:asciiTheme="minorHAnsi" w:hAnsiTheme="minorHAnsi" w:cstheme="minorHAnsi"/>
                <w:color w:val="auto"/>
                <w:sz w:val="18"/>
                <w:szCs w:val="18"/>
              </w:rPr>
              <w:t>)</w:t>
            </w:r>
          </w:p>
        </w:tc>
      </w:tr>
      <w:tr w:rsidR="0038085C" w:rsidRPr="006C2103" w14:paraId="183421A7" w14:textId="79A13ED9" w:rsidTr="00380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E8E9E7" w:themeFill="background2" w:themeFillTint="66"/>
          </w:tcPr>
          <w:p w14:paraId="041849DC" w14:textId="2E27E4C9" w:rsidR="0038085C" w:rsidRPr="003914EF" w:rsidRDefault="0038085C" w:rsidP="006C2103">
            <w:pPr>
              <w:pStyle w:val="Level1"/>
              <w:numPr>
                <w:ilvl w:val="0"/>
                <w:numId w:val="0"/>
              </w:numPr>
              <w:tabs>
                <w:tab w:val="left" w:pos="1418"/>
              </w:tabs>
              <w:spacing w:before="0" w:after="0" w:line="240" w:lineRule="auto"/>
              <w:rPr>
                <w:rFonts w:asciiTheme="minorHAnsi" w:hAnsiTheme="minorHAnsi" w:cstheme="minorHAnsi"/>
                <w:b/>
                <w:color w:val="auto"/>
                <w:sz w:val="18"/>
                <w:szCs w:val="18"/>
              </w:rPr>
            </w:pPr>
            <w:r w:rsidRPr="003914EF">
              <w:rPr>
                <w:rFonts w:asciiTheme="minorHAnsi" w:hAnsiTheme="minorHAnsi" w:cstheme="minorHAnsi"/>
                <w:b/>
                <w:color w:val="auto"/>
                <w:sz w:val="18"/>
                <w:szCs w:val="18"/>
              </w:rPr>
              <w:t>TORQUAY</w:t>
            </w:r>
          </w:p>
        </w:tc>
        <w:tc>
          <w:tcPr>
            <w:tcW w:w="1920" w:type="dxa"/>
            <w:shd w:val="clear" w:color="auto" w:fill="E8E9E7" w:themeFill="background2" w:themeFillTint="66"/>
          </w:tcPr>
          <w:p w14:paraId="32D631E6" w14:textId="77777777" w:rsidR="0038085C" w:rsidRPr="00215419" w:rsidRDefault="0038085C" w:rsidP="000D1D4F">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p>
        </w:tc>
        <w:tc>
          <w:tcPr>
            <w:tcW w:w="1920" w:type="dxa"/>
            <w:shd w:val="clear" w:color="auto" w:fill="E8E9E7" w:themeFill="background2" w:themeFillTint="66"/>
          </w:tcPr>
          <w:p w14:paraId="5E450823" w14:textId="77777777" w:rsidR="0038085C" w:rsidRPr="00215419" w:rsidRDefault="0038085C" w:rsidP="000D1D4F">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p>
        </w:tc>
        <w:tc>
          <w:tcPr>
            <w:tcW w:w="1963" w:type="dxa"/>
            <w:shd w:val="clear" w:color="auto" w:fill="E8E9E7" w:themeFill="background2" w:themeFillTint="66"/>
          </w:tcPr>
          <w:p w14:paraId="195620C7" w14:textId="77777777" w:rsidR="0038085C" w:rsidRPr="00215419" w:rsidRDefault="0038085C" w:rsidP="000D1D4F">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p>
        </w:tc>
        <w:tc>
          <w:tcPr>
            <w:tcW w:w="1666" w:type="dxa"/>
            <w:shd w:val="clear" w:color="auto" w:fill="E8E9E7" w:themeFill="background2" w:themeFillTint="66"/>
          </w:tcPr>
          <w:p w14:paraId="39F4F827" w14:textId="77777777" w:rsidR="0038085C" w:rsidRPr="00215419" w:rsidRDefault="0038085C" w:rsidP="000D1D4F">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p>
        </w:tc>
      </w:tr>
      <w:tr w:rsidR="0038085C" w:rsidRPr="006C2103" w14:paraId="344D3888" w14:textId="05E0CA9C" w:rsidTr="00380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22FBAF5A" w14:textId="250CF343" w:rsidR="0038085C" w:rsidRPr="00215419" w:rsidRDefault="0038085C" w:rsidP="0038085C">
            <w:pPr>
              <w:pStyle w:val="Level1"/>
              <w:numPr>
                <w:ilvl w:val="0"/>
                <w:numId w:val="0"/>
              </w:numPr>
              <w:tabs>
                <w:tab w:val="left" w:pos="1418"/>
              </w:tabs>
              <w:spacing w:before="0" w:after="0" w:line="240" w:lineRule="auto"/>
              <w:rPr>
                <w:rFonts w:asciiTheme="minorHAnsi" w:hAnsiTheme="minorHAnsi" w:cstheme="minorHAnsi"/>
                <w:bCs/>
                <w:color w:val="auto"/>
                <w:sz w:val="18"/>
                <w:szCs w:val="18"/>
              </w:rPr>
            </w:pPr>
            <w:r>
              <w:rPr>
                <w:rFonts w:asciiTheme="minorHAnsi" w:hAnsiTheme="minorHAnsi" w:cstheme="minorHAnsi"/>
                <w:bCs/>
                <w:color w:val="auto"/>
                <w:sz w:val="18"/>
                <w:szCs w:val="18"/>
              </w:rPr>
              <w:t>Total</w:t>
            </w:r>
          </w:p>
        </w:tc>
        <w:tc>
          <w:tcPr>
            <w:tcW w:w="1920" w:type="dxa"/>
            <w:shd w:val="clear" w:color="auto" w:fill="auto"/>
            <w:vAlign w:val="center"/>
          </w:tcPr>
          <w:p w14:paraId="2C82E591" w14:textId="6DF3940A" w:rsidR="0038085C" w:rsidRPr="00215419" w:rsidRDefault="0038085C" w:rsidP="0038085C">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£166.2</w:t>
            </w:r>
          </w:p>
        </w:tc>
        <w:tc>
          <w:tcPr>
            <w:tcW w:w="1920" w:type="dxa"/>
            <w:shd w:val="clear" w:color="auto" w:fill="auto"/>
            <w:vAlign w:val="center"/>
          </w:tcPr>
          <w:p w14:paraId="34ADA54C" w14:textId="348342A3" w:rsidR="0038085C" w:rsidRPr="00215419" w:rsidRDefault="0038085C" w:rsidP="0038085C">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£177.5</w:t>
            </w:r>
          </w:p>
        </w:tc>
        <w:tc>
          <w:tcPr>
            <w:tcW w:w="1963" w:type="dxa"/>
            <w:shd w:val="clear" w:color="auto" w:fill="auto"/>
            <w:vAlign w:val="center"/>
          </w:tcPr>
          <w:p w14:paraId="04AB223D" w14:textId="2AA03C8F" w:rsidR="0038085C" w:rsidRPr="00215419" w:rsidRDefault="0038085C" w:rsidP="0038085C">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£11.3</w:t>
            </w:r>
          </w:p>
        </w:tc>
        <w:tc>
          <w:tcPr>
            <w:tcW w:w="1666" w:type="dxa"/>
            <w:shd w:val="clear" w:color="auto" w:fill="auto"/>
            <w:vAlign w:val="center"/>
          </w:tcPr>
          <w:p w14:paraId="1BC97F5E" w14:textId="60400F84"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7%</w:t>
            </w:r>
          </w:p>
        </w:tc>
      </w:tr>
      <w:tr w:rsidR="0038085C" w:rsidRPr="006C2103" w14:paraId="1DD0A84D" w14:textId="1C27F192" w:rsidTr="00380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117E7FFE" w14:textId="7A07C61A" w:rsidR="0038085C" w:rsidRPr="00215419" w:rsidRDefault="0038085C" w:rsidP="0038085C">
            <w:pPr>
              <w:pStyle w:val="Level1"/>
              <w:numPr>
                <w:ilvl w:val="0"/>
                <w:numId w:val="0"/>
              </w:numPr>
              <w:tabs>
                <w:tab w:val="left" w:pos="1418"/>
              </w:tabs>
              <w:spacing w:before="0" w:after="0" w:line="240" w:lineRule="auto"/>
              <w:rPr>
                <w:rFonts w:asciiTheme="minorHAnsi" w:hAnsiTheme="minorHAnsi" w:cstheme="minorHAnsi"/>
                <w:bCs/>
                <w:color w:val="auto"/>
                <w:sz w:val="18"/>
                <w:szCs w:val="18"/>
              </w:rPr>
            </w:pPr>
            <w:r>
              <w:rPr>
                <w:rFonts w:asciiTheme="minorHAnsi" w:hAnsiTheme="minorHAnsi" w:cstheme="minorHAnsi"/>
                <w:bCs/>
                <w:color w:val="auto"/>
                <w:sz w:val="18"/>
                <w:szCs w:val="18"/>
              </w:rPr>
              <w:t>Town Centre</w:t>
            </w:r>
          </w:p>
        </w:tc>
        <w:tc>
          <w:tcPr>
            <w:tcW w:w="1920" w:type="dxa"/>
            <w:shd w:val="clear" w:color="auto" w:fill="auto"/>
            <w:vAlign w:val="center"/>
          </w:tcPr>
          <w:p w14:paraId="3D00EACC" w14:textId="14A0256E" w:rsidR="0038085C" w:rsidRPr="00215419" w:rsidRDefault="0038085C" w:rsidP="0038085C">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£17.7</w:t>
            </w:r>
          </w:p>
        </w:tc>
        <w:tc>
          <w:tcPr>
            <w:tcW w:w="1920" w:type="dxa"/>
            <w:shd w:val="clear" w:color="auto" w:fill="auto"/>
            <w:vAlign w:val="center"/>
          </w:tcPr>
          <w:p w14:paraId="673C5E70" w14:textId="5EC8A4B5" w:rsidR="0038085C" w:rsidRPr="00215419" w:rsidRDefault="0038085C" w:rsidP="0038085C">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£8.7</w:t>
            </w:r>
          </w:p>
        </w:tc>
        <w:tc>
          <w:tcPr>
            <w:tcW w:w="1963" w:type="dxa"/>
            <w:shd w:val="clear" w:color="auto" w:fill="auto"/>
            <w:vAlign w:val="center"/>
          </w:tcPr>
          <w:p w14:paraId="11FFCFB9" w14:textId="526392FD" w:rsidR="0038085C" w:rsidRPr="00215419" w:rsidRDefault="0038085C" w:rsidP="0038085C">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-£9.0</w:t>
            </w:r>
          </w:p>
        </w:tc>
        <w:tc>
          <w:tcPr>
            <w:tcW w:w="1666" w:type="dxa"/>
            <w:shd w:val="clear" w:color="auto" w:fill="auto"/>
            <w:vAlign w:val="center"/>
          </w:tcPr>
          <w:p w14:paraId="436B3F43" w14:textId="510AC894"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-51%</w:t>
            </w:r>
          </w:p>
        </w:tc>
      </w:tr>
      <w:tr w:rsidR="0038085C" w:rsidRPr="006C2103" w14:paraId="2AA65C42" w14:textId="0466C349" w:rsidTr="00380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68D55F5F" w14:textId="4966C508" w:rsidR="0038085C" w:rsidRPr="00215419" w:rsidRDefault="0038085C" w:rsidP="0038085C">
            <w:pPr>
              <w:pStyle w:val="Level1"/>
              <w:numPr>
                <w:ilvl w:val="0"/>
                <w:numId w:val="0"/>
              </w:numPr>
              <w:tabs>
                <w:tab w:val="left" w:pos="1418"/>
              </w:tabs>
              <w:spacing w:before="0" w:after="0" w:line="240" w:lineRule="auto"/>
              <w:rPr>
                <w:rFonts w:asciiTheme="minorHAnsi" w:hAnsiTheme="minorHAnsi" w:cstheme="minorHAnsi"/>
                <w:bCs/>
                <w:color w:val="auto"/>
                <w:sz w:val="18"/>
                <w:szCs w:val="18"/>
              </w:rPr>
            </w:pPr>
            <w:r>
              <w:rPr>
                <w:rFonts w:asciiTheme="minorHAnsi" w:hAnsiTheme="minorHAnsi" w:cstheme="minorHAnsi"/>
                <w:bCs/>
                <w:color w:val="auto"/>
                <w:sz w:val="18"/>
                <w:szCs w:val="18"/>
              </w:rPr>
              <w:t>The Willows district centre</w:t>
            </w:r>
          </w:p>
        </w:tc>
        <w:tc>
          <w:tcPr>
            <w:tcW w:w="1920" w:type="dxa"/>
            <w:shd w:val="clear" w:color="auto" w:fill="auto"/>
            <w:vAlign w:val="center"/>
          </w:tcPr>
          <w:p w14:paraId="5CB8B1B3" w14:textId="25BDB959" w:rsidR="0038085C" w:rsidRPr="00215419" w:rsidRDefault="0038085C" w:rsidP="0038085C">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£86.6</w:t>
            </w:r>
          </w:p>
        </w:tc>
        <w:tc>
          <w:tcPr>
            <w:tcW w:w="1920" w:type="dxa"/>
            <w:shd w:val="clear" w:color="auto" w:fill="auto"/>
            <w:vAlign w:val="center"/>
          </w:tcPr>
          <w:p w14:paraId="34861956" w14:textId="7A7C4E2A" w:rsidR="0038085C" w:rsidRPr="00215419" w:rsidRDefault="0038085C" w:rsidP="0038085C">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£58.4</w:t>
            </w:r>
          </w:p>
        </w:tc>
        <w:tc>
          <w:tcPr>
            <w:tcW w:w="1963" w:type="dxa"/>
            <w:shd w:val="clear" w:color="auto" w:fill="auto"/>
            <w:vAlign w:val="center"/>
          </w:tcPr>
          <w:p w14:paraId="1786D502" w14:textId="0DCFA25D" w:rsidR="0038085C" w:rsidRPr="00215419" w:rsidRDefault="0038085C" w:rsidP="0038085C">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-£28.2</w:t>
            </w:r>
          </w:p>
        </w:tc>
        <w:tc>
          <w:tcPr>
            <w:tcW w:w="1666" w:type="dxa"/>
            <w:shd w:val="clear" w:color="auto" w:fill="auto"/>
            <w:vAlign w:val="center"/>
          </w:tcPr>
          <w:p w14:paraId="755E881B" w14:textId="71947C0F"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-33%</w:t>
            </w:r>
          </w:p>
        </w:tc>
      </w:tr>
      <w:tr w:rsidR="0038085C" w:rsidRPr="006C2103" w14:paraId="23C0E252" w14:textId="469863AD" w:rsidTr="00380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4B2E2219" w14:textId="0173CA72" w:rsidR="0038085C" w:rsidRPr="00215419" w:rsidRDefault="0038085C" w:rsidP="0038085C">
            <w:pPr>
              <w:pStyle w:val="Level1"/>
              <w:numPr>
                <w:ilvl w:val="0"/>
                <w:numId w:val="0"/>
              </w:numPr>
              <w:tabs>
                <w:tab w:val="left" w:pos="1418"/>
              </w:tabs>
              <w:spacing w:before="0" w:after="0" w:line="240" w:lineRule="auto"/>
              <w:rPr>
                <w:rFonts w:asciiTheme="minorHAnsi" w:hAnsiTheme="minorHAnsi" w:cstheme="minorHAnsi"/>
                <w:bCs/>
                <w:color w:val="auto"/>
                <w:sz w:val="18"/>
                <w:szCs w:val="18"/>
              </w:rPr>
            </w:pPr>
            <w:r>
              <w:rPr>
                <w:rFonts w:asciiTheme="minorHAnsi" w:hAnsiTheme="minorHAnsi" w:cstheme="minorHAnsi"/>
                <w:bCs/>
                <w:color w:val="auto"/>
                <w:sz w:val="18"/>
                <w:szCs w:val="18"/>
              </w:rPr>
              <w:t>St Marychurch district centre</w:t>
            </w:r>
          </w:p>
        </w:tc>
        <w:tc>
          <w:tcPr>
            <w:tcW w:w="1920" w:type="dxa"/>
            <w:shd w:val="clear" w:color="auto" w:fill="auto"/>
            <w:vAlign w:val="center"/>
          </w:tcPr>
          <w:p w14:paraId="43DEF5EB" w14:textId="68684714" w:rsidR="0038085C" w:rsidRPr="00215419" w:rsidRDefault="0038085C" w:rsidP="0038085C">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£4.1</w:t>
            </w:r>
          </w:p>
        </w:tc>
        <w:tc>
          <w:tcPr>
            <w:tcW w:w="1920" w:type="dxa"/>
            <w:shd w:val="clear" w:color="auto" w:fill="auto"/>
            <w:vAlign w:val="center"/>
          </w:tcPr>
          <w:p w14:paraId="5B8D143B" w14:textId="037BBF62" w:rsidR="0038085C" w:rsidRPr="00215419" w:rsidRDefault="0038085C" w:rsidP="0038085C">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£10.6</w:t>
            </w:r>
          </w:p>
        </w:tc>
        <w:tc>
          <w:tcPr>
            <w:tcW w:w="1963" w:type="dxa"/>
            <w:shd w:val="clear" w:color="auto" w:fill="auto"/>
            <w:vAlign w:val="center"/>
          </w:tcPr>
          <w:p w14:paraId="4E4E0FCC" w14:textId="3D69C268" w:rsidR="0038085C" w:rsidRPr="00215419" w:rsidRDefault="0038085C" w:rsidP="0038085C">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£6.5</w:t>
            </w:r>
          </w:p>
        </w:tc>
        <w:tc>
          <w:tcPr>
            <w:tcW w:w="1666" w:type="dxa"/>
            <w:shd w:val="clear" w:color="auto" w:fill="auto"/>
            <w:vAlign w:val="center"/>
          </w:tcPr>
          <w:p w14:paraId="5F34C507" w14:textId="1D53E547"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160%</w:t>
            </w:r>
          </w:p>
        </w:tc>
      </w:tr>
      <w:tr w:rsidR="0038085C" w:rsidRPr="006C2103" w14:paraId="10C892C3" w14:textId="06778DF0" w:rsidTr="00380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39B73C21" w14:textId="4C5D3FB5" w:rsidR="0038085C" w:rsidRPr="00215419" w:rsidRDefault="0038085C" w:rsidP="0038085C">
            <w:pPr>
              <w:pStyle w:val="Level1"/>
              <w:numPr>
                <w:ilvl w:val="0"/>
                <w:numId w:val="0"/>
              </w:numPr>
              <w:tabs>
                <w:tab w:val="left" w:pos="1418"/>
              </w:tabs>
              <w:spacing w:before="0" w:after="0" w:line="240" w:lineRule="auto"/>
              <w:rPr>
                <w:rFonts w:asciiTheme="minorHAnsi" w:hAnsiTheme="minorHAnsi" w:cstheme="minorHAnsi"/>
                <w:bCs/>
                <w:color w:val="auto"/>
                <w:sz w:val="18"/>
                <w:szCs w:val="18"/>
              </w:rPr>
            </w:pPr>
            <w:r>
              <w:rPr>
                <w:rFonts w:asciiTheme="minorHAnsi" w:hAnsiTheme="minorHAnsi" w:cstheme="minorHAnsi"/>
                <w:bCs/>
                <w:color w:val="auto"/>
                <w:sz w:val="18"/>
                <w:szCs w:val="18"/>
              </w:rPr>
              <w:t>ASDA, Newton Road</w:t>
            </w:r>
          </w:p>
        </w:tc>
        <w:tc>
          <w:tcPr>
            <w:tcW w:w="1920" w:type="dxa"/>
            <w:shd w:val="clear" w:color="auto" w:fill="auto"/>
            <w:vAlign w:val="center"/>
          </w:tcPr>
          <w:p w14:paraId="458A9DBF" w14:textId="368F91EF" w:rsidR="0038085C" w:rsidRPr="00215419" w:rsidRDefault="0038085C" w:rsidP="0038085C">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£0.0</w:t>
            </w:r>
          </w:p>
        </w:tc>
        <w:tc>
          <w:tcPr>
            <w:tcW w:w="1920" w:type="dxa"/>
            <w:shd w:val="clear" w:color="auto" w:fill="auto"/>
            <w:vAlign w:val="center"/>
          </w:tcPr>
          <w:p w14:paraId="71D28778" w14:textId="3CDE600E" w:rsidR="0038085C" w:rsidRPr="00215419" w:rsidRDefault="0038085C" w:rsidP="0038085C">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£35.0</w:t>
            </w:r>
          </w:p>
        </w:tc>
        <w:tc>
          <w:tcPr>
            <w:tcW w:w="1963" w:type="dxa"/>
            <w:shd w:val="clear" w:color="auto" w:fill="auto"/>
            <w:vAlign w:val="center"/>
          </w:tcPr>
          <w:p w14:paraId="34A3F3B1" w14:textId="4A516F2E" w:rsidR="0038085C" w:rsidRPr="00215419" w:rsidRDefault="0038085C" w:rsidP="0038085C">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 xml:space="preserve"> -</w:t>
            </w:r>
          </w:p>
        </w:tc>
        <w:tc>
          <w:tcPr>
            <w:tcW w:w="1666" w:type="dxa"/>
            <w:shd w:val="clear" w:color="auto" w:fill="auto"/>
            <w:vAlign w:val="center"/>
          </w:tcPr>
          <w:p w14:paraId="338CF559" w14:textId="31231C31"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r>
      <w:tr w:rsidR="0038085C" w:rsidRPr="006C2103" w14:paraId="01F474AD" w14:textId="41AD23E9" w:rsidTr="00380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79B304EC" w14:textId="7F8DE391" w:rsidR="0038085C" w:rsidRPr="00215419" w:rsidRDefault="0038085C" w:rsidP="0038085C">
            <w:pPr>
              <w:pStyle w:val="Level1"/>
              <w:numPr>
                <w:ilvl w:val="0"/>
                <w:numId w:val="0"/>
              </w:numPr>
              <w:tabs>
                <w:tab w:val="left" w:pos="1418"/>
              </w:tabs>
              <w:spacing w:before="0" w:after="0" w:line="240" w:lineRule="auto"/>
              <w:rPr>
                <w:rFonts w:asciiTheme="minorHAnsi" w:hAnsiTheme="minorHAnsi" w:cstheme="minorHAnsi"/>
                <w:bCs/>
                <w:color w:val="auto"/>
                <w:sz w:val="18"/>
                <w:szCs w:val="18"/>
              </w:rPr>
            </w:pPr>
            <w:r>
              <w:rPr>
                <w:rFonts w:asciiTheme="minorHAnsi" w:hAnsiTheme="minorHAnsi" w:cstheme="minorHAnsi"/>
                <w:bCs/>
                <w:color w:val="auto"/>
                <w:sz w:val="18"/>
                <w:szCs w:val="18"/>
              </w:rPr>
              <w:t>Lidl, Newton Road</w:t>
            </w:r>
          </w:p>
        </w:tc>
        <w:tc>
          <w:tcPr>
            <w:tcW w:w="1920" w:type="dxa"/>
            <w:shd w:val="clear" w:color="auto" w:fill="auto"/>
            <w:vAlign w:val="center"/>
          </w:tcPr>
          <w:p w14:paraId="63D0D9E1" w14:textId="6582D8A1" w:rsidR="0038085C" w:rsidRPr="00215419" w:rsidRDefault="0038085C" w:rsidP="0038085C">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£21.7</w:t>
            </w:r>
          </w:p>
        </w:tc>
        <w:tc>
          <w:tcPr>
            <w:tcW w:w="1920" w:type="dxa"/>
            <w:shd w:val="clear" w:color="auto" w:fill="auto"/>
            <w:vAlign w:val="center"/>
          </w:tcPr>
          <w:p w14:paraId="5E436839" w14:textId="67BD7FD0" w:rsidR="0038085C" w:rsidRPr="00215419" w:rsidRDefault="0038085C" w:rsidP="0038085C">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£25.3</w:t>
            </w:r>
          </w:p>
        </w:tc>
        <w:tc>
          <w:tcPr>
            <w:tcW w:w="1963" w:type="dxa"/>
            <w:shd w:val="clear" w:color="auto" w:fill="auto"/>
            <w:vAlign w:val="center"/>
          </w:tcPr>
          <w:p w14:paraId="5B024A97" w14:textId="6BDD3AE8" w:rsidR="0038085C" w:rsidRPr="00215419" w:rsidRDefault="0038085C" w:rsidP="0038085C">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18"/>
                <w:szCs w:val="18"/>
              </w:rPr>
            </w:pPr>
            <w:r>
              <w:rPr>
                <w:rFonts w:cs="Open Sans"/>
                <w:color w:val="000000"/>
                <w:sz w:val="18"/>
                <w:szCs w:val="18"/>
              </w:rPr>
              <w:t>£3.6</w:t>
            </w:r>
          </w:p>
        </w:tc>
        <w:tc>
          <w:tcPr>
            <w:tcW w:w="1666" w:type="dxa"/>
            <w:shd w:val="clear" w:color="auto" w:fill="auto"/>
            <w:vAlign w:val="center"/>
          </w:tcPr>
          <w:p w14:paraId="2A476D8C" w14:textId="2129C926"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17%</w:t>
            </w:r>
          </w:p>
        </w:tc>
      </w:tr>
      <w:tr w:rsidR="0038085C" w:rsidRPr="006C2103" w14:paraId="754833C7" w14:textId="11426DC7" w:rsidTr="00380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2E45069A" w14:textId="7B64B9C7"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Local stores</w:t>
            </w:r>
          </w:p>
        </w:tc>
        <w:tc>
          <w:tcPr>
            <w:tcW w:w="1920" w:type="dxa"/>
            <w:shd w:val="clear" w:color="auto" w:fill="auto"/>
            <w:vAlign w:val="center"/>
          </w:tcPr>
          <w:p w14:paraId="291B17D1" w14:textId="5B167BD0"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£36.2</w:t>
            </w:r>
          </w:p>
        </w:tc>
        <w:tc>
          <w:tcPr>
            <w:tcW w:w="1920" w:type="dxa"/>
            <w:shd w:val="clear" w:color="auto" w:fill="auto"/>
            <w:vAlign w:val="center"/>
          </w:tcPr>
          <w:p w14:paraId="0F6D668D" w14:textId="0898BF92"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£39.5</w:t>
            </w:r>
          </w:p>
        </w:tc>
        <w:tc>
          <w:tcPr>
            <w:tcW w:w="1963" w:type="dxa"/>
            <w:shd w:val="clear" w:color="auto" w:fill="auto"/>
            <w:vAlign w:val="center"/>
          </w:tcPr>
          <w:p w14:paraId="7303D67B" w14:textId="66F9F1D1"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£3.3</w:t>
            </w:r>
          </w:p>
        </w:tc>
        <w:tc>
          <w:tcPr>
            <w:tcW w:w="1666" w:type="dxa"/>
            <w:shd w:val="clear" w:color="auto" w:fill="auto"/>
            <w:vAlign w:val="center"/>
          </w:tcPr>
          <w:p w14:paraId="3C7A1D92" w14:textId="1DBEDE75"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9%</w:t>
            </w:r>
          </w:p>
        </w:tc>
      </w:tr>
      <w:tr w:rsidR="0038085C" w:rsidRPr="006C2103" w14:paraId="1461D404" w14:textId="33CD3F4F" w:rsidTr="00380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E8E9E7" w:themeFill="background2" w:themeFillTint="66"/>
          </w:tcPr>
          <w:p w14:paraId="6DF74650" w14:textId="21D8BC57" w:rsidR="0038085C" w:rsidRPr="003914EF" w:rsidRDefault="0038085C" w:rsidP="0038085C">
            <w:pPr>
              <w:pStyle w:val="Level1"/>
              <w:numPr>
                <w:ilvl w:val="0"/>
                <w:numId w:val="0"/>
              </w:numPr>
              <w:tabs>
                <w:tab w:val="left" w:pos="1418"/>
              </w:tabs>
              <w:spacing w:after="0" w:line="240" w:lineRule="auto"/>
              <w:rPr>
                <w:rFonts w:asciiTheme="minorHAnsi" w:hAnsiTheme="minorHAnsi" w:cstheme="minorHAnsi"/>
                <w:b/>
                <w:sz w:val="18"/>
                <w:szCs w:val="18"/>
              </w:rPr>
            </w:pPr>
            <w:r w:rsidRPr="003914EF">
              <w:rPr>
                <w:rFonts w:asciiTheme="minorHAnsi" w:hAnsiTheme="minorHAnsi" w:cstheme="minorHAnsi"/>
                <w:b/>
                <w:sz w:val="18"/>
                <w:szCs w:val="18"/>
              </w:rPr>
              <w:t>PAIGNTON</w:t>
            </w:r>
          </w:p>
        </w:tc>
        <w:tc>
          <w:tcPr>
            <w:tcW w:w="1920" w:type="dxa"/>
            <w:shd w:val="clear" w:color="auto" w:fill="E8E9E7" w:themeFill="background2" w:themeFillTint="66"/>
            <w:vAlign w:val="center"/>
          </w:tcPr>
          <w:p w14:paraId="42514FFE" w14:textId="3E68E7D3"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c>
          <w:tcPr>
            <w:tcW w:w="1920" w:type="dxa"/>
            <w:shd w:val="clear" w:color="auto" w:fill="E8E9E7" w:themeFill="background2" w:themeFillTint="66"/>
            <w:vAlign w:val="center"/>
          </w:tcPr>
          <w:p w14:paraId="44769086" w14:textId="599261C4"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 </w:t>
            </w:r>
          </w:p>
        </w:tc>
        <w:tc>
          <w:tcPr>
            <w:tcW w:w="1963" w:type="dxa"/>
            <w:shd w:val="clear" w:color="auto" w:fill="E8E9E7" w:themeFill="background2" w:themeFillTint="66"/>
            <w:vAlign w:val="center"/>
          </w:tcPr>
          <w:p w14:paraId="139348F0" w14:textId="5FBD8D6B"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c>
          <w:tcPr>
            <w:tcW w:w="1666" w:type="dxa"/>
            <w:shd w:val="clear" w:color="auto" w:fill="E8E9E7" w:themeFill="background2" w:themeFillTint="66"/>
            <w:vAlign w:val="center"/>
          </w:tcPr>
          <w:p w14:paraId="6402884C" w14:textId="05E72D52"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r>
      <w:tr w:rsidR="0038085C" w:rsidRPr="006C2103" w14:paraId="035D88C8" w14:textId="5033BA34" w:rsidTr="00380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080F531B" w14:textId="681A7261"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Total</w:t>
            </w:r>
          </w:p>
        </w:tc>
        <w:tc>
          <w:tcPr>
            <w:tcW w:w="1920" w:type="dxa"/>
            <w:shd w:val="clear" w:color="auto" w:fill="auto"/>
            <w:vAlign w:val="center"/>
          </w:tcPr>
          <w:p w14:paraId="4EF3E862" w14:textId="10C26867"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£136.0</w:t>
            </w:r>
          </w:p>
        </w:tc>
        <w:tc>
          <w:tcPr>
            <w:tcW w:w="1920" w:type="dxa"/>
            <w:shd w:val="clear" w:color="auto" w:fill="auto"/>
            <w:vAlign w:val="center"/>
          </w:tcPr>
          <w:p w14:paraId="7E26CC91" w14:textId="0D2BE115"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£153.3</w:t>
            </w:r>
          </w:p>
        </w:tc>
        <w:tc>
          <w:tcPr>
            <w:tcW w:w="1963" w:type="dxa"/>
            <w:shd w:val="clear" w:color="auto" w:fill="auto"/>
            <w:vAlign w:val="center"/>
          </w:tcPr>
          <w:p w14:paraId="3182D621" w14:textId="676695CE"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£17.3</w:t>
            </w:r>
          </w:p>
        </w:tc>
        <w:tc>
          <w:tcPr>
            <w:tcW w:w="1666" w:type="dxa"/>
            <w:shd w:val="clear" w:color="auto" w:fill="auto"/>
            <w:vAlign w:val="center"/>
          </w:tcPr>
          <w:p w14:paraId="6B7B3AA0" w14:textId="658DDBFF"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13%</w:t>
            </w:r>
          </w:p>
        </w:tc>
      </w:tr>
      <w:tr w:rsidR="0038085C" w:rsidRPr="006C2103" w14:paraId="38B25552" w14:textId="7184EEE1" w:rsidTr="00380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36551D80" w14:textId="6BC6ABA4"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Town Centre</w:t>
            </w:r>
          </w:p>
        </w:tc>
        <w:tc>
          <w:tcPr>
            <w:tcW w:w="1920" w:type="dxa"/>
            <w:shd w:val="clear" w:color="auto" w:fill="auto"/>
            <w:vAlign w:val="center"/>
          </w:tcPr>
          <w:p w14:paraId="7A597DDB" w14:textId="0E3DAF84"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£21.3</w:t>
            </w:r>
          </w:p>
        </w:tc>
        <w:tc>
          <w:tcPr>
            <w:tcW w:w="1920" w:type="dxa"/>
            <w:shd w:val="clear" w:color="auto" w:fill="auto"/>
            <w:vAlign w:val="center"/>
          </w:tcPr>
          <w:p w14:paraId="563E29E7" w14:textId="6F830150"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£17.8</w:t>
            </w:r>
          </w:p>
        </w:tc>
        <w:tc>
          <w:tcPr>
            <w:tcW w:w="1963" w:type="dxa"/>
            <w:shd w:val="clear" w:color="auto" w:fill="auto"/>
            <w:vAlign w:val="center"/>
          </w:tcPr>
          <w:p w14:paraId="29DA59C3" w14:textId="0FD65A45"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-£3.5</w:t>
            </w:r>
          </w:p>
        </w:tc>
        <w:tc>
          <w:tcPr>
            <w:tcW w:w="1666" w:type="dxa"/>
            <w:shd w:val="clear" w:color="auto" w:fill="auto"/>
            <w:vAlign w:val="center"/>
          </w:tcPr>
          <w:p w14:paraId="13CD172A" w14:textId="2D51B474"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-16%</w:t>
            </w:r>
          </w:p>
        </w:tc>
      </w:tr>
      <w:tr w:rsidR="0038085C" w:rsidRPr="006C2103" w14:paraId="3B0FB103" w14:textId="3DFE6F9D" w:rsidTr="00380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2C800F92" w14:textId="4EB8CEC7"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Preston district centre</w:t>
            </w:r>
          </w:p>
        </w:tc>
        <w:tc>
          <w:tcPr>
            <w:tcW w:w="1920" w:type="dxa"/>
            <w:shd w:val="clear" w:color="auto" w:fill="auto"/>
            <w:vAlign w:val="center"/>
          </w:tcPr>
          <w:p w14:paraId="47E21347" w14:textId="32848023"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£12.9</w:t>
            </w:r>
          </w:p>
        </w:tc>
        <w:tc>
          <w:tcPr>
            <w:tcW w:w="1920" w:type="dxa"/>
            <w:shd w:val="clear" w:color="auto" w:fill="auto"/>
            <w:vAlign w:val="center"/>
          </w:tcPr>
          <w:p w14:paraId="470A7052" w14:textId="203488D2"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£12.4</w:t>
            </w:r>
          </w:p>
        </w:tc>
        <w:tc>
          <w:tcPr>
            <w:tcW w:w="1963" w:type="dxa"/>
            <w:shd w:val="clear" w:color="auto" w:fill="auto"/>
            <w:vAlign w:val="center"/>
          </w:tcPr>
          <w:p w14:paraId="7683D858" w14:textId="1A71AC6B"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-£0.5</w:t>
            </w:r>
          </w:p>
        </w:tc>
        <w:tc>
          <w:tcPr>
            <w:tcW w:w="1666" w:type="dxa"/>
            <w:shd w:val="clear" w:color="auto" w:fill="auto"/>
            <w:vAlign w:val="center"/>
          </w:tcPr>
          <w:p w14:paraId="650CAD34" w14:textId="15F04D54"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-4%</w:t>
            </w:r>
          </w:p>
        </w:tc>
      </w:tr>
      <w:tr w:rsidR="0038085C" w:rsidRPr="006C2103" w14:paraId="6A0983F0" w14:textId="325D958F" w:rsidTr="00380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6406A278" w14:textId="61416EA6"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ASDA, Borough Close</w:t>
            </w:r>
          </w:p>
        </w:tc>
        <w:tc>
          <w:tcPr>
            <w:tcW w:w="1920" w:type="dxa"/>
            <w:shd w:val="clear" w:color="auto" w:fill="auto"/>
            <w:vAlign w:val="center"/>
          </w:tcPr>
          <w:p w14:paraId="6D93C263" w14:textId="3ED35BCB"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£0.0</w:t>
            </w:r>
          </w:p>
        </w:tc>
        <w:tc>
          <w:tcPr>
            <w:tcW w:w="1920" w:type="dxa"/>
            <w:shd w:val="clear" w:color="auto" w:fill="auto"/>
            <w:vAlign w:val="center"/>
          </w:tcPr>
          <w:p w14:paraId="58954647" w14:textId="4D755123"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£13.5</w:t>
            </w:r>
          </w:p>
        </w:tc>
        <w:tc>
          <w:tcPr>
            <w:tcW w:w="1963" w:type="dxa"/>
            <w:shd w:val="clear" w:color="auto" w:fill="auto"/>
            <w:vAlign w:val="center"/>
          </w:tcPr>
          <w:p w14:paraId="71B5E470" w14:textId="2AFD4D88"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c>
          <w:tcPr>
            <w:tcW w:w="1666" w:type="dxa"/>
            <w:shd w:val="clear" w:color="auto" w:fill="auto"/>
            <w:vAlign w:val="center"/>
          </w:tcPr>
          <w:p w14:paraId="4B3F577B" w14:textId="52942A0E"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r>
      <w:tr w:rsidR="0038085C" w:rsidRPr="006C2103" w14:paraId="7EAE4AF9" w14:textId="580BDCEE" w:rsidTr="00380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0A1773B8" w14:textId="0FA42C58"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Iceland, Devonshire Retail Park</w:t>
            </w:r>
          </w:p>
        </w:tc>
        <w:tc>
          <w:tcPr>
            <w:tcW w:w="1920" w:type="dxa"/>
            <w:shd w:val="clear" w:color="auto" w:fill="auto"/>
            <w:vAlign w:val="center"/>
          </w:tcPr>
          <w:p w14:paraId="40BF120A" w14:textId="2B78A934"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£0.0</w:t>
            </w:r>
          </w:p>
        </w:tc>
        <w:tc>
          <w:tcPr>
            <w:tcW w:w="1920" w:type="dxa"/>
            <w:shd w:val="clear" w:color="auto" w:fill="auto"/>
            <w:vAlign w:val="center"/>
          </w:tcPr>
          <w:p w14:paraId="7D23EC4F" w14:textId="4F000456"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£4.8</w:t>
            </w:r>
          </w:p>
        </w:tc>
        <w:tc>
          <w:tcPr>
            <w:tcW w:w="1963" w:type="dxa"/>
            <w:shd w:val="clear" w:color="auto" w:fill="auto"/>
            <w:vAlign w:val="center"/>
          </w:tcPr>
          <w:p w14:paraId="662D9B5E" w14:textId="191E3826"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c>
          <w:tcPr>
            <w:tcW w:w="1666" w:type="dxa"/>
            <w:shd w:val="clear" w:color="auto" w:fill="auto"/>
            <w:vAlign w:val="center"/>
          </w:tcPr>
          <w:p w14:paraId="5A2768BB" w14:textId="375CD436"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r>
      <w:tr w:rsidR="0038085C" w:rsidRPr="006C2103" w14:paraId="5612000A" w14:textId="34E9B8B5" w:rsidTr="00380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2FA44573" w14:textId="24C3BA71"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Morrisons, Totnes Road</w:t>
            </w:r>
          </w:p>
        </w:tc>
        <w:tc>
          <w:tcPr>
            <w:tcW w:w="1920" w:type="dxa"/>
            <w:shd w:val="clear" w:color="auto" w:fill="auto"/>
            <w:vAlign w:val="center"/>
          </w:tcPr>
          <w:p w14:paraId="4C090A4B" w14:textId="4471F5A7"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£55.7</w:t>
            </w:r>
          </w:p>
        </w:tc>
        <w:tc>
          <w:tcPr>
            <w:tcW w:w="1920" w:type="dxa"/>
            <w:shd w:val="clear" w:color="auto" w:fill="auto"/>
            <w:vAlign w:val="center"/>
          </w:tcPr>
          <w:p w14:paraId="11DCBDF5" w14:textId="62E9EACC"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£31.8</w:t>
            </w:r>
          </w:p>
        </w:tc>
        <w:tc>
          <w:tcPr>
            <w:tcW w:w="1963" w:type="dxa"/>
            <w:shd w:val="clear" w:color="auto" w:fill="auto"/>
            <w:vAlign w:val="center"/>
          </w:tcPr>
          <w:p w14:paraId="5C702A42" w14:textId="42E179DD"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-£23.9</w:t>
            </w:r>
          </w:p>
        </w:tc>
        <w:tc>
          <w:tcPr>
            <w:tcW w:w="1666" w:type="dxa"/>
            <w:shd w:val="clear" w:color="auto" w:fill="auto"/>
            <w:vAlign w:val="center"/>
          </w:tcPr>
          <w:p w14:paraId="055FCB61" w14:textId="5F0CE063"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-43%</w:t>
            </w:r>
          </w:p>
        </w:tc>
      </w:tr>
      <w:tr w:rsidR="0038085C" w:rsidRPr="006C2103" w14:paraId="0E26EE16" w14:textId="4709F0A0" w:rsidTr="00380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0B986637" w14:textId="48BF27FF"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Sainsburys, Yalberton Road</w:t>
            </w:r>
          </w:p>
        </w:tc>
        <w:tc>
          <w:tcPr>
            <w:tcW w:w="1920" w:type="dxa"/>
            <w:shd w:val="clear" w:color="auto" w:fill="auto"/>
            <w:vAlign w:val="center"/>
          </w:tcPr>
          <w:p w14:paraId="7095F2A4" w14:textId="0C090C49"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£38.8</w:t>
            </w:r>
          </w:p>
        </w:tc>
        <w:tc>
          <w:tcPr>
            <w:tcW w:w="1920" w:type="dxa"/>
            <w:shd w:val="clear" w:color="auto" w:fill="auto"/>
            <w:vAlign w:val="center"/>
          </w:tcPr>
          <w:p w14:paraId="438A734A" w14:textId="52290996"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£27.3</w:t>
            </w:r>
          </w:p>
        </w:tc>
        <w:tc>
          <w:tcPr>
            <w:tcW w:w="1963" w:type="dxa"/>
            <w:shd w:val="clear" w:color="auto" w:fill="auto"/>
            <w:vAlign w:val="center"/>
          </w:tcPr>
          <w:p w14:paraId="3175C583" w14:textId="0B619AC2"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-£11.5</w:t>
            </w:r>
          </w:p>
        </w:tc>
        <w:tc>
          <w:tcPr>
            <w:tcW w:w="1666" w:type="dxa"/>
            <w:shd w:val="clear" w:color="auto" w:fill="auto"/>
            <w:vAlign w:val="center"/>
          </w:tcPr>
          <w:p w14:paraId="6361004A" w14:textId="3A7AC118"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-30%</w:t>
            </w:r>
          </w:p>
        </w:tc>
      </w:tr>
      <w:tr w:rsidR="0038085C" w:rsidRPr="006C2103" w14:paraId="7B9F65BB" w14:textId="1B5512BE" w:rsidTr="00380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06887E03" w14:textId="3697D318"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Lidl, White Rock</w:t>
            </w:r>
          </w:p>
        </w:tc>
        <w:tc>
          <w:tcPr>
            <w:tcW w:w="1920" w:type="dxa"/>
            <w:shd w:val="clear" w:color="auto" w:fill="auto"/>
            <w:vAlign w:val="center"/>
          </w:tcPr>
          <w:p w14:paraId="3D56FF86" w14:textId="124E8D8A"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£0.0</w:t>
            </w:r>
          </w:p>
        </w:tc>
        <w:tc>
          <w:tcPr>
            <w:tcW w:w="1920" w:type="dxa"/>
            <w:shd w:val="clear" w:color="auto" w:fill="auto"/>
            <w:vAlign w:val="center"/>
          </w:tcPr>
          <w:p w14:paraId="4D9587A1" w14:textId="6A98961C"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£16.7</w:t>
            </w:r>
          </w:p>
        </w:tc>
        <w:tc>
          <w:tcPr>
            <w:tcW w:w="1963" w:type="dxa"/>
            <w:shd w:val="clear" w:color="auto" w:fill="auto"/>
            <w:vAlign w:val="center"/>
          </w:tcPr>
          <w:p w14:paraId="7C80FE0E" w14:textId="7F45DD40"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c>
          <w:tcPr>
            <w:tcW w:w="1666" w:type="dxa"/>
            <w:shd w:val="clear" w:color="auto" w:fill="auto"/>
            <w:vAlign w:val="center"/>
          </w:tcPr>
          <w:p w14:paraId="29BCC02B" w14:textId="3645E4F3"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r>
      <w:tr w:rsidR="0038085C" w:rsidRPr="006C2103" w14:paraId="4475260A" w14:textId="4924ED7D" w:rsidTr="00380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2D0EA082" w14:textId="7384F3FA"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ALDI, Brixham Road</w:t>
            </w:r>
          </w:p>
        </w:tc>
        <w:tc>
          <w:tcPr>
            <w:tcW w:w="1920" w:type="dxa"/>
            <w:shd w:val="clear" w:color="auto" w:fill="auto"/>
            <w:vAlign w:val="center"/>
          </w:tcPr>
          <w:p w14:paraId="25307285" w14:textId="1CA3548F"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£0.0</w:t>
            </w:r>
          </w:p>
        </w:tc>
        <w:tc>
          <w:tcPr>
            <w:tcW w:w="1920" w:type="dxa"/>
            <w:shd w:val="clear" w:color="auto" w:fill="auto"/>
            <w:vAlign w:val="center"/>
          </w:tcPr>
          <w:p w14:paraId="4EA6233E" w14:textId="40EFB1CA"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£21.0</w:t>
            </w:r>
          </w:p>
        </w:tc>
        <w:tc>
          <w:tcPr>
            <w:tcW w:w="1963" w:type="dxa"/>
            <w:shd w:val="clear" w:color="auto" w:fill="auto"/>
            <w:vAlign w:val="center"/>
          </w:tcPr>
          <w:p w14:paraId="56A2F3F0" w14:textId="326D0C21"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c>
          <w:tcPr>
            <w:tcW w:w="1666" w:type="dxa"/>
            <w:shd w:val="clear" w:color="auto" w:fill="auto"/>
            <w:vAlign w:val="center"/>
          </w:tcPr>
          <w:p w14:paraId="28B7B345" w14:textId="1C771D44"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r>
      <w:tr w:rsidR="0038085C" w:rsidRPr="006C2103" w14:paraId="39DD36FD" w14:textId="2A653642" w:rsidTr="00380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5D411E08" w14:textId="5CC53255"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Local stores</w:t>
            </w:r>
          </w:p>
        </w:tc>
        <w:tc>
          <w:tcPr>
            <w:tcW w:w="1920" w:type="dxa"/>
            <w:shd w:val="clear" w:color="auto" w:fill="auto"/>
            <w:vAlign w:val="center"/>
          </w:tcPr>
          <w:p w14:paraId="2629EEED" w14:textId="691F502F"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£7.3</w:t>
            </w:r>
          </w:p>
        </w:tc>
        <w:tc>
          <w:tcPr>
            <w:tcW w:w="1920" w:type="dxa"/>
            <w:shd w:val="clear" w:color="auto" w:fill="auto"/>
            <w:vAlign w:val="center"/>
          </w:tcPr>
          <w:p w14:paraId="31BFC1A8" w14:textId="71540791"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£8.0</w:t>
            </w:r>
          </w:p>
        </w:tc>
        <w:tc>
          <w:tcPr>
            <w:tcW w:w="1963" w:type="dxa"/>
            <w:shd w:val="clear" w:color="auto" w:fill="auto"/>
            <w:vAlign w:val="center"/>
          </w:tcPr>
          <w:p w14:paraId="24750F6B" w14:textId="3FB3467A"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£0.7</w:t>
            </w:r>
          </w:p>
        </w:tc>
        <w:tc>
          <w:tcPr>
            <w:tcW w:w="1666" w:type="dxa"/>
            <w:shd w:val="clear" w:color="auto" w:fill="auto"/>
            <w:vAlign w:val="center"/>
          </w:tcPr>
          <w:p w14:paraId="07DF53CD" w14:textId="5BA39973"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10%</w:t>
            </w:r>
          </w:p>
        </w:tc>
      </w:tr>
      <w:tr w:rsidR="0038085C" w:rsidRPr="006C2103" w14:paraId="6C6938BF" w14:textId="1D9EA070" w:rsidTr="00380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E8E9E7" w:themeFill="background2" w:themeFillTint="66"/>
          </w:tcPr>
          <w:p w14:paraId="76936DCF" w14:textId="2C5DB95D" w:rsidR="0038085C" w:rsidRPr="003914EF" w:rsidRDefault="0038085C" w:rsidP="0038085C">
            <w:pPr>
              <w:pStyle w:val="Level1"/>
              <w:numPr>
                <w:ilvl w:val="0"/>
                <w:numId w:val="0"/>
              </w:numPr>
              <w:tabs>
                <w:tab w:val="left" w:pos="1418"/>
              </w:tabs>
              <w:spacing w:after="0" w:line="240" w:lineRule="auto"/>
              <w:rPr>
                <w:rFonts w:asciiTheme="minorHAnsi" w:hAnsiTheme="minorHAnsi" w:cstheme="minorHAnsi"/>
                <w:b/>
                <w:sz w:val="18"/>
                <w:szCs w:val="18"/>
              </w:rPr>
            </w:pPr>
            <w:r w:rsidRPr="003914EF">
              <w:rPr>
                <w:rFonts w:asciiTheme="minorHAnsi" w:hAnsiTheme="minorHAnsi" w:cstheme="minorHAnsi"/>
                <w:b/>
                <w:sz w:val="18"/>
                <w:szCs w:val="18"/>
              </w:rPr>
              <w:lastRenderedPageBreak/>
              <w:t>BRIXHAM</w:t>
            </w:r>
          </w:p>
        </w:tc>
        <w:tc>
          <w:tcPr>
            <w:tcW w:w="1920" w:type="dxa"/>
            <w:shd w:val="clear" w:color="auto" w:fill="E8E9E7" w:themeFill="background2" w:themeFillTint="66"/>
            <w:vAlign w:val="center"/>
          </w:tcPr>
          <w:p w14:paraId="10E89F9B" w14:textId="2E42B688"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c>
          <w:tcPr>
            <w:tcW w:w="1920" w:type="dxa"/>
            <w:shd w:val="clear" w:color="auto" w:fill="E8E9E7" w:themeFill="background2" w:themeFillTint="66"/>
            <w:vAlign w:val="center"/>
          </w:tcPr>
          <w:p w14:paraId="473FA518" w14:textId="50614C82"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 </w:t>
            </w:r>
          </w:p>
        </w:tc>
        <w:tc>
          <w:tcPr>
            <w:tcW w:w="1963" w:type="dxa"/>
            <w:shd w:val="clear" w:color="auto" w:fill="E8E9E7" w:themeFill="background2" w:themeFillTint="66"/>
            <w:vAlign w:val="center"/>
          </w:tcPr>
          <w:p w14:paraId="6FAD74DD" w14:textId="3FC0ED8B"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c>
          <w:tcPr>
            <w:tcW w:w="1666" w:type="dxa"/>
            <w:shd w:val="clear" w:color="auto" w:fill="E8E9E7" w:themeFill="background2" w:themeFillTint="66"/>
            <w:vAlign w:val="center"/>
          </w:tcPr>
          <w:p w14:paraId="697DAEAB" w14:textId="6765D0ED"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 xml:space="preserve"> </w:t>
            </w:r>
          </w:p>
        </w:tc>
      </w:tr>
      <w:tr w:rsidR="0038085C" w:rsidRPr="006C2103" w14:paraId="3B977C76" w14:textId="15A2C8FD" w:rsidTr="00380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1BB2D7F9" w14:textId="650519D9"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Total</w:t>
            </w:r>
          </w:p>
        </w:tc>
        <w:tc>
          <w:tcPr>
            <w:tcW w:w="1920" w:type="dxa"/>
            <w:shd w:val="clear" w:color="auto" w:fill="auto"/>
            <w:vAlign w:val="center"/>
          </w:tcPr>
          <w:p w14:paraId="3714242E" w14:textId="480CEF5C"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£15.9</w:t>
            </w:r>
          </w:p>
        </w:tc>
        <w:tc>
          <w:tcPr>
            <w:tcW w:w="1920" w:type="dxa"/>
            <w:shd w:val="clear" w:color="auto" w:fill="auto"/>
            <w:vAlign w:val="center"/>
          </w:tcPr>
          <w:p w14:paraId="1ABCBF72" w14:textId="33477F67"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£17.2</w:t>
            </w:r>
          </w:p>
        </w:tc>
        <w:tc>
          <w:tcPr>
            <w:tcW w:w="1963" w:type="dxa"/>
            <w:shd w:val="clear" w:color="auto" w:fill="auto"/>
            <w:vAlign w:val="center"/>
          </w:tcPr>
          <w:p w14:paraId="56093DDF" w14:textId="58EF6A3C"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£1.3</w:t>
            </w:r>
          </w:p>
        </w:tc>
        <w:tc>
          <w:tcPr>
            <w:tcW w:w="1666" w:type="dxa"/>
            <w:shd w:val="clear" w:color="auto" w:fill="auto"/>
            <w:vAlign w:val="center"/>
          </w:tcPr>
          <w:p w14:paraId="210556D9" w14:textId="73CB5523"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8%</w:t>
            </w:r>
          </w:p>
        </w:tc>
      </w:tr>
      <w:tr w:rsidR="0038085C" w:rsidRPr="006C2103" w14:paraId="6749B694" w14:textId="64E17A80" w:rsidTr="003808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3D8E9CA6" w14:textId="4454D396"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Town Centre</w:t>
            </w:r>
          </w:p>
        </w:tc>
        <w:tc>
          <w:tcPr>
            <w:tcW w:w="1920" w:type="dxa"/>
            <w:shd w:val="clear" w:color="auto" w:fill="auto"/>
            <w:vAlign w:val="center"/>
          </w:tcPr>
          <w:p w14:paraId="231C67B8" w14:textId="5A8E1BA5"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£9.9</w:t>
            </w:r>
          </w:p>
        </w:tc>
        <w:tc>
          <w:tcPr>
            <w:tcW w:w="1920" w:type="dxa"/>
            <w:shd w:val="clear" w:color="auto" w:fill="auto"/>
            <w:vAlign w:val="center"/>
          </w:tcPr>
          <w:p w14:paraId="13C3C867" w14:textId="18C77391"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£10.0</w:t>
            </w:r>
          </w:p>
        </w:tc>
        <w:tc>
          <w:tcPr>
            <w:tcW w:w="1963" w:type="dxa"/>
            <w:shd w:val="clear" w:color="auto" w:fill="auto"/>
            <w:vAlign w:val="center"/>
          </w:tcPr>
          <w:p w14:paraId="58EBC0A1" w14:textId="36A9475C"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£0.1</w:t>
            </w:r>
          </w:p>
        </w:tc>
        <w:tc>
          <w:tcPr>
            <w:tcW w:w="1666" w:type="dxa"/>
            <w:shd w:val="clear" w:color="auto" w:fill="auto"/>
            <w:vAlign w:val="center"/>
          </w:tcPr>
          <w:p w14:paraId="39257F21" w14:textId="17236B6B" w:rsidR="0038085C" w:rsidRPr="00215419" w:rsidRDefault="0038085C" w:rsidP="0038085C">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Cs/>
                <w:sz w:val="18"/>
                <w:szCs w:val="18"/>
              </w:rPr>
            </w:pPr>
            <w:r>
              <w:rPr>
                <w:rFonts w:cs="Open Sans"/>
                <w:color w:val="000000"/>
                <w:sz w:val="18"/>
                <w:szCs w:val="18"/>
              </w:rPr>
              <w:t>1%</w:t>
            </w:r>
          </w:p>
        </w:tc>
      </w:tr>
      <w:tr w:rsidR="0038085C" w:rsidRPr="006C2103" w14:paraId="7697D330" w14:textId="6E8AEDC7" w:rsidTr="00380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11EE40A8" w14:textId="393770F0" w:rsidR="0038085C" w:rsidRPr="00215419" w:rsidRDefault="0038085C" w:rsidP="0038085C">
            <w:pPr>
              <w:pStyle w:val="Level1"/>
              <w:numPr>
                <w:ilvl w:val="0"/>
                <w:numId w:val="0"/>
              </w:numPr>
              <w:tabs>
                <w:tab w:val="left" w:pos="1418"/>
              </w:tabs>
              <w:spacing w:after="0" w:line="240" w:lineRule="auto"/>
              <w:rPr>
                <w:rFonts w:asciiTheme="minorHAnsi" w:hAnsiTheme="minorHAnsi" w:cstheme="minorHAnsi"/>
                <w:bCs/>
                <w:sz w:val="18"/>
                <w:szCs w:val="18"/>
              </w:rPr>
            </w:pPr>
            <w:r>
              <w:rPr>
                <w:rFonts w:asciiTheme="minorHAnsi" w:hAnsiTheme="minorHAnsi" w:cstheme="minorHAnsi"/>
                <w:bCs/>
                <w:sz w:val="18"/>
                <w:szCs w:val="18"/>
              </w:rPr>
              <w:t>Other</w:t>
            </w:r>
          </w:p>
        </w:tc>
        <w:tc>
          <w:tcPr>
            <w:tcW w:w="1920" w:type="dxa"/>
            <w:shd w:val="clear" w:color="auto" w:fill="auto"/>
            <w:vAlign w:val="center"/>
          </w:tcPr>
          <w:p w14:paraId="7C332E4A" w14:textId="44DC96ED"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£6.0</w:t>
            </w:r>
          </w:p>
        </w:tc>
        <w:tc>
          <w:tcPr>
            <w:tcW w:w="1920" w:type="dxa"/>
            <w:shd w:val="clear" w:color="auto" w:fill="auto"/>
            <w:vAlign w:val="center"/>
          </w:tcPr>
          <w:p w14:paraId="5283D51A" w14:textId="5D96DEA2"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£7.2</w:t>
            </w:r>
          </w:p>
        </w:tc>
        <w:tc>
          <w:tcPr>
            <w:tcW w:w="1963" w:type="dxa"/>
            <w:shd w:val="clear" w:color="auto" w:fill="auto"/>
            <w:vAlign w:val="center"/>
          </w:tcPr>
          <w:p w14:paraId="269328FA" w14:textId="7FE7D333"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£1.2</w:t>
            </w:r>
          </w:p>
        </w:tc>
        <w:tc>
          <w:tcPr>
            <w:tcW w:w="1666" w:type="dxa"/>
            <w:shd w:val="clear" w:color="auto" w:fill="auto"/>
            <w:vAlign w:val="center"/>
          </w:tcPr>
          <w:p w14:paraId="62D0CE7F" w14:textId="7B9E505F" w:rsidR="0038085C" w:rsidRPr="00215419" w:rsidRDefault="0038085C" w:rsidP="0038085C">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18"/>
                <w:szCs w:val="18"/>
              </w:rPr>
            </w:pPr>
            <w:r>
              <w:rPr>
                <w:rFonts w:cs="Open Sans"/>
                <w:color w:val="000000"/>
                <w:sz w:val="18"/>
                <w:szCs w:val="18"/>
              </w:rPr>
              <w:t>20%</w:t>
            </w:r>
          </w:p>
        </w:tc>
      </w:tr>
    </w:tbl>
    <w:p w14:paraId="1B8A9C32" w14:textId="689CC278" w:rsidR="006C2103" w:rsidRDefault="007B59E4" w:rsidP="006C2103">
      <w:pPr>
        <w:pStyle w:val="Level1"/>
        <w:numPr>
          <w:ilvl w:val="0"/>
          <w:numId w:val="0"/>
        </w:numPr>
        <w:tabs>
          <w:tab w:val="left" w:pos="1418"/>
        </w:tabs>
        <w:ind w:left="720"/>
        <w:rPr>
          <w:sz w:val="16"/>
          <w:szCs w:val="16"/>
        </w:rPr>
      </w:pPr>
      <w:r>
        <w:rPr>
          <w:sz w:val="16"/>
          <w:szCs w:val="16"/>
        </w:rPr>
        <w:t xml:space="preserve">Source: </w:t>
      </w:r>
      <w:r w:rsidR="008604EC">
        <w:rPr>
          <w:sz w:val="16"/>
          <w:szCs w:val="16"/>
        </w:rPr>
        <w:t>Table 5a, 2022 retail study &amp; Table 5a, 2013 retail study</w:t>
      </w:r>
    </w:p>
    <w:p w14:paraId="60DD58DF" w14:textId="77777777" w:rsidR="005D7FD8" w:rsidRPr="007B59E4" w:rsidRDefault="005D7FD8" w:rsidP="006C2103">
      <w:pPr>
        <w:pStyle w:val="Level1"/>
        <w:numPr>
          <w:ilvl w:val="0"/>
          <w:numId w:val="0"/>
        </w:numPr>
        <w:tabs>
          <w:tab w:val="left" w:pos="1418"/>
        </w:tabs>
        <w:ind w:left="720"/>
        <w:rPr>
          <w:sz w:val="16"/>
          <w:szCs w:val="16"/>
        </w:rPr>
      </w:pPr>
    </w:p>
    <w:p w14:paraId="1023B6DF" w14:textId="5AF044B7" w:rsidR="006C2103" w:rsidRDefault="008604EC" w:rsidP="000F46E0">
      <w:pPr>
        <w:pStyle w:val="Level1"/>
        <w:tabs>
          <w:tab w:val="left" w:pos="1418"/>
        </w:tabs>
      </w:pPr>
      <w:r>
        <w:t>The contents of Table 5.1 provide the following information:</w:t>
      </w:r>
    </w:p>
    <w:p w14:paraId="4E891871" w14:textId="20C8C209" w:rsidR="008604EC" w:rsidRDefault="008604EC" w:rsidP="008604EC">
      <w:pPr>
        <w:pStyle w:val="ListBullet"/>
      </w:pPr>
      <w:r>
        <w:t xml:space="preserve">It will be noted that there </w:t>
      </w:r>
      <w:proofErr w:type="gramStart"/>
      <w:r>
        <w:t>a number of</w:t>
      </w:r>
      <w:proofErr w:type="gramEnd"/>
      <w:r>
        <w:t xml:space="preserve"> new grocery stores in Torquay and Paignton which did not feature as part of the market share / quantitative assessment analysis in the 2013 retail study (although some were taken into account as commitments for the purposes of forecasting convenience goods floorspace capacity).  The opening of these stores will have had an impact upon the trading levels observed as part of the 2013 retail study analysis.</w:t>
      </w:r>
      <w:r w:rsidR="008C51C8">
        <w:t xml:space="preserve">  Overall, they are assessed to attract circa £90m of convenience goods expenditure from the study area and therefore the impact upon previously observed shopping patterns in the previous evidence base study is likely to be reasonably significant.</w:t>
      </w:r>
    </w:p>
    <w:p w14:paraId="50C896DB" w14:textId="77777777" w:rsidR="008C3419" w:rsidRDefault="008C3419" w:rsidP="008C3419">
      <w:pPr>
        <w:pStyle w:val="ListBullet"/>
        <w:numPr>
          <w:ilvl w:val="0"/>
          <w:numId w:val="0"/>
        </w:numPr>
        <w:ind w:left="1077"/>
      </w:pPr>
    </w:p>
    <w:p w14:paraId="26563247" w14:textId="6F34F1A1" w:rsidR="00730F55" w:rsidRDefault="008C51C8" w:rsidP="00A05FA4">
      <w:pPr>
        <w:pStyle w:val="ListBullet"/>
      </w:pPr>
      <w:r>
        <w:t xml:space="preserve">When </w:t>
      </w:r>
      <w:r w:rsidR="00730F55">
        <w:t xml:space="preserve">comparing the 2013 and 2022 turnover levels, it is important to acknowledge that the two assessments have been undertaken nine years apart and, within that time, available expenditure levels may have changed, depending upon two factors.  First, </w:t>
      </w:r>
      <w:r w:rsidR="008C3419">
        <w:t xml:space="preserve">the 2013 retail study was forecasting that within the study area </w:t>
      </w:r>
      <w:proofErr w:type="gramStart"/>
      <w:r w:rsidR="008C3419">
        <w:t>as a whole there</w:t>
      </w:r>
      <w:proofErr w:type="gramEnd"/>
      <w:r w:rsidR="008C3419">
        <w:t xml:space="preserve"> could be growth of 3.7% in resident population levels between 2013 and 2021.  Within the three Torbay zones, the forecast growth was +3.2% in Zone 3 (Brixham), +6.4% in Zone 4 (Paignton) and +3.4% in Zone 5 (Torquay).  Second, in relation to per capita expenditure levels on convenience goods, the latest data from Experian</w:t>
      </w:r>
      <w:r w:rsidR="008C3419">
        <w:rPr>
          <w:rStyle w:val="FootnoteReference"/>
        </w:rPr>
        <w:footnoteReference w:id="35"/>
      </w:r>
      <w:r w:rsidR="00455CD7">
        <w:t xml:space="preserve"> suggests that per capita expenditure levels did not grow over the same period and </w:t>
      </w:r>
      <w:proofErr w:type="gramStart"/>
      <w:r w:rsidR="00455CD7">
        <w:t>actually decreased</w:t>
      </w:r>
      <w:proofErr w:type="gramEnd"/>
      <w:r w:rsidR="00455CD7">
        <w:t xml:space="preserve"> by -0.2%.  </w:t>
      </w:r>
      <w:r w:rsidR="00E564A5">
        <w:t xml:space="preserve">Nevertheless, increasing resident population levels will have increased available convenience goods expenditure and, therefore, leaving other matters to one side, stores and centres maintaining a constant market share should expect to see a modest increase in turnover. </w:t>
      </w:r>
    </w:p>
    <w:p w14:paraId="2F654A55" w14:textId="77777777" w:rsidR="008C3419" w:rsidRDefault="008C3419" w:rsidP="008C3419">
      <w:pPr>
        <w:pStyle w:val="ListBullet"/>
        <w:numPr>
          <w:ilvl w:val="0"/>
          <w:numId w:val="0"/>
        </w:numPr>
      </w:pPr>
    </w:p>
    <w:p w14:paraId="4D8CD15B" w14:textId="40896F47" w:rsidR="005947F4" w:rsidRDefault="008C51C8" w:rsidP="00F62344">
      <w:pPr>
        <w:pStyle w:val="ListBullet"/>
      </w:pPr>
      <w:r>
        <w:t>Within Torquay</w:t>
      </w:r>
      <w:r w:rsidR="00E564A5">
        <w:t>, Table 5.1 indicates that there has been a mixed picture of store / centre performance levels over the past decade</w:t>
      </w:r>
      <w:r w:rsidR="005947F4">
        <w:t>:</w:t>
      </w:r>
    </w:p>
    <w:p w14:paraId="736E6E7E" w14:textId="77777777" w:rsidR="005947F4" w:rsidRDefault="00E564A5" w:rsidP="005947F4">
      <w:pPr>
        <w:pStyle w:val="ListBullet"/>
        <w:numPr>
          <w:ilvl w:val="1"/>
          <w:numId w:val="5"/>
        </w:numPr>
      </w:pPr>
      <w:r>
        <w:t xml:space="preserve">The town centre and The Willows have lost a considerable amount of turnover, whilst St Marychurch district centre </w:t>
      </w:r>
      <w:r w:rsidR="002B5D25">
        <w:t>has seen a large increase in convenience goods turnover.</w:t>
      </w:r>
      <w:r w:rsidR="005947F4">
        <w:t xml:space="preserve">  There has also need an increase in the turnover of the out of centre Lidl store, which has long been a successful trading location.</w:t>
      </w:r>
    </w:p>
    <w:p w14:paraId="196F7E93" w14:textId="77777777" w:rsidR="005947F4" w:rsidRDefault="005947F4" w:rsidP="005947F4">
      <w:pPr>
        <w:pStyle w:val="ListBullet"/>
        <w:numPr>
          <w:ilvl w:val="1"/>
          <w:numId w:val="5"/>
        </w:numPr>
      </w:pPr>
      <w:r>
        <w:t>One likely reason for the drop in the turnover of The Willows will be due to the opening of the ASDA supermarket on Newton Road.  This store has now been open for several years and it has likely to have been successful due to the historic small number of large mainstream supermarkets in Torquay and the opportunities that this situation gave ASDA to obtain a good proportion of main and top-up food shopping trips in the local area.</w:t>
      </w:r>
    </w:p>
    <w:p w14:paraId="14FB1CA5" w14:textId="36D09A38" w:rsidR="005947F4" w:rsidRDefault="005947F4" w:rsidP="005947F4">
      <w:pPr>
        <w:pStyle w:val="ListBullet"/>
        <w:numPr>
          <w:ilvl w:val="1"/>
          <w:numId w:val="5"/>
        </w:numPr>
      </w:pPr>
      <w:r>
        <w:t xml:space="preserve">Finally, it should be noted that </w:t>
      </w:r>
      <w:r w:rsidR="0024494D">
        <w:t xml:space="preserve">there has been a small increase in turnover of small ‘local’ stores in Torquay, which is not dissimilar to </w:t>
      </w:r>
      <w:r w:rsidR="00735083">
        <w:t>the rise in available expenditure in the local area over the past decade.</w:t>
      </w:r>
    </w:p>
    <w:p w14:paraId="0C0EED96" w14:textId="77777777" w:rsidR="005947F4" w:rsidRDefault="005947F4" w:rsidP="005947F4">
      <w:pPr>
        <w:pStyle w:val="ListBullet"/>
        <w:numPr>
          <w:ilvl w:val="0"/>
          <w:numId w:val="0"/>
        </w:numPr>
      </w:pPr>
    </w:p>
    <w:p w14:paraId="3B1875E6" w14:textId="0584ED46" w:rsidR="00CD324A" w:rsidRDefault="00735083" w:rsidP="00A05FA4">
      <w:pPr>
        <w:pStyle w:val="ListBullet"/>
      </w:pPr>
      <w:r>
        <w:t xml:space="preserve">Within Paignton, Table 5.1 indicates that there has a been a modest (+7%) increase in the turnover of convenience goods facilities between 2013 and 2022.  This is </w:t>
      </w:r>
      <w:r w:rsidR="00F27063">
        <w:t>broadly in line with the likely increase in available convenience goods turnover over the past decade</w:t>
      </w:r>
      <w:r w:rsidR="00761900">
        <w:t xml:space="preserve">, although beneath this </w:t>
      </w:r>
      <w:r w:rsidR="00CD324A">
        <w:t>‘headline’ level there are some significant changes:</w:t>
      </w:r>
    </w:p>
    <w:p w14:paraId="578F3B12" w14:textId="77777777" w:rsidR="00CD324A" w:rsidRDefault="00CD324A" w:rsidP="00CD324A">
      <w:pPr>
        <w:pStyle w:val="ListBullet"/>
        <w:numPr>
          <w:ilvl w:val="0"/>
          <w:numId w:val="0"/>
        </w:numPr>
        <w:ind w:left="1077"/>
      </w:pPr>
    </w:p>
    <w:p w14:paraId="2794BC32" w14:textId="77777777" w:rsidR="00CD324A" w:rsidRDefault="00CD324A" w:rsidP="00CD324A">
      <w:pPr>
        <w:pStyle w:val="ListBullet"/>
        <w:numPr>
          <w:ilvl w:val="1"/>
          <w:numId w:val="5"/>
        </w:numPr>
      </w:pPr>
      <w:r>
        <w:t>Since the completion of the household survey which was used to underpin the 2013 retail study analysis, there have been four notable new store openings: the Lidl and ALDI stores in new local/neighbourhood centres on the western edge of the town, the ASDA store in the former Focus DIY unit and an Iceland Food Warehouse at Devonshire Retail Park.  Collectively, these stores have a study area derived convenience goods turnover of circa £56m.</w:t>
      </w:r>
    </w:p>
    <w:p w14:paraId="3673D690" w14:textId="64882775" w:rsidR="005947F4" w:rsidRDefault="00CD324A" w:rsidP="00CD324A">
      <w:pPr>
        <w:pStyle w:val="ListBullet"/>
        <w:numPr>
          <w:ilvl w:val="1"/>
          <w:numId w:val="5"/>
        </w:numPr>
      </w:pPr>
      <w:r>
        <w:t>The arrival of these stores has had a pronounced effect upon existing stores.  The stores with the largest predicted fall in turnover are the out of centre Sainsburys and Morrisons stores</w:t>
      </w:r>
      <w:r w:rsidR="003B7F2F">
        <w:t>, at -30% and -43% respectively.  This is to be expected as they have the closest level of trading overlap with the recently opened stores.</w:t>
      </w:r>
      <w:r w:rsidR="00234A43">
        <w:t xml:space="preserve">  However, convenience goods stores in Paignton town centre are also forecast to have experienced a -16% fall in turnover, along with a -4% reduction in Preston district centre.</w:t>
      </w:r>
      <w:r>
        <w:t xml:space="preserve">  </w:t>
      </w:r>
    </w:p>
    <w:p w14:paraId="565EA5FE" w14:textId="77777777" w:rsidR="00873DB3" w:rsidRDefault="00873DB3" w:rsidP="00873DB3">
      <w:pPr>
        <w:pStyle w:val="ListBullet"/>
        <w:numPr>
          <w:ilvl w:val="0"/>
          <w:numId w:val="0"/>
        </w:numPr>
        <w:ind w:left="1440"/>
      </w:pPr>
    </w:p>
    <w:p w14:paraId="3F605B6A" w14:textId="60A2E716" w:rsidR="00CD324A" w:rsidRDefault="00234A43" w:rsidP="00A05FA4">
      <w:pPr>
        <w:pStyle w:val="ListBullet"/>
      </w:pPr>
      <w:r>
        <w:t xml:space="preserve">There has been </w:t>
      </w:r>
      <w:r w:rsidR="00306CB6">
        <w:t xml:space="preserve">an 8% increase in the convenience goods turnover of </w:t>
      </w:r>
      <w:r w:rsidR="001D296A">
        <w:t xml:space="preserve">stores in Brixham, which is influenced by a </w:t>
      </w:r>
      <w:r w:rsidR="00873DB3">
        <w:t>relatively static town centre turnover and a +20% increase in the turnover of local stores outside of the town centre.</w:t>
      </w:r>
    </w:p>
    <w:p w14:paraId="55B9F811" w14:textId="7E70BA35" w:rsidR="006C2103" w:rsidRDefault="006C2103" w:rsidP="000F46E0">
      <w:pPr>
        <w:pStyle w:val="Level1"/>
        <w:tabs>
          <w:tab w:val="left" w:pos="1418"/>
        </w:tabs>
      </w:pPr>
      <w:r>
        <w:t>A similar exercise is undertaken for comparison goods expenditure / turnover in each of the three main settlements in Table 5.2 below.</w:t>
      </w:r>
    </w:p>
    <w:p w14:paraId="1C0A1B85" w14:textId="3F163818" w:rsidR="004E4791" w:rsidRPr="00B52460" w:rsidRDefault="004E4791" w:rsidP="004E4791">
      <w:pPr>
        <w:pStyle w:val="Level1"/>
        <w:numPr>
          <w:ilvl w:val="0"/>
          <w:numId w:val="0"/>
        </w:numPr>
        <w:tabs>
          <w:tab w:val="left" w:pos="1418"/>
        </w:tabs>
        <w:ind w:left="720"/>
        <w:rPr>
          <w:rStyle w:val="Emphasis"/>
        </w:rPr>
      </w:pPr>
      <w:r>
        <w:rPr>
          <w:rStyle w:val="Emphasis"/>
        </w:rPr>
        <w:t>Table 5.2: comparison between comparison goods turnover levels across Torbay in the 2013 and 2022 quantitative assessments</w:t>
      </w:r>
    </w:p>
    <w:tbl>
      <w:tblPr>
        <w:tblStyle w:val="CustomTable2"/>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920"/>
        <w:gridCol w:w="1920"/>
        <w:gridCol w:w="1963"/>
        <w:gridCol w:w="1666"/>
      </w:tblGrid>
      <w:tr w:rsidR="004E4791" w:rsidRPr="00F0789B" w14:paraId="07001BC9" w14:textId="77777777" w:rsidTr="00DD1A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DDDEDB" w:themeFill="background2" w:themeFillTint="99"/>
          </w:tcPr>
          <w:p w14:paraId="4ACE86AC" w14:textId="77777777" w:rsidR="004E4791" w:rsidRPr="00F0789B" w:rsidRDefault="004E4791" w:rsidP="00DD1AF8">
            <w:pPr>
              <w:pStyle w:val="Level1"/>
              <w:numPr>
                <w:ilvl w:val="0"/>
                <w:numId w:val="0"/>
              </w:numPr>
              <w:tabs>
                <w:tab w:val="left" w:pos="1418"/>
              </w:tabs>
              <w:spacing w:before="0" w:after="0" w:line="240" w:lineRule="auto"/>
              <w:rPr>
                <w:rFonts w:cs="Open Sans"/>
                <w:color w:val="auto"/>
                <w:sz w:val="18"/>
                <w:szCs w:val="18"/>
              </w:rPr>
            </w:pPr>
            <w:r w:rsidRPr="00F0789B">
              <w:rPr>
                <w:rFonts w:cs="Open Sans"/>
                <w:color w:val="auto"/>
                <w:sz w:val="18"/>
                <w:szCs w:val="18"/>
              </w:rPr>
              <w:t>Settlement / Destination</w:t>
            </w:r>
          </w:p>
          <w:p w14:paraId="701147A7" w14:textId="77777777" w:rsidR="004E4791" w:rsidRPr="00F0789B" w:rsidRDefault="004E4791" w:rsidP="00DD1AF8">
            <w:pPr>
              <w:pStyle w:val="Level1"/>
              <w:numPr>
                <w:ilvl w:val="0"/>
                <w:numId w:val="0"/>
              </w:numPr>
              <w:tabs>
                <w:tab w:val="left" w:pos="1418"/>
              </w:tabs>
              <w:spacing w:before="0" w:after="0" w:line="240" w:lineRule="auto"/>
              <w:rPr>
                <w:rFonts w:cs="Open Sans"/>
                <w:color w:val="auto"/>
                <w:sz w:val="18"/>
                <w:szCs w:val="18"/>
              </w:rPr>
            </w:pPr>
          </w:p>
        </w:tc>
        <w:tc>
          <w:tcPr>
            <w:tcW w:w="1920" w:type="dxa"/>
            <w:shd w:val="clear" w:color="auto" w:fill="DDDEDB" w:themeFill="background2" w:themeFillTint="99"/>
          </w:tcPr>
          <w:p w14:paraId="61F6C355" w14:textId="77777777" w:rsidR="004E4791" w:rsidRPr="00F0789B" w:rsidRDefault="004E4791" w:rsidP="00DD1AF8">
            <w:pPr>
              <w:pStyle w:val="Level1"/>
              <w:numPr>
                <w:ilvl w:val="0"/>
                <w:numId w:val="0"/>
              </w:numPr>
              <w:tabs>
                <w:tab w:val="left" w:pos="1418"/>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Open Sans"/>
                <w:b w:val="0"/>
                <w:color w:val="auto"/>
                <w:sz w:val="18"/>
                <w:szCs w:val="18"/>
              </w:rPr>
            </w:pPr>
            <w:r w:rsidRPr="00F0789B">
              <w:rPr>
                <w:rFonts w:cs="Open Sans"/>
                <w:color w:val="auto"/>
                <w:sz w:val="18"/>
                <w:szCs w:val="18"/>
              </w:rPr>
              <w:t>2013 Retail Study Turnover</w:t>
            </w:r>
          </w:p>
          <w:p w14:paraId="52B082D9" w14:textId="77777777" w:rsidR="004E4791" w:rsidRPr="00F0789B" w:rsidRDefault="004E4791" w:rsidP="00DD1AF8">
            <w:pPr>
              <w:pStyle w:val="Level1"/>
              <w:numPr>
                <w:ilvl w:val="0"/>
                <w:numId w:val="0"/>
              </w:numPr>
              <w:tabs>
                <w:tab w:val="left" w:pos="1418"/>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Open Sans"/>
                <w:color w:val="auto"/>
                <w:sz w:val="18"/>
                <w:szCs w:val="18"/>
              </w:rPr>
            </w:pPr>
            <w:r w:rsidRPr="00F0789B">
              <w:rPr>
                <w:rFonts w:cs="Open Sans"/>
                <w:color w:val="auto"/>
                <w:sz w:val="18"/>
                <w:szCs w:val="18"/>
              </w:rPr>
              <w:t>(2013 turnover level)</w:t>
            </w:r>
          </w:p>
        </w:tc>
        <w:tc>
          <w:tcPr>
            <w:tcW w:w="1920" w:type="dxa"/>
            <w:shd w:val="clear" w:color="auto" w:fill="DDDEDB" w:themeFill="background2" w:themeFillTint="99"/>
          </w:tcPr>
          <w:p w14:paraId="5898990B" w14:textId="77777777" w:rsidR="004E4791" w:rsidRPr="00F0789B" w:rsidRDefault="004E4791" w:rsidP="00DD1AF8">
            <w:pPr>
              <w:pStyle w:val="Level1"/>
              <w:numPr>
                <w:ilvl w:val="0"/>
                <w:numId w:val="0"/>
              </w:numPr>
              <w:tabs>
                <w:tab w:val="left" w:pos="1418"/>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Open Sans"/>
                <w:b w:val="0"/>
                <w:color w:val="auto"/>
                <w:sz w:val="18"/>
                <w:szCs w:val="18"/>
              </w:rPr>
            </w:pPr>
            <w:r w:rsidRPr="00F0789B">
              <w:rPr>
                <w:rFonts w:cs="Open Sans"/>
                <w:color w:val="auto"/>
                <w:sz w:val="18"/>
                <w:szCs w:val="18"/>
              </w:rPr>
              <w:t>2022 Retail Study Turnover</w:t>
            </w:r>
          </w:p>
          <w:p w14:paraId="71342F82" w14:textId="77777777" w:rsidR="004E4791" w:rsidRPr="00F0789B" w:rsidRDefault="004E4791" w:rsidP="00DD1AF8">
            <w:pPr>
              <w:pStyle w:val="Level1"/>
              <w:numPr>
                <w:ilvl w:val="0"/>
                <w:numId w:val="0"/>
              </w:numPr>
              <w:tabs>
                <w:tab w:val="left" w:pos="1418"/>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Open Sans"/>
                <w:color w:val="auto"/>
                <w:sz w:val="18"/>
                <w:szCs w:val="18"/>
              </w:rPr>
            </w:pPr>
            <w:r w:rsidRPr="00F0789B">
              <w:rPr>
                <w:rFonts w:cs="Open Sans"/>
                <w:color w:val="auto"/>
                <w:sz w:val="18"/>
                <w:szCs w:val="18"/>
              </w:rPr>
              <w:t>(2022 turnover level)</w:t>
            </w:r>
          </w:p>
        </w:tc>
        <w:tc>
          <w:tcPr>
            <w:tcW w:w="1963" w:type="dxa"/>
            <w:shd w:val="clear" w:color="auto" w:fill="DDDEDB" w:themeFill="background2" w:themeFillTint="99"/>
          </w:tcPr>
          <w:p w14:paraId="7A0F795F" w14:textId="77777777" w:rsidR="004E4791" w:rsidRPr="00F0789B" w:rsidRDefault="004E4791" w:rsidP="00DD1AF8">
            <w:pPr>
              <w:pStyle w:val="Level1"/>
              <w:numPr>
                <w:ilvl w:val="0"/>
                <w:numId w:val="0"/>
              </w:numPr>
              <w:tabs>
                <w:tab w:val="left" w:pos="1418"/>
              </w:tabs>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cs="Open Sans"/>
                <w:color w:val="auto"/>
                <w:sz w:val="18"/>
                <w:szCs w:val="18"/>
              </w:rPr>
            </w:pPr>
            <w:r w:rsidRPr="00F0789B">
              <w:rPr>
                <w:rFonts w:cs="Open Sans"/>
                <w:color w:val="auto"/>
                <w:sz w:val="18"/>
                <w:szCs w:val="18"/>
              </w:rPr>
              <w:t>Difference (£m)</w:t>
            </w:r>
          </w:p>
        </w:tc>
        <w:tc>
          <w:tcPr>
            <w:tcW w:w="1666" w:type="dxa"/>
            <w:shd w:val="clear" w:color="auto" w:fill="DDDEDB" w:themeFill="background2" w:themeFillTint="99"/>
          </w:tcPr>
          <w:p w14:paraId="3EB02820" w14:textId="77777777" w:rsidR="004E4791" w:rsidRPr="00F0789B" w:rsidRDefault="004E4791" w:rsidP="00DD1AF8">
            <w:pPr>
              <w:pStyle w:val="Level1"/>
              <w:numPr>
                <w:ilvl w:val="0"/>
                <w:numId w:val="0"/>
              </w:numPr>
              <w:tabs>
                <w:tab w:val="left" w:pos="1418"/>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cs="Open Sans"/>
                <w:sz w:val="18"/>
                <w:szCs w:val="18"/>
              </w:rPr>
            </w:pPr>
            <w:r w:rsidRPr="00F0789B">
              <w:rPr>
                <w:rFonts w:cs="Open Sans"/>
                <w:color w:val="auto"/>
                <w:sz w:val="18"/>
                <w:szCs w:val="18"/>
              </w:rPr>
              <w:t>Difference (%)</w:t>
            </w:r>
          </w:p>
        </w:tc>
      </w:tr>
      <w:tr w:rsidR="004E4791" w:rsidRPr="00F0789B" w14:paraId="7B7A0469" w14:textId="77777777" w:rsidTr="00DD1A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E8E9E7" w:themeFill="background2" w:themeFillTint="66"/>
          </w:tcPr>
          <w:p w14:paraId="2A369E6D" w14:textId="77777777" w:rsidR="004E4791" w:rsidRPr="00F0789B" w:rsidRDefault="004E4791" w:rsidP="00DD1AF8">
            <w:pPr>
              <w:pStyle w:val="Level1"/>
              <w:numPr>
                <w:ilvl w:val="0"/>
                <w:numId w:val="0"/>
              </w:numPr>
              <w:tabs>
                <w:tab w:val="left" w:pos="1418"/>
              </w:tabs>
              <w:spacing w:before="0" w:after="0" w:line="240" w:lineRule="auto"/>
              <w:rPr>
                <w:rFonts w:cs="Open Sans"/>
                <w:b/>
                <w:color w:val="auto"/>
                <w:sz w:val="18"/>
                <w:szCs w:val="18"/>
              </w:rPr>
            </w:pPr>
            <w:r w:rsidRPr="00F0789B">
              <w:rPr>
                <w:rFonts w:cs="Open Sans"/>
                <w:b/>
                <w:color w:val="auto"/>
                <w:sz w:val="18"/>
                <w:szCs w:val="18"/>
              </w:rPr>
              <w:t>TORQUAY</w:t>
            </w:r>
          </w:p>
        </w:tc>
        <w:tc>
          <w:tcPr>
            <w:tcW w:w="1920" w:type="dxa"/>
            <w:shd w:val="clear" w:color="auto" w:fill="E8E9E7" w:themeFill="background2" w:themeFillTint="66"/>
          </w:tcPr>
          <w:p w14:paraId="0C687C1D" w14:textId="77777777" w:rsidR="004E4791" w:rsidRPr="00F0789B" w:rsidRDefault="004E4791" w:rsidP="00DD1AF8">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p>
        </w:tc>
        <w:tc>
          <w:tcPr>
            <w:tcW w:w="1920" w:type="dxa"/>
            <w:shd w:val="clear" w:color="auto" w:fill="E8E9E7" w:themeFill="background2" w:themeFillTint="66"/>
          </w:tcPr>
          <w:p w14:paraId="1F6E2713" w14:textId="77777777" w:rsidR="004E4791" w:rsidRPr="00F0789B" w:rsidRDefault="004E4791" w:rsidP="00DD1AF8">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p>
        </w:tc>
        <w:tc>
          <w:tcPr>
            <w:tcW w:w="1963" w:type="dxa"/>
            <w:shd w:val="clear" w:color="auto" w:fill="E8E9E7" w:themeFill="background2" w:themeFillTint="66"/>
          </w:tcPr>
          <w:p w14:paraId="5FDDC2C4" w14:textId="77777777" w:rsidR="004E4791" w:rsidRPr="00F0789B" w:rsidRDefault="004E4791" w:rsidP="00DD1AF8">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p>
        </w:tc>
        <w:tc>
          <w:tcPr>
            <w:tcW w:w="1666" w:type="dxa"/>
            <w:shd w:val="clear" w:color="auto" w:fill="E8E9E7" w:themeFill="background2" w:themeFillTint="66"/>
          </w:tcPr>
          <w:p w14:paraId="5985C240" w14:textId="77777777" w:rsidR="004E4791" w:rsidRPr="00F0789B" w:rsidRDefault="004E4791" w:rsidP="00DD1AF8">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p>
        </w:tc>
      </w:tr>
      <w:tr w:rsidR="005413ED" w:rsidRPr="00F0789B" w14:paraId="421661B3" w14:textId="77777777" w:rsidTr="00F07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13083751" w14:textId="77777777" w:rsidR="005413ED" w:rsidRPr="00F0789B" w:rsidRDefault="005413ED" w:rsidP="005413ED">
            <w:pPr>
              <w:pStyle w:val="Level1"/>
              <w:numPr>
                <w:ilvl w:val="0"/>
                <w:numId w:val="0"/>
              </w:numPr>
              <w:tabs>
                <w:tab w:val="left" w:pos="1418"/>
              </w:tabs>
              <w:spacing w:before="0" w:after="0" w:line="240" w:lineRule="auto"/>
              <w:rPr>
                <w:rFonts w:cs="Open Sans"/>
                <w:bCs/>
                <w:color w:val="auto"/>
                <w:sz w:val="18"/>
                <w:szCs w:val="18"/>
              </w:rPr>
            </w:pPr>
            <w:r w:rsidRPr="00F0789B">
              <w:rPr>
                <w:rFonts w:cs="Open Sans"/>
                <w:bCs/>
                <w:color w:val="auto"/>
                <w:sz w:val="18"/>
                <w:szCs w:val="18"/>
              </w:rPr>
              <w:t>Total</w:t>
            </w:r>
          </w:p>
        </w:tc>
        <w:tc>
          <w:tcPr>
            <w:tcW w:w="1920" w:type="dxa"/>
            <w:shd w:val="clear" w:color="auto" w:fill="auto"/>
            <w:vAlign w:val="center"/>
          </w:tcPr>
          <w:p w14:paraId="3D3EEBFA" w14:textId="05FD1DC9" w:rsidR="005413ED" w:rsidRPr="00F0789B" w:rsidRDefault="005413ED" w:rsidP="005413ED">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F0789B">
              <w:rPr>
                <w:rFonts w:cs="Open Sans"/>
                <w:color w:val="000000"/>
                <w:sz w:val="18"/>
                <w:szCs w:val="18"/>
              </w:rPr>
              <w:t>£305.6</w:t>
            </w:r>
          </w:p>
        </w:tc>
        <w:tc>
          <w:tcPr>
            <w:tcW w:w="1920" w:type="dxa"/>
            <w:shd w:val="clear" w:color="auto" w:fill="auto"/>
            <w:vAlign w:val="center"/>
          </w:tcPr>
          <w:p w14:paraId="31EFAF96" w14:textId="5A6C4FE1" w:rsidR="005413ED" w:rsidRPr="00F0789B" w:rsidRDefault="005413ED" w:rsidP="005413ED">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F0789B">
              <w:rPr>
                <w:rFonts w:cs="Open Sans"/>
                <w:color w:val="000000"/>
                <w:sz w:val="18"/>
                <w:szCs w:val="18"/>
              </w:rPr>
              <w:t>£345.7</w:t>
            </w:r>
          </w:p>
        </w:tc>
        <w:tc>
          <w:tcPr>
            <w:tcW w:w="1963" w:type="dxa"/>
            <w:shd w:val="clear" w:color="auto" w:fill="auto"/>
            <w:vAlign w:val="center"/>
          </w:tcPr>
          <w:p w14:paraId="532FD832" w14:textId="08415CDC" w:rsidR="005413ED" w:rsidRPr="00F0789B" w:rsidRDefault="005413ED" w:rsidP="005413ED">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F0789B">
              <w:rPr>
                <w:rFonts w:cs="Open Sans"/>
                <w:color w:val="000000"/>
                <w:sz w:val="18"/>
                <w:szCs w:val="18"/>
              </w:rPr>
              <w:t>£40.1</w:t>
            </w:r>
          </w:p>
        </w:tc>
        <w:tc>
          <w:tcPr>
            <w:tcW w:w="1666" w:type="dxa"/>
            <w:shd w:val="clear" w:color="auto" w:fill="auto"/>
            <w:vAlign w:val="center"/>
          </w:tcPr>
          <w:p w14:paraId="6D85D3AC" w14:textId="4E940989"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13%</w:t>
            </w:r>
          </w:p>
        </w:tc>
      </w:tr>
      <w:tr w:rsidR="005413ED" w:rsidRPr="00F0789B" w14:paraId="77998907" w14:textId="77777777" w:rsidTr="00F0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6FAEDF60" w14:textId="77777777" w:rsidR="005413ED" w:rsidRPr="00F0789B" w:rsidRDefault="005413ED" w:rsidP="005413ED">
            <w:pPr>
              <w:pStyle w:val="Level1"/>
              <w:numPr>
                <w:ilvl w:val="0"/>
                <w:numId w:val="0"/>
              </w:numPr>
              <w:tabs>
                <w:tab w:val="left" w:pos="1418"/>
              </w:tabs>
              <w:spacing w:before="0" w:after="0" w:line="240" w:lineRule="auto"/>
              <w:rPr>
                <w:rFonts w:cs="Open Sans"/>
                <w:bCs/>
                <w:color w:val="auto"/>
                <w:sz w:val="18"/>
                <w:szCs w:val="18"/>
              </w:rPr>
            </w:pPr>
            <w:r w:rsidRPr="00F0789B">
              <w:rPr>
                <w:rFonts w:cs="Open Sans"/>
                <w:bCs/>
                <w:color w:val="auto"/>
                <w:sz w:val="18"/>
                <w:szCs w:val="18"/>
              </w:rPr>
              <w:t>Town Centre</w:t>
            </w:r>
          </w:p>
        </w:tc>
        <w:tc>
          <w:tcPr>
            <w:tcW w:w="1920" w:type="dxa"/>
            <w:shd w:val="clear" w:color="auto" w:fill="auto"/>
            <w:vAlign w:val="center"/>
          </w:tcPr>
          <w:p w14:paraId="22BC4D6E" w14:textId="203EADA7" w:rsidR="005413ED" w:rsidRPr="00F0789B" w:rsidRDefault="005413ED" w:rsidP="005413ED">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F0789B">
              <w:rPr>
                <w:rFonts w:cs="Open Sans"/>
                <w:color w:val="000000"/>
                <w:sz w:val="18"/>
                <w:szCs w:val="18"/>
              </w:rPr>
              <w:t>£159.6</w:t>
            </w:r>
          </w:p>
        </w:tc>
        <w:tc>
          <w:tcPr>
            <w:tcW w:w="1920" w:type="dxa"/>
            <w:shd w:val="clear" w:color="auto" w:fill="auto"/>
            <w:vAlign w:val="center"/>
          </w:tcPr>
          <w:p w14:paraId="2CF329A3" w14:textId="1F98B430" w:rsidR="005413ED" w:rsidRPr="00F0789B" w:rsidRDefault="005413ED" w:rsidP="005413ED">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F0789B">
              <w:rPr>
                <w:rFonts w:cs="Open Sans"/>
                <w:color w:val="000000"/>
                <w:sz w:val="18"/>
                <w:szCs w:val="18"/>
              </w:rPr>
              <w:t>£101.2</w:t>
            </w:r>
          </w:p>
        </w:tc>
        <w:tc>
          <w:tcPr>
            <w:tcW w:w="1963" w:type="dxa"/>
            <w:shd w:val="clear" w:color="auto" w:fill="auto"/>
            <w:vAlign w:val="center"/>
          </w:tcPr>
          <w:p w14:paraId="0791204B" w14:textId="40456B15" w:rsidR="005413ED" w:rsidRPr="00F0789B" w:rsidRDefault="005413ED" w:rsidP="005413ED">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F0789B">
              <w:rPr>
                <w:rFonts w:cs="Open Sans"/>
                <w:color w:val="000000"/>
                <w:sz w:val="18"/>
                <w:szCs w:val="18"/>
              </w:rPr>
              <w:t>-£58.4</w:t>
            </w:r>
          </w:p>
        </w:tc>
        <w:tc>
          <w:tcPr>
            <w:tcW w:w="1666" w:type="dxa"/>
            <w:shd w:val="clear" w:color="auto" w:fill="auto"/>
            <w:vAlign w:val="center"/>
          </w:tcPr>
          <w:p w14:paraId="65909B0F" w14:textId="4229CFB5"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-37%</w:t>
            </w:r>
          </w:p>
        </w:tc>
      </w:tr>
      <w:tr w:rsidR="005413ED" w:rsidRPr="00F0789B" w14:paraId="2296061F" w14:textId="77777777" w:rsidTr="00F07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582AD80A" w14:textId="77777777" w:rsidR="005413ED" w:rsidRPr="00F0789B" w:rsidRDefault="005413ED" w:rsidP="005413ED">
            <w:pPr>
              <w:pStyle w:val="Level1"/>
              <w:numPr>
                <w:ilvl w:val="0"/>
                <w:numId w:val="0"/>
              </w:numPr>
              <w:tabs>
                <w:tab w:val="left" w:pos="1418"/>
              </w:tabs>
              <w:spacing w:before="0" w:after="0" w:line="240" w:lineRule="auto"/>
              <w:rPr>
                <w:rFonts w:cs="Open Sans"/>
                <w:bCs/>
                <w:color w:val="auto"/>
                <w:sz w:val="18"/>
                <w:szCs w:val="18"/>
              </w:rPr>
            </w:pPr>
            <w:r w:rsidRPr="00F0789B">
              <w:rPr>
                <w:rFonts w:cs="Open Sans"/>
                <w:bCs/>
                <w:color w:val="auto"/>
                <w:sz w:val="18"/>
                <w:szCs w:val="18"/>
              </w:rPr>
              <w:t>The Willows district centre</w:t>
            </w:r>
          </w:p>
        </w:tc>
        <w:tc>
          <w:tcPr>
            <w:tcW w:w="1920" w:type="dxa"/>
            <w:shd w:val="clear" w:color="auto" w:fill="auto"/>
            <w:vAlign w:val="center"/>
          </w:tcPr>
          <w:p w14:paraId="7EAED344" w14:textId="59122CBE" w:rsidR="005413ED" w:rsidRPr="00F0789B" w:rsidRDefault="005413ED" w:rsidP="005413ED">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F0789B">
              <w:rPr>
                <w:rFonts w:cs="Open Sans"/>
                <w:color w:val="000000"/>
                <w:sz w:val="18"/>
                <w:szCs w:val="18"/>
              </w:rPr>
              <w:t>£84.8</w:t>
            </w:r>
          </w:p>
        </w:tc>
        <w:tc>
          <w:tcPr>
            <w:tcW w:w="1920" w:type="dxa"/>
            <w:shd w:val="clear" w:color="auto" w:fill="auto"/>
            <w:vAlign w:val="center"/>
          </w:tcPr>
          <w:p w14:paraId="13EBDD87" w14:textId="294B54A2" w:rsidR="005413ED" w:rsidRPr="00F0789B" w:rsidRDefault="005413ED" w:rsidP="005413ED">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F0789B">
              <w:rPr>
                <w:rFonts w:cs="Open Sans"/>
                <w:color w:val="000000"/>
                <w:sz w:val="18"/>
                <w:szCs w:val="18"/>
              </w:rPr>
              <w:t>£107.3</w:t>
            </w:r>
          </w:p>
        </w:tc>
        <w:tc>
          <w:tcPr>
            <w:tcW w:w="1963" w:type="dxa"/>
            <w:shd w:val="clear" w:color="auto" w:fill="auto"/>
            <w:vAlign w:val="center"/>
          </w:tcPr>
          <w:p w14:paraId="5A9E4767" w14:textId="49FA9C00" w:rsidR="005413ED" w:rsidRPr="00F0789B" w:rsidRDefault="005413ED" w:rsidP="005413ED">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F0789B">
              <w:rPr>
                <w:rFonts w:cs="Open Sans"/>
                <w:color w:val="000000"/>
                <w:sz w:val="18"/>
                <w:szCs w:val="18"/>
              </w:rPr>
              <w:t>£22.5</w:t>
            </w:r>
          </w:p>
        </w:tc>
        <w:tc>
          <w:tcPr>
            <w:tcW w:w="1666" w:type="dxa"/>
            <w:shd w:val="clear" w:color="auto" w:fill="auto"/>
            <w:vAlign w:val="center"/>
          </w:tcPr>
          <w:p w14:paraId="05261F93" w14:textId="2E3F7AFA"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26%</w:t>
            </w:r>
          </w:p>
        </w:tc>
      </w:tr>
      <w:tr w:rsidR="005413ED" w:rsidRPr="00F0789B" w14:paraId="7121EE4D" w14:textId="77777777" w:rsidTr="00F0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7075A42F" w14:textId="77777777" w:rsidR="005413ED" w:rsidRPr="00F0789B" w:rsidRDefault="005413ED" w:rsidP="005413ED">
            <w:pPr>
              <w:pStyle w:val="Level1"/>
              <w:numPr>
                <w:ilvl w:val="0"/>
                <w:numId w:val="0"/>
              </w:numPr>
              <w:tabs>
                <w:tab w:val="left" w:pos="1418"/>
              </w:tabs>
              <w:spacing w:before="0" w:after="0" w:line="240" w:lineRule="auto"/>
              <w:rPr>
                <w:rFonts w:cs="Open Sans"/>
                <w:bCs/>
                <w:color w:val="auto"/>
                <w:sz w:val="18"/>
                <w:szCs w:val="18"/>
              </w:rPr>
            </w:pPr>
            <w:r w:rsidRPr="00F0789B">
              <w:rPr>
                <w:rFonts w:cs="Open Sans"/>
                <w:bCs/>
                <w:color w:val="auto"/>
                <w:sz w:val="18"/>
                <w:szCs w:val="18"/>
              </w:rPr>
              <w:t>St Marychurch district centre</w:t>
            </w:r>
          </w:p>
        </w:tc>
        <w:tc>
          <w:tcPr>
            <w:tcW w:w="1920" w:type="dxa"/>
            <w:shd w:val="clear" w:color="auto" w:fill="auto"/>
            <w:vAlign w:val="center"/>
          </w:tcPr>
          <w:p w14:paraId="6C287F81" w14:textId="545D8D87" w:rsidR="005413ED" w:rsidRPr="00F0789B" w:rsidRDefault="005413ED" w:rsidP="005413ED">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F0789B">
              <w:rPr>
                <w:rFonts w:cs="Open Sans"/>
                <w:color w:val="000000"/>
                <w:sz w:val="18"/>
                <w:szCs w:val="18"/>
              </w:rPr>
              <w:t>£1.7</w:t>
            </w:r>
          </w:p>
        </w:tc>
        <w:tc>
          <w:tcPr>
            <w:tcW w:w="1920" w:type="dxa"/>
            <w:shd w:val="clear" w:color="auto" w:fill="auto"/>
            <w:vAlign w:val="center"/>
          </w:tcPr>
          <w:p w14:paraId="68B06F5F" w14:textId="240B638A" w:rsidR="005413ED" w:rsidRPr="00F0789B" w:rsidRDefault="005413ED" w:rsidP="005413ED">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F0789B">
              <w:rPr>
                <w:rFonts w:cs="Open Sans"/>
                <w:color w:val="000000"/>
                <w:sz w:val="18"/>
                <w:szCs w:val="18"/>
              </w:rPr>
              <w:t>£2.9</w:t>
            </w:r>
          </w:p>
        </w:tc>
        <w:tc>
          <w:tcPr>
            <w:tcW w:w="1963" w:type="dxa"/>
            <w:shd w:val="clear" w:color="auto" w:fill="auto"/>
            <w:vAlign w:val="center"/>
          </w:tcPr>
          <w:p w14:paraId="53AD84EC" w14:textId="63F66365" w:rsidR="005413ED" w:rsidRPr="00F0789B" w:rsidRDefault="005413ED" w:rsidP="005413ED">
            <w:pPr>
              <w:pStyle w:val="Level1"/>
              <w:numPr>
                <w:ilvl w:val="0"/>
                <w:numId w:val="0"/>
              </w:numPr>
              <w:tabs>
                <w:tab w:val="left" w:pos="1418"/>
              </w:tabs>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color w:val="auto"/>
                <w:sz w:val="18"/>
                <w:szCs w:val="18"/>
              </w:rPr>
            </w:pPr>
            <w:r w:rsidRPr="00F0789B">
              <w:rPr>
                <w:rFonts w:cs="Open Sans"/>
                <w:color w:val="000000"/>
                <w:sz w:val="18"/>
                <w:szCs w:val="18"/>
              </w:rPr>
              <w:t>£1.2</w:t>
            </w:r>
          </w:p>
        </w:tc>
        <w:tc>
          <w:tcPr>
            <w:tcW w:w="1666" w:type="dxa"/>
            <w:shd w:val="clear" w:color="auto" w:fill="auto"/>
            <w:vAlign w:val="center"/>
          </w:tcPr>
          <w:p w14:paraId="42D143C6" w14:textId="7E5017B8"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74%</w:t>
            </w:r>
          </w:p>
        </w:tc>
      </w:tr>
      <w:tr w:rsidR="005413ED" w:rsidRPr="00F0789B" w14:paraId="6AD24BA0" w14:textId="77777777" w:rsidTr="00F07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3DBFE4FA" w14:textId="178977DC" w:rsidR="005413ED" w:rsidRPr="00F0789B" w:rsidRDefault="005413ED" w:rsidP="005413ED">
            <w:pPr>
              <w:pStyle w:val="Level1"/>
              <w:numPr>
                <w:ilvl w:val="0"/>
                <w:numId w:val="0"/>
              </w:numPr>
              <w:tabs>
                <w:tab w:val="left" w:pos="1418"/>
              </w:tabs>
              <w:spacing w:before="0" w:after="0" w:line="240" w:lineRule="auto"/>
              <w:rPr>
                <w:rFonts w:cs="Open Sans"/>
                <w:bCs/>
                <w:color w:val="auto"/>
                <w:sz w:val="18"/>
                <w:szCs w:val="18"/>
              </w:rPr>
            </w:pPr>
            <w:r w:rsidRPr="00F0789B">
              <w:rPr>
                <w:rFonts w:cs="Open Sans"/>
                <w:bCs/>
                <w:color w:val="auto"/>
                <w:sz w:val="18"/>
                <w:szCs w:val="18"/>
              </w:rPr>
              <w:t>O</w:t>
            </w:r>
            <w:r w:rsidRPr="00F0789B">
              <w:rPr>
                <w:rFonts w:cs="Open Sans"/>
                <w:bCs/>
                <w:sz w:val="18"/>
                <w:szCs w:val="18"/>
              </w:rPr>
              <w:t>ut of centre retail warehouses</w:t>
            </w:r>
          </w:p>
        </w:tc>
        <w:tc>
          <w:tcPr>
            <w:tcW w:w="1920" w:type="dxa"/>
            <w:shd w:val="clear" w:color="auto" w:fill="auto"/>
            <w:vAlign w:val="center"/>
          </w:tcPr>
          <w:p w14:paraId="05C01EF8" w14:textId="61AADB9D" w:rsidR="005413ED" w:rsidRPr="00F0789B" w:rsidRDefault="005413ED" w:rsidP="005413ED">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F0789B">
              <w:rPr>
                <w:rFonts w:cs="Open Sans"/>
                <w:color w:val="000000"/>
                <w:sz w:val="18"/>
                <w:szCs w:val="18"/>
              </w:rPr>
              <w:t>£57.5</w:t>
            </w:r>
          </w:p>
        </w:tc>
        <w:tc>
          <w:tcPr>
            <w:tcW w:w="1920" w:type="dxa"/>
            <w:shd w:val="clear" w:color="auto" w:fill="auto"/>
            <w:vAlign w:val="center"/>
          </w:tcPr>
          <w:p w14:paraId="3670C2E5" w14:textId="72B7F3EB" w:rsidR="005413ED" w:rsidRPr="00F0789B" w:rsidRDefault="005413ED" w:rsidP="005413ED">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F0789B">
              <w:rPr>
                <w:rFonts w:cs="Open Sans"/>
                <w:color w:val="000000"/>
                <w:sz w:val="18"/>
                <w:szCs w:val="18"/>
              </w:rPr>
              <w:t>£122.9</w:t>
            </w:r>
          </w:p>
        </w:tc>
        <w:tc>
          <w:tcPr>
            <w:tcW w:w="1963" w:type="dxa"/>
            <w:shd w:val="clear" w:color="auto" w:fill="auto"/>
            <w:vAlign w:val="center"/>
          </w:tcPr>
          <w:p w14:paraId="1EF1AAE1" w14:textId="16156F11" w:rsidR="005413ED" w:rsidRPr="00F0789B" w:rsidRDefault="005413ED" w:rsidP="005413ED">
            <w:pPr>
              <w:pStyle w:val="Level1"/>
              <w:numPr>
                <w:ilvl w:val="0"/>
                <w:numId w:val="0"/>
              </w:numPr>
              <w:tabs>
                <w:tab w:val="left" w:pos="1418"/>
              </w:tabs>
              <w:spacing w:before="0"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color w:val="auto"/>
                <w:sz w:val="18"/>
                <w:szCs w:val="18"/>
              </w:rPr>
            </w:pPr>
            <w:r w:rsidRPr="00F0789B">
              <w:rPr>
                <w:rFonts w:cs="Open Sans"/>
                <w:color w:val="000000"/>
                <w:sz w:val="18"/>
                <w:szCs w:val="18"/>
              </w:rPr>
              <w:t>£65.4</w:t>
            </w:r>
          </w:p>
        </w:tc>
        <w:tc>
          <w:tcPr>
            <w:tcW w:w="1666" w:type="dxa"/>
            <w:shd w:val="clear" w:color="auto" w:fill="auto"/>
            <w:vAlign w:val="center"/>
          </w:tcPr>
          <w:p w14:paraId="38352B7E" w14:textId="4F5299D8"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114%</w:t>
            </w:r>
          </w:p>
        </w:tc>
      </w:tr>
      <w:tr w:rsidR="005413ED" w:rsidRPr="00F0789B" w14:paraId="0F12D3DD" w14:textId="77777777" w:rsidTr="00F0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673587FA" w14:textId="77777777" w:rsidR="005413ED" w:rsidRPr="00F0789B" w:rsidRDefault="005413ED" w:rsidP="005413ED">
            <w:pPr>
              <w:pStyle w:val="Level1"/>
              <w:numPr>
                <w:ilvl w:val="0"/>
                <w:numId w:val="0"/>
              </w:numPr>
              <w:tabs>
                <w:tab w:val="left" w:pos="1418"/>
              </w:tabs>
              <w:spacing w:after="0" w:line="240" w:lineRule="auto"/>
              <w:rPr>
                <w:rFonts w:cs="Open Sans"/>
                <w:bCs/>
                <w:sz w:val="18"/>
                <w:szCs w:val="18"/>
              </w:rPr>
            </w:pPr>
            <w:r w:rsidRPr="00F0789B">
              <w:rPr>
                <w:rFonts w:cs="Open Sans"/>
                <w:bCs/>
                <w:sz w:val="18"/>
                <w:szCs w:val="18"/>
              </w:rPr>
              <w:t>Local stores</w:t>
            </w:r>
          </w:p>
        </w:tc>
        <w:tc>
          <w:tcPr>
            <w:tcW w:w="1920" w:type="dxa"/>
            <w:shd w:val="clear" w:color="auto" w:fill="auto"/>
            <w:vAlign w:val="center"/>
          </w:tcPr>
          <w:p w14:paraId="0BAE6E0F" w14:textId="2EE4D5ED"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£2.0</w:t>
            </w:r>
          </w:p>
        </w:tc>
        <w:tc>
          <w:tcPr>
            <w:tcW w:w="1920" w:type="dxa"/>
            <w:shd w:val="clear" w:color="auto" w:fill="auto"/>
            <w:vAlign w:val="center"/>
          </w:tcPr>
          <w:p w14:paraId="3DC0E45B" w14:textId="1BEFB280"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£11.4</w:t>
            </w:r>
          </w:p>
        </w:tc>
        <w:tc>
          <w:tcPr>
            <w:tcW w:w="1963" w:type="dxa"/>
            <w:shd w:val="clear" w:color="auto" w:fill="auto"/>
            <w:vAlign w:val="center"/>
          </w:tcPr>
          <w:p w14:paraId="2C0545A9" w14:textId="559FA454"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£9.4</w:t>
            </w:r>
          </w:p>
        </w:tc>
        <w:tc>
          <w:tcPr>
            <w:tcW w:w="1666" w:type="dxa"/>
            <w:shd w:val="clear" w:color="auto" w:fill="auto"/>
            <w:vAlign w:val="center"/>
          </w:tcPr>
          <w:p w14:paraId="614E2CA0" w14:textId="686FFD76"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476%</w:t>
            </w:r>
          </w:p>
        </w:tc>
      </w:tr>
      <w:tr w:rsidR="00F0789B" w:rsidRPr="00F0789B" w14:paraId="4D2EEF58" w14:textId="77777777" w:rsidTr="00F07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E8E9E7" w:themeFill="background2" w:themeFillTint="66"/>
          </w:tcPr>
          <w:p w14:paraId="605681AD" w14:textId="77777777" w:rsidR="005413ED" w:rsidRPr="00F0789B" w:rsidRDefault="005413ED" w:rsidP="005413ED">
            <w:pPr>
              <w:pStyle w:val="Level1"/>
              <w:numPr>
                <w:ilvl w:val="0"/>
                <w:numId w:val="0"/>
              </w:numPr>
              <w:tabs>
                <w:tab w:val="left" w:pos="1418"/>
              </w:tabs>
              <w:spacing w:after="0" w:line="240" w:lineRule="auto"/>
              <w:rPr>
                <w:rFonts w:cs="Open Sans"/>
                <w:b/>
                <w:sz w:val="18"/>
                <w:szCs w:val="18"/>
              </w:rPr>
            </w:pPr>
            <w:r w:rsidRPr="00F0789B">
              <w:rPr>
                <w:rFonts w:cs="Open Sans"/>
                <w:b/>
                <w:sz w:val="18"/>
                <w:szCs w:val="18"/>
              </w:rPr>
              <w:t>PAIGNTON</w:t>
            </w:r>
          </w:p>
        </w:tc>
        <w:tc>
          <w:tcPr>
            <w:tcW w:w="1920" w:type="dxa"/>
            <w:shd w:val="clear" w:color="000000" w:fill="F2F2F2"/>
            <w:vAlign w:val="center"/>
          </w:tcPr>
          <w:p w14:paraId="71B9B31F" w14:textId="2B5B74A1"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 xml:space="preserve"> </w:t>
            </w:r>
          </w:p>
        </w:tc>
        <w:tc>
          <w:tcPr>
            <w:tcW w:w="1920" w:type="dxa"/>
            <w:shd w:val="clear" w:color="000000" w:fill="F2F2F2"/>
            <w:vAlign w:val="center"/>
          </w:tcPr>
          <w:p w14:paraId="7C198DF7" w14:textId="6E961961"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 </w:t>
            </w:r>
          </w:p>
        </w:tc>
        <w:tc>
          <w:tcPr>
            <w:tcW w:w="1963" w:type="dxa"/>
            <w:shd w:val="clear" w:color="000000" w:fill="F2F2F2"/>
            <w:vAlign w:val="center"/>
          </w:tcPr>
          <w:p w14:paraId="7B683789" w14:textId="0F5896BA"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 </w:t>
            </w:r>
          </w:p>
        </w:tc>
        <w:tc>
          <w:tcPr>
            <w:tcW w:w="1666" w:type="dxa"/>
            <w:shd w:val="clear" w:color="000000" w:fill="F2F2F2"/>
            <w:vAlign w:val="center"/>
          </w:tcPr>
          <w:p w14:paraId="682777E1" w14:textId="549B140B"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 </w:t>
            </w:r>
          </w:p>
        </w:tc>
      </w:tr>
      <w:tr w:rsidR="005413ED" w:rsidRPr="00F0789B" w14:paraId="0A206A3E" w14:textId="77777777" w:rsidTr="00F0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1CA0DF6F" w14:textId="77777777" w:rsidR="005413ED" w:rsidRPr="00F0789B" w:rsidRDefault="005413ED" w:rsidP="005413ED">
            <w:pPr>
              <w:pStyle w:val="Level1"/>
              <w:numPr>
                <w:ilvl w:val="0"/>
                <w:numId w:val="0"/>
              </w:numPr>
              <w:tabs>
                <w:tab w:val="left" w:pos="1418"/>
              </w:tabs>
              <w:spacing w:after="0" w:line="240" w:lineRule="auto"/>
              <w:rPr>
                <w:rFonts w:cs="Open Sans"/>
                <w:bCs/>
                <w:sz w:val="18"/>
                <w:szCs w:val="18"/>
              </w:rPr>
            </w:pPr>
            <w:r w:rsidRPr="00F0789B">
              <w:rPr>
                <w:rFonts w:cs="Open Sans"/>
                <w:bCs/>
                <w:sz w:val="18"/>
                <w:szCs w:val="18"/>
              </w:rPr>
              <w:t>Total</w:t>
            </w:r>
          </w:p>
        </w:tc>
        <w:tc>
          <w:tcPr>
            <w:tcW w:w="1920" w:type="dxa"/>
            <w:shd w:val="clear" w:color="auto" w:fill="auto"/>
            <w:vAlign w:val="center"/>
          </w:tcPr>
          <w:p w14:paraId="62A85E58" w14:textId="5C5CC5DB"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£47.3</w:t>
            </w:r>
          </w:p>
        </w:tc>
        <w:tc>
          <w:tcPr>
            <w:tcW w:w="1920" w:type="dxa"/>
            <w:shd w:val="clear" w:color="auto" w:fill="auto"/>
            <w:vAlign w:val="center"/>
          </w:tcPr>
          <w:p w14:paraId="70383892" w14:textId="6E1F56EB"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£87.5</w:t>
            </w:r>
          </w:p>
        </w:tc>
        <w:tc>
          <w:tcPr>
            <w:tcW w:w="1963" w:type="dxa"/>
            <w:shd w:val="clear" w:color="auto" w:fill="auto"/>
            <w:vAlign w:val="center"/>
          </w:tcPr>
          <w:p w14:paraId="37DF3ABE" w14:textId="435678F2"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£40.2</w:t>
            </w:r>
          </w:p>
        </w:tc>
        <w:tc>
          <w:tcPr>
            <w:tcW w:w="1666" w:type="dxa"/>
            <w:shd w:val="clear" w:color="auto" w:fill="auto"/>
            <w:vAlign w:val="center"/>
          </w:tcPr>
          <w:p w14:paraId="09DD4EB0" w14:textId="676AB441"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85%</w:t>
            </w:r>
          </w:p>
        </w:tc>
      </w:tr>
      <w:tr w:rsidR="005413ED" w:rsidRPr="00F0789B" w14:paraId="0499B54D" w14:textId="77777777" w:rsidTr="00F07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189877C3" w14:textId="77777777" w:rsidR="005413ED" w:rsidRPr="00F0789B" w:rsidRDefault="005413ED" w:rsidP="005413ED">
            <w:pPr>
              <w:pStyle w:val="Level1"/>
              <w:numPr>
                <w:ilvl w:val="0"/>
                <w:numId w:val="0"/>
              </w:numPr>
              <w:tabs>
                <w:tab w:val="left" w:pos="1418"/>
              </w:tabs>
              <w:spacing w:after="0" w:line="240" w:lineRule="auto"/>
              <w:rPr>
                <w:rFonts w:cs="Open Sans"/>
                <w:bCs/>
                <w:sz w:val="18"/>
                <w:szCs w:val="18"/>
              </w:rPr>
            </w:pPr>
            <w:r w:rsidRPr="00F0789B">
              <w:rPr>
                <w:rFonts w:cs="Open Sans"/>
                <w:bCs/>
                <w:sz w:val="18"/>
                <w:szCs w:val="18"/>
              </w:rPr>
              <w:t>Town Centre</w:t>
            </w:r>
          </w:p>
        </w:tc>
        <w:tc>
          <w:tcPr>
            <w:tcW w:w="1920" w:type="dxa"/>
            <w:shd w:val="clear" w:color="auto" w:fill="auto"/>
            <w:vAlign w:val="center"/>
          </w:tcPr>
          <w:p w14:paraId="2C371FE6" w14:textId="03920160"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£35.0</w:t>
            </w:r>
          </w:p>
        </w:tc>
        <w:tc>
          <w:tcPr>
            <w:tcW w:w="1920" w:type="dxa"/>
            <w:shd w:val="clear" w:color="auto" w:fill="auto"/>
            <w:vAlign w:val="center"/>
          </w:tcPr>
          <w:p w14:paraId="59CF8CE6" w14:textId="134B7899"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£46.5</w:t>
            </w:r>
          </w:p>
        </w:tc>
        <w:tc>
          <w:tcPr>
            <w:tcW w:w="1963" w:type="dxa"/>
            <w:shd w:val="clear" w:color="auto" w:fill="auto"/>
            <w:vAlign w:val="center"/>
          </w:tcPr>
          <w:p w14:paraId="0A5D454D" w14:textId="515E4C50"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£11.5</w:t>
            </w:r>
          </w:p>
        </w:tc>
        <w:tc>
          <w:tcPr>
            <w:tcW w:w="1666" w:type="dxa"/>
            <w:shd w:val="clear" w:color="auto" w:fill="auto"/>
            <w:vAlign w:val="center"/>
          </w:tcPr>
          <w:p w14:paraId="3738441C" w14:textId="29A284E3"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33%</w:t>
            </w:r>
          </w:p>
        </w:tc>
      </w:tr>
      <w:tr w:rsidR="005413ED" w:rsidRPr="00F0789B" w14:paraId="6FD0E273" w14:textId="77777777" w:rsidTr="00F0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17CCF742" w14:textId="77777777" w:rsidR="005413ED" w:rsidRPr="00F0789B" w:rsidRDefault="005413ED" w:rsidP="005413ED">
            <w:pPr>
              <w:pStyle w:val="Level1"/>
              <w:numPr>
                <w:ilvl w:val="0"/>
                <w:numId w:val="0"/>
              </w:numPr>
              <w:tabs>
                <w:tab w:val="left" w:pos="1418"/>
              </w:tabs>
              <w:spacing w:after="0" w:line="240" w:lineRule="auto"/>
              <w:rPr>
                <w:rFonts w:cs="Open Sans"/>
                <w:bCs/>
                <w:sz w:val="18"/>
                <w:szCs w:val="18"/>
              </w:rPr>
            </w:pPr>
            <w:r w:rsidRPr="00F0789B">
              <w:rPr>
                <w:rFonts w:cs="Open Sans"/>
                <w:bCs/>
                <w:sz w:val="18"/>
                <w:szCs w:val="18"/>
              </w:rPr>
              <w:t>Preston district centre</w:t>
            </w:r>
          </w:p>
        </w:tc>
        <w:tc>
          <w:tcPr>
            <w:tcW w:w="1920" w:type="dxa"/>
            <w:shd w:val="clear" w:color="auto" w:fill="auto"/>
            <w:vAlign w:val="center"/>
          </w:tcPr>
          <w:p w14:paraId="2D365FDE" w14:textId="5AD0BA8D"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£1.0</w:t>
            </w:r>
          </w:p>
        </w:tc>
        <w:tc>
          <w:tcPr>
            <w:tcW w:w="1920" w:type="dxa"/>
            <w:shd w:val="clear" w:color="auto" w:fill="auto"/>
            <w:vAlign w:val="center"/>
          </w:tcPr>
          <w:p w14:paraId="1A0886AA" w14:textId="14919502"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£3.6</w:t>
            </w:r>
          </w:p>
        </w:tc>
        <w:tc>
          <w:tcPr>
            <w:tcW w:w="1963" w:type="dxa"/>
            <w:shd w:val="clear" w:color="auto" w:fill="auto"/>
            <w:vAlign w:val="center"/>
          </w:tcPr>
          <w:p w14:paraId="5422F861" w14:textId="300E22C7"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£2.6</w:t>
            </w:r>
          </w:p>
        </w:tc>
        <w:tc>
          <w:tcPr>
            <w:tcW w:w="1666" w:type="dxa"/>
            <w:shd w:val="clear" w:color="auto" w:fill="auto"/>
            <w:vAlign w:val="center"/>
          </w:tcPr>
          <w:p w14:paraId="5C9F8C29" w14:textId="2958F6D9"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245%</w:t>
            </w:r>
          </w:p>
        </w:tc>
      </w:tr>
      <w:tr w:rsidR="005413ED" w:rsidRPr="00F0789B" w14:paraId="24B11026" w14:textId="77777777" w:rsidTr="00F07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3ED30A9D" w14:textId="5079F95D" w:rsidR="005413ED" w:rsidRPr="00F0789B" w:rsidRDefault="005413ED" w:rsidP="005413ED">
            <w:pPr>
              <w:pStyle w:val="Level1"/>
              <w:numPr>
                <w:ilvl w:val="0"/>
                <w:numId w:val="0"/>
              </w:numPr>
              <w:tabs>
                <w:tab w:val="left" w:pos="1418"/>
              </w:tabs>
              <w:spacing w:after="0" w:line="240" w:lineRule="auto"/>
              <w:rPr>
                <w:rFonts w:cs="Open Sans"/>
                <w:bCs/>
                <w:sz w:val="18"/>
                <w:szCs w:val="18"/>
              </w:rPr>
            </w:pPr>
            <w:r w:rsidRPr="00F0789B">
              <w:rPr>
                <w:rFonts w:cs="Open Sans"/>
                <w:bCs/>
                <w:sz w:val="18"/>
                <w:szCs w:val="18"/>
              </w:rPr>
              <w:t>Out of centre retail warehouses</w:t>
            </w:r>
          </w:p>
        </w:tc>
        <w:tc>
          <w:tcPr>
            <w:tcW w:w="1920" w:type="dxa"/>
            <w:shd w:val="clear" w:color="auto" w:fill="auto"/>
            <w:vAlign w:val="center"/>
          </w:tcPr>
          <w:p w14:paraId="414AF0BE" w14:textId="5502B268"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£11.3</w:t>
            </w:r>
          </w:p>
        </w:tc>
        <w:tc>
          <w:tcPr>
            <w:tcW w:w="1920" w:type="dxa"/>
            <w:shd w:val="clear" w:color="auto" w:fill="auto"/>
            <w:vAlign w:val="center"/>
          </w:tcPr>
          <w:p w14:paraId="73027C57" w14:textId="638315DF"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£28.8</w:t>
            </w:r>
          </w:p>
        </w:tc>
        <w:tc>
          <w:tcPr>
            <w:tcW w:w="1963" w:type="dxa"/>
            <w:shd w:val="clear" w:color="auto" w:fill="auto"/>
            <w:vAlign w:val="center"/>
          </w:tcPr>
          <w:p w14:paraId="41691535" w14:textId="36EB00E7"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£17.5</w:t>
            </w:r>
          </w:p>
        </w:tc>
        <w:tc>
          <w:tcPr>
            <w:tcW w:w="1666" w:type="dxa"/>
            <w:shd w:val="clear" w:color="auto" w:fill="auto"/>
            <w:vAlign w:val="center"/>
          </w:tcPr>
          <w:p w14:paraId="775F78FA" w14:textId="708E5F2E"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156%</w:t>
            </w:r>
          </w:p>
        </w:tc>
      </w:tr>
      <w:tr w:rsidR="005413ED" w:rsidRPr="00F0789B" w14:paraId="7A7427F5" w14:textId="77777777" w:rsidTr="00F0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37C54910" w14:textId="77777777" w:rsidR="005413ED" w:rsidRPr="00F0789B" w:rsidRDefault="005413ED" w:rsidP="005413ED">
            <w:pPr>
              <w:pStyle w:val="Level1"/>
              <w:numPr>
                <w:ilvl w:val="0"/>
                <w:numId w:val="0"/>
              </w:numPr>
              <w:tabs>
                <w:tab w:val="left" w:pos="1418"/>
              </w:tabs>
              <w:spacing w:after="0" w:line="240" w:lineRule="auto"/>
              <w:rPr>
                <w:rFonts w:cs="Open Sans"/>
                <w:bCs/>
                <w:sz w:val="18"/>
                <w:szCs w:val="18"/>
              </w:rPr>
            </w:pPr>
            <w:r w:rsidRPr="00F0789B">
              <w:rPr>
                <w:rFonts w:cs="Open Sans"/>
                <w:bCs/>
                <w:sz w:val="18"/>
                <w:szCs w:val="18"/>
              </w:rPr>
              <w:t>Local stores</w:t>
            </w:r>
          </w:p>
        </w:tc>
        <w:tc>
          <w:tcPr>
            <w:tcW w:w="1920" w:type="dxa"/>
            <w:shd w:val="clear" w:color="auto" w:fill="auto"/>
            <w:vAlign w:val="center"/>
          </w:tcPr>
          <w:p w14:paraId="2690BAB0" w14:textId="20E64992"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£0.0</w:t>
            </w:r>
          </w:p>
        </w:tc>
        <w:tc>
          <w:tcPr>
            <w:tcW w:w="1920" w:type="dxa"/>
            <w:shd w:val="clear" w:color="auto" w:fill="auto"/>
            <w:vAlign w:val="center"/>
          </w:tcPr>
          <w:p w14:paraId="1956BD8B" w14:textId="3DA12235"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£8.6</w:t>
            </w:r>
          </w:p>
        </w:tc>
        <w:tc>
          <w:tcPr>
            <w:tcW w:w="1963" w:type="dxa"/>
            <w:shd w:val="clear" w:color="auto" w:fill="auto"/>
            <w:vAlign w:val="center"/>
          </w:tcPr>
          <w:p w14:paraId="2FB23B8A" w14:textId="69AA1F9F"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£8.6</w:t>
            </w:r>
          </w:p>
        </w:tc>
        <w:tc>
          <w:tcPr>
            <w:tcW w:w="1666" w:type="dxa"/>
            <w:shd w:val="clear" w:color="auto" w:fill="auto"/>
            <w:vAlign w:val="center"/>
          </w:tcPr>
          <w:p w14:paraId="63A2DFE4" w14:textId="7805F16D"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p>
        </w:tc>
      </w:tr>
      <w:tr w:rsidR="00F0789B" w:rsidRPr="00F0789B" w14:paraId="65CA11E2" w14:textId="77777777" w:rsidTr="00F07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E8E9E7" w:themeFill="background2" w:themeFillTint="66"/>
          </w:tcPr>
          <w:p w14:paraId="552DE50D" w14:textId="77777777" w:rsidR="005413ED" w:rsidRPr="00F0789B" w:rsidRDefault="005413ED" w:rsidP="005413ED">
            <w:pPr>
              <w:pStyle w:val="Level1"/>
              <w:numPr>
                <w:ilvl w:val="0"/>
                <w:numId w:val="0"/>
              </w:numPr>
              <w:tabs>
                <w:tab w:val="left" w:pos="1418"/>
              </w:tabs>
              <w:spacing w:after="0" w:line="240" w:lineRule="auto"/>
              <w:rPr>
                <w:rFonts w:cs="Open Sans"/>
                <w:b/>
                <w:sz w:val="18"/>
                <w:szCs w:val="18"/>
              </w:rPr>
            </w:pPr>
            <w:r w:rsidRPr="00F0789B">
              <w:rPr>
                <w:rFonts w:cs="Open Sans"/>
                <w:b/>
                <w:sz w:val="18"/>
                <w:szCs w:val="18"/>
              </w:rPr>
              <w:t>BRIXHAM</w:t>
            </w:r>
          </w:p>
        </w:tc>
        <w:tc>
          <w:tcPr>
            <w:tcW w:w="1920" w:type="dxa"/>
            <w:shd w:val="clear" w:color="000000" w:fill="F2F2F2"/>
            <w:vAlign w:val="center"/>
          </w:tcPr>
          <w:p w14:paraId="5CB91816" w14:textId="1CA232B4"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 xml:space="preserve"> </w:t>
            </w:r>
          </w:p>
        </w:tc>
        <w:tc>
          <w:tcPr>
            <w:tcW w:w="1920" w:type="dxa"/>
            <w:shd w:val="clear" w:color="000000" w:fill="F2F2F2"/>
            <w:vAlign w:val="center"/>
          </w:tcPr>
          <w:p w14:paraId="43DDE134" w14:textId="157FD645"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 </w:t>
            </w:r>
          </w:p>
        </w:tc>
        <w:tc>
          <w:tcPr>
            <w:tcW w:w="1963" w:type="dxa"/>
            <w:shd w:val="clear" w:color="000000" w:fill="F2F2F2"/>
            <w:vAlign w:val="center"/>
          </w:tcPr>
          <w:p w14:paraId="3215603B" w14:textId="644BD55A"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 </w:t>
            </w:r>
          </w:p>
        </w:tc>
        <w:tc>
          <w:tcPr>
            <w:tcW w:w="1666" w:type="dxa"/>
            <w:shd w:val="clear" w:color="000000" w:fill="F2F2F2"/>
            <w:vAlign w:val="center"/>
          </w:tcPr>
          <w:p w14:paraId="79199730" w14:textId="4C44D80E"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 </w:t>
            </w:r>
          </w:p>
        </w:tc>
      </w:tr>
      <w:tr w:rsidR="005413ED" w:rsidRPr="00F0789B" w14:paraId="781A51FA" w14:textId="77777777" w:rsidTr="00F0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141CF846" w14:textId="77777777" w:rsidR="005413ED" w:rsidRPr="00F0789B" w:rsidRDefault="005413ED" w:rsidP="005413ED">
            <w:pPr>
              <w:pStyle w:val="Level1"/>
              <w:numPr>
                <w:ilvl w:val="0"/>
                <w:numId w:val="0"/>
              </w:numPr>
              <w:tabs>
                <w:tab w:val="left" w:pos="1418"/>
              </w:tabs>
              <w:spacing w:after="0" w:line="240" w:lineRule="auto"/>
              <w:rPr>
                <w:rFonts w:cs="Open Sans"/>
                <w:bCs/>
                <w:sz w:val="18"/>
                <w:szCs w:val="18"/>
              </w:rPr>
            </w:pPr>
            <w:r w:rsidRPr="00F0789B">
              <w:rPr>
                <w:rFonts w:cs="Open Sans"/>
                <w:bCs/>
                <w:sz w:val="18"/>
                <w:szCs w:val="18"/>
              </w:rPr>
              <w:t>Total</w:t>
            </w:r>
          </w:p>
        </w:tc>
        <w:tc>
          <w:tcPr>
            <w:tcW w:w="1920" w:type="dxa"/>
            <w:shd w:val="clear" w:color="auto" w:fill="auto"/>
            <w:vAlign w:val="center"/>
          </w:tcPr>
          <w:p w14:paraId="366D61DC" w14:textId="08215C51"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£11.0</w:t>
            </w:r>
          </w:p>
        </w:tc>
        <w:tc>
          <w:tcPr>
            <w:tcW w:w="1920" w:type="dxa"/>
            <w:shd w:val="clear" w:color="auto" w:fill="auto"/>
            <w:vAlign w:val="center"/>
          </w:tcPr>
          <w:p w14:paraId="1D4FF2E4" w14:textId="02DF50FE"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£17.6</w:t>
            </w:r>
          </w:p>
        </w:tc>
        <w:tc>
          <w:tcPr>
            <w:tcW w:w="1963" w:type="dxa"/>
            <w:shd w:val="clear" w:color="auto" w:fill="auto"/>
            <w:vAlign w:val="center"/>
          </w:tcPr>
          <w:p w14:paraId="1F25D0A0" w14:textId="4C32D147"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£6.6</w:t>
            </w:r>
          </w:p>
        </w:tc>
        <w:tc>
          <w:tcPr>
            <w:tcW w:w="1666" w:type="dxa"/>
            <w:shd w:val="clear" w:color="auto" w:fill="auto"/>
            <w:vAlign w:val="center"/>
          </w:tcPr>
          <w:p w14:paraId="08C13BA8" w14:textId="549362B1"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59%</w:t>
            </w:r>
          </w:p>
        </w:tc>
      </w:tr>
      <w:tr w:rsidR="005413ED" w:rsidRPr="00F0789B" w14:paraId="11D60869" w14:textId="77777777" w:rsidTr="00F07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24C7DBA2" w14:textId="77777777" w:rsidR="005413ED" w:rsidRPr="00F0789B" w:rsidRDefault="005413ED" w:rsidP="005413ED">
            <w:pPr>
              <w:pStyle w:val="Level1"/>
              <w:numPr>
                <w:ilvl w:val="0"/>
                <w:numId w:val="0"/>
              </w:numPr>
              <w:tabs>
                <w:tab w:val="left" w:pos="1418"/>
              </w:tabs>
              <w:spacing w:after="0" w:line="240" w:lineRule="auto"/>
              <w:rPr>
                <w:rFonts w:cs="Open Sans"/>
                <w:bCs/>
                <w:sz w:val="18"/>
                <w:szCs w:val="18"/>
              </w:rPr>
            </w:pPr>
            <w:r w:rsidRPr="00F0789B">
              <w:rPr>
                <w:rFonts w:cs="Open Sans"/>
                <w:bCs/>
                <w:sz w:val="18"/>
                <w:szCs w:val="18"/>
              </w:rPr>
              <w:t>Town Centre</w:t>
            </w:r>
          </w:p>
        </w:tc>
        <w:tc>
          <w:tcPr>
            <w:tcW w:w="1920" w:type="dxa"/>
            <w:shd w:val="clear" w:color="auto" w:fill="auto"/>
            <w:vAlign w:val="center"/>
          </w:tcPr>
          <w:p w14:paraId="22419A6A" w14:textId="353DFF3C"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£11.0</w:t>
            </w:r>
          </w:p>
        </w:tc>
        <w:tc>
          <w:tcPr>
            <w:tcW w:w="1920" w:type="dxa"/>
            <w:shd w:val="clear" w:color="auto" w:fill="auto"/>
            <w:vAlign w:val="center"/>
          </w:tcPr>
          <w:p w14:paraId="49CD8FB3" w14:textId="26757FF5"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£16.2</w:t>
            </w:r>
          </w:p>
        </w:tc>
        <w:tc>
          <w:tcPr>
            <w:tcW w:w="1963" w:type="dxa"/>
            <w:shd w:val="clear" w:color="auto" w:fill="auto"/>
            <w:vAlign w:val="center"/>
          </w:tcPr>
          <w:p w14:paraId="6E0EB2E5" w14:textId="04BAA7B5"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£5.2</w:t>
            </w:r>
          </w:p>
        </w:tc>
        <w:tc>
          <w:tcPr>
            <w:tcW w:w="1666" w:type="dxa"/>
            <w:shd w:val="clear" w:color="auto" w:fill="auto"/>
            <w:vAlign w:val="center"/>
          </w:tcPr>
          <w:p w14:paraId="44F1F879" w14:textId="07C08C18" w:rsidR="005413ED" w:rsidRPr="00F0789B" w:rsidRDefault="005413ED" w:rsidP="005413ED">
            <w:pPr>
              <w:pStyle w:val="Level1"/>
              <w:numPr>
                <w:ilvl w:val="0"/>
                <w:numId w:val="0"/>
              </w:numPr>
              <w:tabs>
                <w:tab w:val="left" w:pos="1418"/>
              </w:tabs>
              <w:spacing w:after="0" w:line="240" w:lineRule="auto"/>
              <w:jc w:val="center"/>
              <w:cnfStyle w:val="000000010000" w:firstRow="0" w:lastRow="0" w:firstColumn="0" w:lastColumn="0" w:oddVBand="0" w:evenVBand="0" w:oddHBand="0" w:evenHBand="1" w:firstRowFirstColumn="0" w:firstRowLastColumn="0" w:lastRowFirstColumn="0" w:lastRowLastColumn="0"/>
              <w:rPr>
                <w:rFonts w:cs="Open Sans"/>
                <w:bCs/>
                <w:sz w:val="18"/>
                <w:szCs w:val="18"/>
              </w:rPr>
            </w:pPr>
            <w:r w:rsidRPr="00F0789B">
              <w:rPr>
                <w:rFonts w:cs="Open Sans"/>
                <w:color w:val="000000"/>
                <w:sz w:val="18"/>
                <w:szCs w:val="18"/>
              </w:rPr>
              <w:t>47%</w:t>
            </w:r>
          </w:p>
        </w:tc>
      </w:tr>
      <w:tr w:rsidR="005413ED" w:rsidRPr="00F0789B" w14:paraId="1E7A9FB1" w14:textId="77777777" w:rsidTr="00F07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5" w:type="dxa"/>
            <w:shd w:val="clear" w:color="auto" w:fill="auto"/>
          </w:tcPr>
          <w:p w14:paraId="5B0D5E70" w14:textId="77777777" w:rsidR="005413ED" w:rsidRPr="00F0789B" w:rsidRDefault="005413ED" w:rsidP="005413ED">
            <w:pPr>
              <w:pStyle w:val="Level1"/>
              <w:numPr>
                <w:ilvl w:val="0"/>
                <w:numId w:val="0"/>
              </w:numPr>
              <w:tabs>
                <w:tab w:val="left" w:pos="1418"/>
              </w:tabs>
              <w:spacing w:after="0" w:line="240" w:lineRule="auto"/>
              <w:rPr>
                <w:rFonts w:cs="Open Sans"/>
                <w:bCs/>
                <w:sz w:val="18"/>
                <w:szCs w:val="18"/>
              </w:rPr>
            </w:pPr>
            <w:r w:rsidRPr="00F0789B">
              <w:rPr>
                <w:rFonts w:cs="Open Sans"/>
                <w:bCs/>
                <w:sz w:val="18"/>
                <w:szCs w:val="18"/>
              </w:rPr>
              <w:t>Other</w:t>
            </w:r>
          </w:p>
        </w:tc>
        <w:tc>
          <w:tcPr>
            <w:tcW w:w="1920" w:type="dxa"/>
            <w:shd w:val="clear" w:color="auto" w:fill="auto"/>
            <w:vAlign w:val="center"/>
          </w:tcPr>
          <w:p w14:paraId="2AECD4AB" w14:textId="00CB372F"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£0.0</w:t>
            </w:r>
          </w:p>
        </w:tc>
        <w:tc>
          <w:tcPr>
            <w:tcW w:w="1920" w:type="dxa"/>
            <w:shd w:val="clear" w:color="auto" w:fill="auto"/>
            <w:vAlign w:val="center"/>
          </w:tcPr>
          <w:p w14:paraId="5AA75FC3" w14:textId="0F10BDF9"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£1.4</w:t>
            </w:r>
          </w:p>
        </w:tc>
        <w:tc>
          <w:tcPr>
            <w:tcW w:w="1963" w:type="dxa"/>
            <w:shd w:val="clear" w:color="auto" w:fill="auto"/>
            <w:vAlign w:val="center"/>
          </w:tcPr>
          <w:p w14:paraId="6211AC28" w14:textId="1054C045"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£1.4</w:t>
            </w:r>
          </w:p>
        </w:tc>
        <w:tc>
          <w:tcPr>
            <w:tcW w:w="1666" w:type="dxa"/>
            <w:shd w:val="clear" w:color="auto" w:fill="auto"/>
            <w:vAlign w:val="center"/>
          </w:tcPr>
          <w:p w14:paraId="5B065F15" w14:textId="1E60C8A2" w:rsidR="005413ED" w:rsidRPr="00F0789B" w:rsidRDefault="005413ED" w:rsidP="005413ED">
            <w:pPr>
              <w:pStyle w:val="Level1"/>
              <w:numPr>
                <w:ilvl w:val="0"/>
                <w:numId w:val="0"/>
              </w:numPr>
              <w:tabs>
                <w:tab w:val="left" w:pos="1418"/>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cs="Open Sans"/>
                <w:bCs/>
                <w:sz w:val="18"/>
                <w:szCs w:val="18"/>
              </w:rPr>
            </w:pPr>
            <w:r w:rsidRPr="00F0789B">
              <w:rPr>
                <w:rFonts w:cs="Open Sans"/>
                <w:color w:val="000000"/>
                <w:sz w:val="18"/>
                <w:szCs w:val="18"/>
              </w:rPr>
              <w:t> </w:t>
            </w:r>
          </w:p>
        </w:tc>
      </w:tr>
    </w:tbl>
    <w:p w14:paraId="614D14D4" w14:textId="737ED6EC" w:rsidR="004E4791" w:rsidRDefault="004E4791" w:rsidP="004E4791">
      <w:pPr>
        <w:pStyle w:val="Level1"/>
        <w:numPr>
          <w:ilvl w:val="0"/>
          <w:numId w:val="0"/>
        </w:numPr>
        <w:tabs>
          <w:tab w:val="left" w:pos="1418"/>
        </w:tabs>
        <w:ind w:left="720"/>
        <w:rPr>
          <w:sz w:val="16"/>
          <w:szCs w:val="16"/>
        </w:rPr>
      </w:pPr>
      <w:r>
        <w:rPr>
          <w:sz w:val="16"/>
          <w:szCs w:val="16"/>
        </w:rPr>
        <w:t xml:space="preserve">Source: Table </w:t>
      </w:r>
      <w:r w:rsidR="00A00D3E">
        <w:rPr>
          <w:sz w:val="16"/>
          <w:szCs w:val="16"/>
        </w:rPr>
        <w:t>7</w:t>
      </w:r>
      <w:r>
        <w:rPr>
          <w:sz w:val="16"/>
          <w:szCs w:val="16"/>
        </w:rPr>
        <w:t xml:space="preserve">a, 2022 retail study &amp; Table </w:t>
      </w:r>
      <w:r w:rsidR="00A00D3E">
        <w:rPr>
          <w:sz w:val="16"/>
          <w:szCs w:val="16"/>
        </w:rPr>
        <w:t>7</w:t>
      </w:r>
      <w:r>
        <w:rPr>
          <w:sz w:val="16"/>
          <w:szCs w:val="16"/>
        </w:rPr>
        <w:t>a, 2013 retail study</w:t>
      </w:r>
    </w:p>
    <w:p w14:paraId="64081DA8" w14:textId="2666B509" w:rsidR="00F62344" w:rsidRDefault="00F62344" w:rsidP="004E4791">
      <w:pPr>
        <w:pStyle w:val="Level1"/>
        <w:numPr>
          <w:ilvl w:val="0"/>
          <w:numId w:val="0"/>
        </w:numPr>
        <w:tabs>
          <w:tab w:val="left" w:pos="1418"/>
        </w:tabs>
        <w:ind w:left="720"/>
        <w:rPr>
          <w:sz w:val="16"/>
          <w:szCs w:val="16"/>
        </w:rPr>
      </w:pPr>
    </w:p>
    <w:p w14:paraId="4D3BEF8A" w14:textId="77777777" w:rsidR="00F62344" w:rsidRPr="007B59E4" w:rsidRDefault="00F62344" w:rsidP="004E4791">
      <w:pPr>
        <w:pStyle w:val="Level1"/>
        <w:numPr>
          <w:ilvl w:val="0"/>
          <w:numId w:val="0"/>
        </w:numPr>
        <w:tabs>
          <w:tab w:val="left" w:pos="1418"/>
        </w:tabs>
        <w:ind w:left="720"/>
        <w:rPr>
          <w:sz w:val="16"/>
          <w:szCs w:val="16"/>
        </w:rPr>
      </w:pPr>
    </w:p>
    <w:p w14:paraId="3D1E8937" w14:textId="6A34A88C" w:rsidR="006C2103" w:rsidRDefault="00F0789B" w:rsidP="000F46E0">
      <w:pPr>
        <w:pStyle w:val="Level1"/>
        <w:tabs>
          <w:tab w:val="left" w:pos="1418"/>
        </w:tabs>
      </w:pPr>
      <w:r>
        <w:lastRenderedPageBreak/>
        <w:t>The contents of Table 5.2 provide the following information:</w:t>
      </w:r>
    </w:p>
    <w:p w14:paraId="0132EA31" w14:textId="0284BC29" w:rsidR="00F0789B" w:rsidRDefault="00C6489E" w:rsidP="00F0789B">
      <w:pPr>
        <w:pStyle w:val="ListBullet"/>
      </w:pPr>
      <w:r>
        <w:t xml:space="preserve">As a starting point it should be noted that the amount of available expenditure within the study area will have </w:t>
      </w:r>
      <w:r w:rsidR="00DB5C29">
        <w:t>changed</w:t>
      </w:r>
      <w:r>
        <w:t xml:space="preserve"> over the period between the 2013 and 2022 retail studies, based upon two factors: population change and </w:t>
      </w:r>
      <w:r w:rsidR="00F4047C">
        <w:t>changes in per capita retail expenditure levels. The level of population change has been discussed above, whilst Experian’s Retail Planner Briefing Note 19 (2022) indicates that there was a circa +</w:t>
      </w:r>
      <w:proofErr w:type="gramStart"/>
      <w:r w:rsidR="00F4047C">
        <w:t>11.%</w:t>
      </w:r>
      <w:proofErr w:type="gramEnd"/>
      <w:r w:rsidR="00F4047C">
        <w:t xml:space="preserve"> increase in per capita comparison goods expenditure</w:t>
      </w:r>
      <w:r w:rsidR="006258F0">
        <w:rPr>
          <w:rStyle w:val="FootnoteReference"/>
        </w:rPr>
        <w:footnoteReference w:id="36"/>
      </w:r>
      <w:r w:rsidR="00F4047C">
        <w:t xml:space="preserve"> levels between 2014 and 2022.  As a consequence, it would be expected that</w:t>
      </w:r>
      <w:r w:rsidR="006258F0">
        <w:t xml:space="preserve">, if shopping destinations were to retain broadly the same market </w:t>
      </w:r>
      <w:proofErr w:type="gramStart"/>
      <w:r w:rsidR="006258F0">
        <w:t>share</w:t>
      </w:r>
      <w:proofErr w:type="gramEnd"/>
      <w:r w:rsidR="006258F0">
        <w:t xml:space="preserve"> then turnover levels would increase.</w:t>
      </w:r>
    </w:p>
    <w:p w14:paraId="3C334ADA" w14:textId="77777777" w:rsidR="00F4047C" w:rsidRDefault="00F4047C" w:rsidP="00F4047C">
      <w:pPr>
        <w:pStyle w:val="ListBullet"/>
        <w:numPr>
          <w:ilvl w:val="0"/>
          <w:numId w:val="0"/>
        </w:numPr>
        <w:ind w:left="1077"/>
      </w:pPr>
    </w:p>
    <w:p w14:paraId="5C275921" w14:textId="7FC7F372" w:rsidR="00BD1443" w:rsidRDefault="006258F0" w:rsidP="00D333DF">
      <w:pPr>
        <w:pStyle w:val="ListBullet"/>
      </w:pPr>
      <w:r>
        <w:t xml:space="preserve">Table 5.2 indicates that there has been a +13% (£40m) increase in the overall (collective) turnover of comparison goods stores across Torquay.  This is broadly in line with increases in available (non-internet) expenditure in the study area between 2014 and 2022, although this headline growth </w:t>
      </w:r>
      <w:r w:rsidR="00BD1443">
        <w:t>is made up of contrasting fortunes for different types of destination.  For example, the town centre has lost 37% of annual study area derived turnover, whilst there have been increases in other locations across Torquay: The Willows (+26%), St Marychurch (+7.4%) and out of centre retail warehouse space (+114%).</w:t>
      </w:r>
    </w:p>
    <w:p w14:paraId="34D34923" w14:textId="77777777" w:rsidR="00D333DF" w:rsidRDefault="00D333DF" w:rsidP="00D333DF">
      <w:pPr>
        <w:pStyle w:val="ListBullet"/>
        <w:numPr>
          <w:ilvl w:val="0"/>
          <w:numId w:val="0"/>
        </w:numPr>
      </w:pPr>
    </w:p>
    <w:p w14:paraId="5CA8F1B6" w14:textId="079E7470" w:rsidR="00BD1443" w:rsidRDefault="00BD1443" w:rsidP="00D333DF">
      <w:pPr>
        <w:pStyle w:val="ListBullet"/>
      </w:pPr>
      <w:r>
        <w:t>In Paignton there has been a consistent rise in turnover between 2014 and 2022.  Overall, the town is attracting 85% more study area derived turnover, with Preston district centre growing by +245% and out of centre retail warehouses growing by +156%.</w:t>
      </w:r>
    </w:p>
    <w:p w14:paraId="64E59D2A" w14:textId="77777777" w:rsidR="00D333DF" w:rsidRDefault="00D333DF" w:rsidP="00D333DF">
      <w:pPr>
        <w:pStyle w:val="ListBullet"/>
        <w:numPr>
          <w:ilvl w:val="0"/>
          <w:numId w:val="0"/>
        </w:numPr>
      </w:pPr>
    </w:p>
    <w:p w14:paraId="1FE9853B" w14:textId="05375172" w:rsidR="00BD1443" w:rsidRDefault="00BD1443" w:rsidP="00F0789B">
      <w:pPr>
        <w:pStyle w:val="ListBullet"/>
      </w:pPr>
      <w:r>
        <w:t xml:space="preserve">A similar consistently positive approach can be found in Brixham, with an overall increase of +59% across the town and +47% for the town centre. </w:t>
      </w:r>
    </w:p>
    <w:p w14:paraId="2B463AD2" w14:textId="2650230B" w:rsidR="00F0789B" w:rsidRDefault="00F0789B" w:rsidP="00F0789B">
      <w:pPr>
        <w:pStyle w:val="ListBullet"/>
        <w:numPr>
          <w:ilvl w:val="0"/>
          <w:numId w:val="0"/>
        </w:numPr>
        <w:ind w:left="1077"/>
      </w:pPr>
    </w:p>
    <w:p w14:paraId="35C8D319" w14:textId="30E6A885" w:rsidR="00F0789B" w:rsidRDefault="00B92424" w:rsidP="000F46E0">
      <w:pPr>
        <w:pStyle w:val="Level1"/>
        <w:tabs>
          <w:tab w:val="left" w:pos="1418"/>
        </w:tabs>
      </w:pPr>
      <w:r>
        <w:t>Turning now to the quantitative assessment of retail floorspace for convenience goods, Tables 9a-9c provide an estimate for each of the three main settlements</w:t>
      </w:r>
      <w:r w:rsidR="00AE32B9">
        <w:t>.  It should be noted that the forecasts in these tables are: (A) based upon constant market shares over the assessment period; (B) cumulative in nature</w:t>
      </w:r>
      <w:r w:rsidR="00536707">
        <w:rPr>
          <w:rStyle w:val="FootnoteReference"/>
        </w:rPr>
        <w:footnoteReference w:id="37"/>
      </w:r>
    </w:p>
    <w:p w14:paraId="57B1BDA8" w14:textId="2BB3C43A" w:rsidR="00B92424" w:rsidRDefault="00B92424" w:rsidP="00B92424">
      <w:pPr>
        <w:pStyle w:val="ListBullet"/>
      </w:pPr>
      <w:r>
        <w:t xml:space="preserve">Torquay.  </w:t>
      </w:r>
      <w:r w:rsidR="00241942">
        <w:t>Table</w:t>
      </w:r>
      <w:r>
        <w:t xml:space="preserve"> 9a takes into account </w:t>
      </w:r>
      <w:r w:rsidR="00241942">
        <w:t xml:space="preserve">the turnover associated with the </w:t>
      </w:r>
      <w:r w:rsidR="002A2DFE">
        <w:t xml:space="preserve">committed ALDI foodstore at the Devon Garden Machinery site </w:t>
      </w:r>
      <w:r w:rsidR="00500B0F">
        <w:t xml:space="preserve">and </w:t>
      </w:r>
      <w:r>
        <w:t xml:space="preserve">indicates that </w:t>
      </w:r>
      <w:r w:rsidR="00500B0F">
        <w:t xml:space="preserve">there will be quantitative capacity for an additional 1,984sq m </w:t>
      </w:r>
      <w:r w:rsidR="00AE32B9">
        <w:t xml:space="preserve">(net sales) </w:t>
      </w:r>
      <w:r w:rsidR="00500B0F">
        <w:t xml:space="preserve">convenience </w:t>
      </w:r>
      <w:r w:rsidR="00AE32B9">
        <w:t xml:space="preserve">goods floorspace in Torquay </w:t>
      </w:r>
      <w:proofErr w:type="gramStart"/>
      <w:r w:rsidR="00AE32B9">
        <w:t>at</w:t>
      </w:r>
      <w:proofErr w:type="gramEnd"/>
      <w:r w:rsidR="00AE32B9">
        <w:t xml:space="preserve"> 2027.  Table 9a indicates that, based upon a constant market share and </w:t>
      </w:r>
      <w:proofErr w:type="gramStart"/>
      <w:r w:rsidR="00AE32B9">
        <w:t>assuming that</w:t>
      </w:r>
      <w:proofErr w:type="gramEnd"/>
      <w:r w:rsidR="00AE32B9">
        <w:t xml:space="preserve"> no other additional floorspace becomes committed / operational, then this quantitative capacity will rise to 2,386sq m (net) by 2032 and 2,990sq m (net) by 2040.</w:t>
      </w:r>
    </w:p>
    <w:p w14:paraId="6D4BA608" w14:textId="77777777" w:rsidR="00AE32B9" w:rsidRDefault="00AE32B9" w:rsidP="00AE32B9">
      <w:pPr>
        <w:pStyle w:val="ListBullet"/>
        <w:numPr>
          <w:ilvl w:val="0"/>
          <w:numId w:val="0"/>
        </w:numPr>
        <w:ind w:left="1077"/>
      </w:pPr>
    </w:p>
    <w:p w14:paraId="6F973235" w14:textId="09EBD664" w:rsidR="00B92424" w:rsidRDefault="00B92424" w:rsidP="00B92424">
      <w:pPr>
        <w:pStyle w:val="ListBullet"/>
      </w:pPr>
      <w:r>
        <w:t>Brixham</w:t>
      </w:r>
      <w:r w:rsidR="00AE32B9">
        <w:t xml:space="preserve">.  Table 9c indicates a modest quantitative need for additional convenience goods floorspace in Brixham, with 404sq m (net) </w:t>
      </w:r>
      <w:proofErr w:type="gramStart"/>
      <w:r w:rsidR="00AE32B9">
        <w:t>at</w:t>
      </w:r>
      <w:proofErr w:type="gramEnd"/>
      <w:r w:rsidR="00AE32B9">
        <w:t xml:space="preserve"> 2022 and then remaining at the 400-500sq m (net) level between 2022-2040 (based upon a constant market share).</w:t>
      </w:r>
      <w:r w:rsidR="00536707">
        <w:t xml:space="preserve">  This relatively low level of quantitative capacity is directly influenced by the reasonably low level of convenience goods market share in Brixham and has been a long-standing theme </w:t>
      </w:r>
      <w:r w:rsidR="00DA4A84">
        <w:t>for Brixham in recent retail studies in Torbay.  Therefore, one way of increasing the level of quantitative capacity for convenience goods floorspace in Brixham is to plan to raise the market share of the town centre in the future via a step change in provision (which would have a knock-on impact on capacity levels in surrounding settlements).</w:t>
      </w:r>
    </w:p>
    <w:p w14:paraId="0D1853DC" w14:textId="77777777" w:rsidR="00AE32B9" w:rsidRDefault="00AE32B9" w:rsidP="00AE32B9">
      <w:pPr>
        <w:pStyle w:val="ListBullet"/>
        <w:numPr>
          <w:ilvl w:val="0"/>
          <w:numId w:val="0"/>
        </w:numPr>
      </w:pPr>
    </w:p>
    <w:p w14:paraId="7AC07F49" w14:textId="3D38FC2B" w:rsidR="00B92424" w:rsidRDefault="00B92424" w:rsidP="00B92424">
      <w:pPr>
        <w:pStyle w:val="ListBullet"/>
      </w:pPr>
      <w:r>
        <w:t>Paignton</w:t>
      </w:r>
      <w:r w:rsidR="00536707">
        <w:t>.  There is</w:t>
      </w:r>
      <w:r w:rsidR="00DA4A84">
        <w:t xml:space="preserve"> also a reasonably low level of quantitative expenditure / floorspace capacity in Paignton.  This situation is understandable </w:t>
      </w:r>
      <w:r w:rsidR="00A70279">
        <w:t>given the significant increases in convenience goods floorspace (both new openings and commitments) in recent years</w:t>
      </w:r>
      <w:r w:rsidR="00286724">
        <w:t xml:space="preserve"> (including the opening of an ASDA since the completion of the previous household survey, plus new </w:t>
      </w:r>
      <w:proofErr w:type="gramStart"/>
      <w:r w:rsidR="00286724">
        <w:t>ALDI</w:t>
      </w:r>
      <w:proofErr w:type="gramEnd"/>
      <w:r w:rsidR="00286724">
        <w:t xml:space="preserve"> and Lidl stores)</w:t>
      </w:r>
      <w:r w:rsidR="00A70279">
        <w:t>.</w:t>
      </w:r>
      <w:r w:rsidR="00286724">
        <w:t xml:space="preserve">  Table 9b indicates a surplus quantitative capacity of 319sq m net 2027, which is forecast to rise to 672sq m by 2032 and 1,202sq m by 2040.  </w:t>
      </w:r>
    </w:p>
    <w:p w14:paraId="3FD95366" w14:textId="648C2D58" w:rsidR="00B92424" w:rsidRDefault="00B92424" w:rsidP="00B92424">
      <w:pPr>
        <w:pStyle w:val="ListBullet"/>
        <w:numPr>
          <w:ilvl w:val="0"/>
          <w:numId w:val="0"/>
        </w:numPr>
        <w:ind w:left="1077"/>
      </w:pPr>
    </w:p>
    <w:p w14:paraId="0663D361" w14:textId="2EB3FD53" w:rsidR="00B92424" w:rsidRDefault="005B42A0" w:rsidP="000F46E0">
      <w:pPr>
        <w:pStyle w:val="Level1"/>
        <w:tabs>
          <w:tab w:val="left" w:pos="1418"/>
        </w:tabs>
      </w:pPr>
      <w:r>
        <w:t xml:space="preserve">Based upon the quantitative forecasts contained in Tables 9a-9c and summarised above, the quantitative case for new convenience goods floorspace provision would appear to revolve around three </w:t>
      </w:r>
      <w:proofErr w:type="gramStart"/>
      <w:r>
        <w:t>particular aspects</w:t>
      </w:r>
      <w:proofErr w:type="gramEnd"/>
      <w:r>
        <w:t>:</w:t>
      </w:r>
    </w:p>
    <w:p w14:paraId="4A0A2D12" w14:textId="0BEE69BF" w:rsidR="005B42A0" w:rsidRDefault="00203E7A" w:rsidP="005B42A0">
      <w:pPr>
        <w:pStyle w:val="ListBullet"/>
      </w:pPr>
      <w:r>
        <w:t xml:space="preserve">The opportunity for an increase in the level of provision in Brixham revolves around the ability to increase market share levels linked to a certain type of new provision.  This new provision would need to offer ‘something different’ to existing facilities in the town </w:t>
      </w:r>
      <w:proofErr w:type="gramStart"/>
      <w:r>
        <w:t>in order to</w:t>
      </w:r>
      <w:proofErr w:type="gramEnd"/>
      <w:r>
        <w:t xml:space="preserve"> claw back convenience goods trips / expenditure which is currently being lost from the local area.</w:t>
      </w:r>
    </w:p>
    <w:p w14:paraId="545B7C35" w14:textId="77777777" w:rsidR="00203E7A" w:rsidRDefault="00203E7A" w:rsidP="00203E7A">
      <w:pPr>
        <w:pStyle w:val="ListBullet"/>
        <w:numPr>
          <w:ilvl w:val="0"/>
          <w:numId w:val="0"/>
        </w:numPr>
        <w:ind w:left="1077"/>
      </w:pPr>
    </w:p>
    <w:p w14:paraId="329C2B71" w14:textId="20202204" w:rsidR="00203E7A" w:rsidRDefault="00203E7A" w:rsidP="005B42A0">
      <w:pPr>
        <w:pStyle w:val="ListBullet"/>
      </w:pPr>
      <w:r>
        <w:t xml:space="preserve">Torquay has the highest level of quantitative capacity for convenience goods floorspace which is </w:t>
      </w:r>
      <w:r w:rsidR="00A13121">
        <w:t xml:space="preserve">likely to be a product of the size of Torquay, its high market share and (despite the ALDI Devon Garden Machinery commitment) the lower level of new provision than Paignton in recent years.  It should be noted that the forecast quantitative capacity is influenced primarily by the successful trading performance of the out of centre ASDA and Lidl </w:t>
      </w:r>
      <w:proofErr w:type="spellStart"/>
      <w:r w:rsidR="00A13121">
        <w:t>foodstores</w:t>
      </w:r>
      <w:proofErr w:type="spellEnd"/>
      <w:r w:rsidR="00A13121">
        <w:t xml:space="preserve"> (which have reduced the turnover of The Willows district centre) and the reasonably poor trading performance of the town centre.  This would suggest that the provision of new convenience goods floorspace, using support from the quantitative capacity assessment, should be targeted in order that any new allocations are not simply predicated on the trading performance of out of centre stores and instead achieve benefits for the defined ‘town centre’ network across the </w:t>
      </w:r>
      <w:proofErr w:type="gramStart"/>
      <w:r w:rsidR="00A13121">
        <w:t>town as a whole</w:t>
      </w:r>
      <w:proofErr w:type="gramEnd"/>
      <w:r w:rsidR="00A13121">
        <w:t>.</w:t>
      </w:r>
    </w:p>
    <w:p w14:paraId="53FAD00D" w14:textId="77777777" w:rsidR="00203E7A" w:rsidRDefault="00203E7A" w:rsidP="00203E7A">
      <w:pPr>
        <w:pStyle w:val="ListBullet"/>
        <w:numPr>
          <w:ilvl w:val="0"/>
          <w:numId w:val="0"/>
        </w:numPr>
      </w:pPr>
    </w:p>
    <w:p w14:paraId="51D3407B" w14:textId="12BA0F62" w:rsidR="00203E7A" w:rsidRDefault="00203E7A" w:rsidP="005B42A0">
      <w:pPr>
        <w:pStyle w:val="ListBullet"/>
      </w:pPr>
      <w:r>
        <w:t>Paignton</w:t>
      </w:r>
      <w:r w:rsidR="00C538B6">
        <w:t>.  There is a no obvious quantitative case for new convenience goods provision in Paignton.  This is due to the number of recent store openings / commitments and the ability of these new facilities to soak up any surplus capacity that previously existed.</w:t>
      </w:r>
    </w:p>
    <w:p w14:paraId="2B03EA8B" w14:textId="3A6F166B" w:rsidR="005B42A0" w:rsidRDefault="00C538B6" w:rsidP="000F46E0">
      <w:pPr>
        <w:pStyle w:val="Level1"/>
        <w:tabs>
          <w:tab w:val="left" w:pos="1418"/>
        </w:tabs>
      </w:pPr>
      <w:r>
        <w:t xml:space="preserve">Tables 10a-10f perform the same exercise for comparison goods floorspace in the three main settlements.  </w:t>
      </w:r>
      <w:r w:rsidR="00504457">
        <w:t xml:space="preserve">As noted above, </w:t>
      </w:r>
      <w:r w:rsidR="00A81A7E">
        <w:t>two alternative capacity scenarios are provided for each settlement: one linking benchmark turnover back to the quantitative assessment in the previous (2013) retail study</w:t>
      </w:r>
      <w:r w:rsidR="00E93B47">
        <w:t>; and an alternative which assumes that benchmark turnover equals actual turnover at the base year for the assessment.  The contents of Tables 10a-10f can be described as follows:</w:t>
      </w:r>
    </w:p>
    <w:p w14:paraId="52BBEC8C" w14:textId="06EE7743" w:rsidR="00E93B47" w:rsidRDefault="003E072B" w:rsidP="00E93B47">
      <w:pPr>
        <w:pStyle w:val="ListBullet"/>
      </w:pPr>
      <w:r>
        <w:t>Torquay.  Table 10a assesses quantitative comparison goods expenditure / floorspace capacity in Torquay based upon a link back to the 2013 retail study.  The assessment shows that the benchmark turnover previously adopted for 2022 is slightly above the latest forecasts actual turnover for comparison goods stores in Torquay (£411m against £391m), although this difference is reduced by the forecast loss of comparison goods floorspace in Torquay town centre</w:t>
      </w:r>
      <w:r>
        <w:rPr>
          <w:rStyle w:val="FootnoteReference"/>
        </w:rPr>
        <w:footnoteReference w:id="38"/>
      </w:r>
      <w:r>
        <w:t xml:space="preserve">.  The resultant ‘deficit’ in capacity </w:t>
      </w:r>
      <w:proofErr w:type="gramStart"/>
      <w:r>
        <w:t>at</w:t>
      </w:r>
      <w:proofErr w:type="gramEnd"/>
      <w:r>
        <w:t xml:space="preserve"> 2022 is -£15m</w:t>
      </w:r>
      <w:r w:rsidR="00C85094">
        <w:t xml:space="preserve">, which is forecast to remain at a similar level to 2032 after which the ‘deficit’ falls to circa -£7.5m.  Therefore, there is no obvious quantitative case to plan for an expansion the level of comparison goods </w:t>
      </w:r>
      <w:r w:rsidR="00DB5C29">
        <w:t>floorspace</w:t>
      </w:r>
      <w:r w:rsidR="00C85094">
        <w:t xml:space="preserve"> in Torquay.  If the equilibrium approach is taken, then Table 10b indicates a modest level of capacity of circa 1,100sq m net by 2027, rising to 2,100sq m net by 2032 and 3,300sq m net by 2040.</w:t>
      </w:r>
    </w:p>
    <w:p w14:paraId="60C22EF2" w14:textId="77777777" w:rsidR="00C85094" w:rsidRDefault="00C85094" w:rsidP="00C85094">
      <w:pPr>
        <w:pStyle w:val="ListBullet"/>
        <w:numPr>
          <w:ilvl w:val="0"/>
          <w:numId w:val="0"/>
        </w:numPr>
        <w:ind w:left="1077"/>
      </w:pPr>
    </w:p>
    <w:p w14:paraId="6CAF5AF2" w14:textId="13EE3937" w:rsidR="00C85094" w:rsidRDefault="00C85094" w:rsidP="00E93B47">
      <w:pPr>
        <w:pStyle w:val="ListBullet"/>
      </w:pPr>
      <w:r>
        <w:lastRenderedPageBreak/>
        <w:t xml:space="preserve">Paignton.  </w:t>
      </w:r>
      <w:r w:rsidR="00D84141">
        <w:t xml:space="preserve">Table 10c at Appendix XX links the comparison goods benchmark turnover of Paignton to the level (for 2022) used in the 2013 retail study.  Given that </w:t>
      </w:r>
      <w:r w:rsidR="00926AAE">
        <w:t xml:space="preserve">the previous benchmark turnover is lower than the current (2022) forecast actual turnover of stores across Paignton, Table 10c indicates a ‘surplus’ quantitative capacity of circa 4,000sq m net </w:t>
      </w:r>
      <w:proofErr w:type="gramStart"/>
      <w:r w:rsidR="00926AAE">
        <w:t>at</w:t>
      </w:r>
      <w:proofErr w:type="gramEnd"/>
      <w:r w:rsidR="00926AAE">
        <w:t xml:space="preserve"> 2027, rising slightly to circa 4,200sq m net by 2032 and 4,300sq m by 2040.  The alternative is to assume an equi</w:t>
      </w:r>
      <w:r w:rsidR="0008769D">
        <w:t>librium</w:t>
      </w:r>
      <w:r w:rsidR="00926AAE">
        <w:t xml:space="preserve"> level </w:t>
      </w:r>
      <w:proofErr w:type="gramStart"/>
      <w:r w:rsidR="00926AAE">
        <w:t>at</w:t>
      </w:r>
      <w:proofErr w:type="gramEnd"/>
      <w:r w:rsidR="00926AAE">
        <w:t xml:space="preserve"> 2022 and this is shown in Table 10d.  The elimination of this positive difference between actual and benchmark turnover leads to </w:t>
      </w:r>
      <w:r w:rsidR="00A652C1">
        <w:t>a modest amount of ‘surplus’ capacity of 400-700sq m net between 2027 and 2040.</w:t>
      </w:r>
    </w:p>
    <w:p w14:paraId="676EB888" w14:textId="77777777" w:rsidR="00C85094" w:rsidRDefault="00C85094" w:rsidP="00C85094">
      <w:pPr>
        <w:pStyle w:val="ListParagraph"/>
      </w:pPr>
    </w:p>
    <w:p w14:paraId="71085340" w14:textId="080FF454" w:rsidR="00C85094" w:rsidRDefault="00C85094" w:rsidP="00E93B47">
      <w:pPr>
        <w:pStyle w:val="ListBullet"/>
      </w:pPr>
      <w:r>
        <w:t>Brixham.</w:t>
      </w:r>
      <w:r w:rsidR="00A652C1">
        <w:t xml:space="preserve">  Finally, Tables 10e and 10f show that the greater level of </w:t>
      </w:r>
      <w:r w:rsidR="00FF7482">
        <w:t xml:space="preserve">additional (net) quantitative capacity for Brixham occurs in relation to the scenario which links benchmark turnover levels back to the 2013 retail study.  This provides a level of capacity in the region of </w:t>
      </w:r>
      <w:r w:rsidR="00A652C1">
        <w:t xml:space="preserve">900sq m net </w:t>
      </w:r>
      <w:r w:rsidR="00FF7482">
        <w:t>across the assessment period.  Lower levels of capacity are forecast in the alternative scenario (Table 10f) which assumes an equilibrium turnover/benchmark level at the base year (2022) for the assessment.</w:t>
      </w:r>
    </w:p>
    <w:p w14:paraId="1CCDBA58" w14:textId="70C57CFC" w:rsidR="00C85094" w:rsidRDefault="00C85094" w:rsidP="00C85094">
      <w:pPr>
        <w:pStyle w:val="ListBullet"/>
        <w:numPr>
          <w:ilvl w:val="0"/>
          <w:numId w:val="0"/>
        </w:numPr>
        <w:ind w:left="1077" w:hanging="357"/>
      </w:pPr>
    </w:p>
    <w:p w14:paraId="02824F32" w14:textId="451EC583" w:rsidR="00E93B47" w:rsidRDefault="00F02074" w:rsidP="000F46E0">
      <w:pPr>
        <w:pStyle w:val="Level1"/>
        <w:tabs>
          <w:tab w:val="left" w:pos="1418"/>
        </w:tabs>
      </w:pPr>
      <w:r>
        <w:t>With regards to these forecast levels of quantitative expenditure / floorspace capacity for comparison goods floorspace, we consider that the following points are important to highlight:</w:t>
      </w:r>
    </w:p>
    <w:p w14:paraId="488C1366" w14:textId="212196A2" w:rsidR="00F02074" w:rsidRDefault="00912BF6" w:rsidP="00F02074">
      <w:pPr>
        <w:pStyle w:val="ListBullet"/>
      </w:pPr>
      <w:r>
        <w:t>From the outset, it should be noted that quantitative indicators of expenditure / floorspace capacity are only one part of a wider basket of considerations in the overall assessment of need.</w:t>
      </w:r>
      <w:r w:rsidR="00761DA4">
        <w:t xml:space="preserve">  </w:t>
      </w:r>
      <w:proofErr w:type="gramStart"/>
      <w:r w:rsidR="00761DA4">
        <w:t>In particular, growth</w:t>
      </w:r>
      <w:proofErr w:type="gramEnd"/>
      <w:r w:rsidR="00761DA4">
        <w:t xml:space="preserve"> in available retail expenditure</w:t>
      </w:r>
      <w:r w:rsidR="00627055">
        <w:t xml:space="preserve">, which could be translated into a floorspace capacity equivalent, may not match the ‘market position’ in relation to demand for </w:t>
      </w:r>
      <w:r w:rsidR="003938BF">
        <w:t xml:space="preserve">comparison goods floorspace.  Indeed, whilst the quantitative assessment does make an allowance for </w:t>
      </w:r>
      <w:r w:rsidR="00374523">
        <w:t xml:space="preserve">increases in floorspace efficiency, there is a good argument for allowing expenditure growth to be assigned to support existing floorspace </w:t>
      </w:r>
      <w:proofErr w:type="gramStart"/>
      <w:r w:rsidR="00374523">
        <w:t>in light of</w:t>
      </w:r>
      <w:proofErr w:type="gramEnd"/>
      <w:r w:rsidR="00374523">
        <w:t xml:space="preserve"> the general retail market position and also the forecast short-term challenges for the UK economy.</w:t>
      </w:r>
    </w:p>
    <w:p w14:paraId="0823AE39" w14:textId="77777777" w:rsidR="00627055" w:rsidRDefault="00627055" w:rsidP="00627055">
      <w:pPr>
        <w:pStyle w:val="ListBullet"/>
        <w:numPr>
          <w:ilvl w:val="0"/>
          <w:numId w:val="0"/>
        </w:numPr>
        <w:ind w:left="1077" w:hanging="357"/>
      </w:pPr>
    </w:p>
    <w:p w14:paraId="361FEF40" w14:textId="71905239" w:rsidR="00F02074" w:rsidRDefault="00374523" w:rsidP="00F02074">
      <w:pPr>
        <w:pStyle w:val="ListBullet"/>
      </w:pPr>
      <w:r>
        <w:t xml:space="preserve">With regards to the specific quantitative expenditure / floorspace capacity forecasts, it will be noted that the scenario for </w:t>
      </w:r>
      <w:r w:rsidR="00912BF6">
        <w:t xml:space="preserve">Paignton </w:t>
      </w:r>
      <w:r>
        <w:t xml:space="preserve">which </w:t>
      </w:r>
      <w:r w:rsidR="00912BF6">
        <w:t>link</w:t>
      </w:r>
      <w:r>
        <w:t>s</w:t>
      </w:r>
      <w:r w:rsidR="00912BF6">
        <w:t xml:space="preserve"> </w:t>
      </w:r>
      <w:r>
        <w:t xml:space="preserve">benchmark turnover </w:t>
      </w:r>
      <w:r w:rsidR="00912BF6">
        <w:t xml:space="preserve">back to previous is the only </w:t>
      </w:r>
      <w:r>
        <w:t xml:space="preserve">one </w:t>
      </w:r>
      <w:r w:rsidR="00912BF6">
        <w:t xml:space="preserve">where </w:t>
      </w:r>
      <w:r>
        <w:t xml:space="preserve">there is </w:t>
      </w:r>
      <w:r w:rsidR="00912BF6">
        <w:t xml:space="preserve">any </w:t>
      </w:r>
      <w:r>
        <w:t xml:space="preserve">sizable </w:t>
      </w:r>
      <w:r w:rsidR="00912BF6">
        <w:t>‘surplus’ capacity.</w:t>
      </w:r>
      <w:r>
        <w:t xml:space="preserve">  </w:t>
      </w:r>
      <w:r w:rsidR="002926F1">
        <w:t xml:space="preserve">Given that this is only one </w:t>
      </w:r>
      <w:proofErr w:type="gramStart"/>
      <w:r w:rsidR="002926F1">
        <w:t>scenario, and</w:t>
      </w:r>
      <w:proofErr w:type="gramEnd"/>
      <w:r w:rsidR="002926F1">
        <w:t xml:space="preserve"> given th</w:t>
      </w:r>
      <w:r w:rsidR="00891C95">
        <w:t xml:space="preserve">e wider set of ‘need’ considerations, we do not consider that it should be automatically </w:t>
      </w:r>
      <w:r w:rsidR="00434FC8">
        <w:t>assumed that there is a requirement to plan for all of the forecast net additional capacity.</w:t>
      </w:r>
    </w:p>
    <w:p w14:paraId="25BB4949" w14:textId="77777777" w:rsidR="00627055" w:rsidRDefault="00627055" w:rsidP="00627055">
      <w:pPr>
        <w:pStyle w:val="ListBullet"/>
        <w:numPr>
          <w:ilvl w:val="0"/>
          <w:numId w:val="0"/>
        </w:numPr>
      </w:pPr>
    </w:p>
    <w:p w14:paraId="2F2E4F75" w14:textId="42ADA9A5" w:rsidR="00F02074" w:rsidRDefault="00434FC8" w:rsidP="00F02074">
      <w:pPr>
        <w:pStyle w:val="ListBullet"/>
      </w:pPr>
      <w:r>
        <w:t xml:space="preserve">As noted in earlier parts of this study, the current UK </w:t>
      </w:r>
      <w:r w:rsidR="00D25060">
        <w:t xml:space="preserve">economic </w:t>
      </w:r>
      <w:r>
        <w:t xml:space="preserve">situation and the foreseeable short to medium term </w:t>
      </w:r>
      <w:r w:rsidR="00D25060">
        <w:t>outlook</w:t>
      </w:r>
      <w:r>
        <w:t xml:space="preserve"> for the UK economy </w:t>
      </w:r>
      <w:r w:rsidR="00690C4A">
        <w:t>is volatile and subject to certain risks.</w:t>
      </w:r>
      <w:r w:rsidR="00272B61">
        <w:t xml:space="preserve">  The economic forecasts used in the quantitative modelling in this study were published at the start of 2022 and therefore do not </w:t>
      </w:r>
      <w:proofErr w:type="gramStart"/>
      <w:r w:rsidR="00272B61">
        <w:t>take into account</w:t>
      </w:r>
      <w:proofErr w:type="gramEnd"/>
      <w:r w:rsidR="00272B61">
        <w:t xml:space="preserve"> the current economic outlook which has evolved swiftly over the course of 2022</w:t>
      </w:r>
      <w:r w:rsidR="00582EB8">
        <w:t xml:space="preserve"> (and will, no doubt, continue into 2023)</w:t>
      </w:r>
      <w:r w:rsidR="00272B61">
        <w:t xml:space="preserve">. </w:t>
      </w:r>
    </w:p>
    <w:p w14:paraId="3462AF94" w14:textId="77777777" w:rsidR="00582EB8" w:rsidRDefault="00582EB8" w:rsidP="00582EB8">
      <w:pPr>
        <w:pStyle w:val="ListParagraph"/>
      </w:pPr>
    </w:p>
    <w:p w14:paraId="1B5203A6" w14:textId="48F6840D" w:rsidR="00582EB8" w:rsidRDefault="00582EB8" w:rsidP="00582EB8">
      <w:pPr>
        <w:pStyle w:val="ListBullet"/>
        <w:numPr>
          <w:ilvl w:val="0"/>
          <w:numId w:val="0"/>
        </w:numPr>
        <w:ind w:left="1077"/>
      </w:pPr>
    </w:p>
    <w:p w14:paraId="3434C4E9" w14:textId="6772DE7B" w:rsidR="00582EB8" w:rsidRDefault="00582EB8" w:rsidP="00582EB8">
      <w:pPr>
        <w:pStyle w:val="ListBullet"/>
        <w:numPr>
          <w:ilvl w:val="0"/>
          <w:numId w:val="0"/>
        </w:numPr>
        <w:ind w:left="1077"/>
      </w:pPr>
    </w:p>
    <w:p w14:paraId="3CCE0B98" w14:textId="479FAA2C" w:rsidR="00582EB8" w:rsidRDefault="00582EB8" w:rsidP="00582EB8">
      <w:pPr>
        <w:pStyle w:val="ListBullet"/>
        <w:numPr>
          <w:ilvl w:val="0"/>
          <w:numId w:val="0"/>
        </w:numPr>
        <w:ind w:left="1077"/>
      </w:pPr>
    </w:p>
    <w:p w14:paraId="53503FA9" w14:textId="48A722E4" w:rsidR="00582EB8" w:rsidRDefault="00582EB8" w:rsidP="00582EB8">
      <w:pPr>
        <w:pStyle w:val="ListBullet"/>
        <w:numPr>
          <w:ilvl w:val="0"/>
          <w:numId w:val="0"/>
        </w:numPr>
        <w:ind w:left="1077"/>
      </w:pPr>
    </w:p>
    <w:p w14:paraId="4EF25F44" w14:textId="433D96C2" w:rsidR="00582EB8" w:rsidRDefault="00582EB8" w:rsidP="00582EB8">
      <w:pPr>
        <w:pStyle w:val="ListBullet"/>
        <w:numPr>
          <w:ilvl w:val="0"/>
          <w:numId w:val="0"/>
        </w:numPr>
        <w:ind w:left="1077"/>
      </w:pPr>
    </w:p>
    <w:p w14:paraId="2CCD6F43" w14:textId="60322E8F" w:rsidR="00582EB8" w:rsidRDefault="00582EB8" w:rsidP="00582EB8">
      <w:pPr>
        <w:pStyle w:val="ListBullet"/>
        <w:numPr>
          <w:ilvl w:val="0"/>
          <w:numId w:val="0"/>
        </w:numPr>
        <w:ind w:left="1077"/>
      </w:pPr>
    </w:p>
    <w:p w14:paraId="00312042" w14:textId="77777777" w:rsidR="00582EB8" w:rsidRDefault="00582EB8" w:rsidP="00582EB8">
      <w:pPr>
        <w:pStyle w:val="ListBullet"/>
        <w:numPr>
          <w:ilvl w:val="0"/>
          <w:numId w:val="0"/>
        </w:numPr>
        <w:ind w:left="1077"/>
      </w:pPr>
    </w:p>
    <w:p w14:paraId="69B64DFD" w14:textId="32862C75" w:rsidR="00F02074" w:rsidRDefault="00966B70" w:rsidP="00966B70">
      <w:pPr>
        <w:pStyle w:val="Level1"/>
      </w:pPr>
      <w:r>
        <w:lastRenderedPageBreak/>
        <w:t>In summary, the forecast levels of quantitative need for convenience and comparison goods retail floorspace are as follows:</w:t>
      </w:r>
    </w:p>
    <w:p w14:paraId="60644790" w14:textId="732A848E" w:rsidR="007A7B05" w:rsidRPr="00B44051" w:rsidRDefault="007A7B05" w:rsidP="00B44051">
      <w:pPr>
        <w:pStyle w:val="Level1"/>
        <w:numPr>
          <w:ilvl w:val="0"/>
          <w:numId w:val="0"/>
        </w:numPr>
        <w:ind w:left="720"/>
        <w:rPr>
          <w:rStyle w:val="Emphasis"/>
        </w:rPr>
      </w:pPr>
      <w:r>
        <w:rPr>
          <w:rStyle w:val="Emphasis"/>
        </w:rPr>
        <w:t xml:space="preserve">Table 5.1: quantitative convenience goods </w:t>
      </w:r>
      <w:r w:rsidR="000B4C31">
        <w:rPr>
          <w:rStyle w:val="Emphasis"/>
        </w:rPr>
        <w:t>floorspace capacity</w:t>
      </w:r>
      <w:r w:rsidR="00D43072">
        <w:rPr>
          <w:rStyle w:val="Emphasis"/>
        </w:rPr>
        <w:t xml:space="preserve"> (</w:t>
      </w:r>
      <w:proofErr w:type="spellStart"/>
      <w:r w:rsidR="00D43072">
        <w:rPr>
          <w:rStyle w:val="Emphasis"/>
        </w:rPr>
        <w:t>sq</w:t>
      </w:r>
      <w:proofErr w:type="spellEnd"/>
      <w:r w:rsidR="00D43072">
        <w:rPr>
          <w:rStyle w:val="Emphasis"/>
        </w:rPr>
        <w:t xml:space="preserve"> m net sales areas)</w:t>
      </w:r>
      <w:r w:rsidR="000B4C31">
        <w:rPr>
          <w:rStyle w:val="Emphasis"/>
        </w:rPr>
        <w:t>, 2022-2040</w:t>
      </w:r>
    </w:p>
    <w:tbl>
      <w:tblPr>
        <w:tblStyle w:val="TableGrid2"/>
        <w:tblW w:w="0" w:type="auto"/>
        <w:tblLook w:val="04A0" w:firstRow="1" w:lastRow="0" w:firstColumn="1" w:lastColumn="0" w:noHBand="0" w:noVBand="1"/>
      </w:tblPr>
      <w:tblGrid>
        <w:gridCol w:w="2038"/>
        <w:gridCol w:w="2039"/>
        <w:gridCol w:w="2039"/>
        <w:gridCol w:w="2039"/>
        <w:gridCol w:w="2039"/>
      </w:tblGrid>
      <w:tr w:rsidR="00A725FD" w14:paraId="60D2A41E" w14:textId="77777777" w:rsidTr="00B44051">
        <w:tc>
          <w:tcPr>
            <w:tcW w:w="2038" w:type="dxa"/>
          </w:tcPr>
          <w:p w14:paraId="6A49A1A5" w14:textId="77777777" w:rsidR="00A725FD" w:rsidRDefault="00A725FD" w:rsidP="00966B70">
            <w:pPr>
              <w:pStyle w:val="Level1"/>
              <w:numPr>
                <w:ilvl w:val="0"/>
                <w:numId w:val="0"/>
              </w:numPr>
            </w:pPr>
          </w:p>
        </w:tc>
        <w:tc>
          <w:tcPr>
            <w:tcW w:w="2039" w:type="dxa"/>
          </w:tcPr>
          <w:p w14:paraId="25CB265D" w14:textId="65D9928B" w:rsidR="00A725FD" w:rsidRPr="00582EB8" w:rsidRDefault="00A725FD" w:rsidP="00B44051">
            <w:pPr>
              <w:pStyle w:val="Level1"/>
              <w:numPr>
                <w:ilvl w:val="0"/>
                <w:numId w:val="0"/>
              </w:numPr>
              <w:jc w:val="center"/>
              <w:rPr>
                <w:b/>
                <w:bCs/>
              </w:rPr>
            </w:pPr>
            <w:r w:rsidRPr="00582EB8">
              <w:rPr>
                <w:b/>
                <w:bCs/>
              </w:rPr>
              <w:t>2022</w:t>
            </w:r>
          </w:p>
        </w:tc>
        <w:tc>
          <w:tcPr>
            <w:tcW w:w="2039" w:type="dxa"/>
          </w:tcPr>
          <w:p w14:paraId="7D8B7514" w14:textId="61B7B418" w:rsidR="00A725FD" w:rsidRPr="00582EB8" w:rsidRDefault="00A725FD" w:rsidP="00B44051">
            <w:pPr>
              <w:pStyle w:val="Level1"/>
              <w:numPr>
                <w:ilvl w:val="0"/>
                <w:numId w:val="0"/>
              </w:numPr>
              <w:jc w:val="center"/>
              <w:rPr>
                <w:b/>
                <w:bCs/>
              </w:rPr>
            </w:pPr>
            <w:r w:rsidRPr="00582EB8">
              <w:rPr>
                <w:b/>
                <w:bCs/>
              </w:rPr>
              <w:t>2027</w:t>
            </w:r>
          </w:p>
        </w:tc>
        <w:tc>
          <w:tcPr>
            <w:tcW w:w="2039" w:type="dxa"/>
          </w:tcPr>
          <w:p w14:paraId="6A17826A" w14:textId="3211E657" w:rsidR="00A725FD" w:rsidRPr="00582EB8" w:rsidRDefault="00A725FD" w:rsidP="00B44051">
            <w:pPr>
              <w:pStyle w:val="Level1"/>
              <w:numPr>
                <w:ilvl w:val="0"/>
                <w:numId w:val="0"/>
              </w:numPr>
              <w:jc w:val="center"/>
              <w:rPr>
                <w:b/>
                <w:bCs/>
              </w:rPr>
            </w:pPr>
            <w:r w:rsidRPr="00582EB8">
              <w:rPr>
                <w:b/>
                <w:bCs/>
              </w:rPr>
              <w:t>2032</w:t>
            </w:r>
          </w:p>
        </w:tc>
        <w:tc>
          <w:tcPr>
            <w:tcW w:w="2039" w:type="dxa"/>
          </w:tcPr>
          <w:p w14:paraId="22F309FB" w14:textId="0D5D3E92" w:rsidR="00A725FD" w:rsidRPr="00582EB8" w:rsidRDefault="00A725FD" w:rsidP="00B44051">
            <w:pPr>
              <w:pStyle w:val="Level1"/>
              <w:numPr>
                <w:ilvl w:val="0"/>
                <w:numId w:val="0"/>
              </w:numPr>
              <w:jc w:val="center"/>
              <w:rPr>
                <w:b/>
                <w:bCs/>
              </w:rPr>
            </w:pPr>
            <w:r w:rsidRPr="00582EB8">
              <w:rPr>
                <w:b/>
                <w:bCs/>
              </w:rPr>
              <w:t>2040</w:t>
            </w:r>
          </w:p>
        </w:tc>
      </w:tr>
      <w:tr w:rsidR="00A725FD" w14:paraId="5FB55474" w14:textId="77777777" w:rsidTr="00B44051">
        <w:tc>
          <w:tcPr>
            <w:tcW w:w="2038" w:type="dxa"/>
          </w:tcPr>
          <w:p w14:paraId="0BEF0D1C" w14:textId="1759BC3A" w:rsidR="00A725FD" w:rsidRDefault="00A725FD" w:rsidP="00966B70">
            <w:pPr>
              <w:pStyle w:val="Level1"/>
              <w:numPr>
                <w:ilvl w:val="0"/>
                <w:numId w:val="0"/>
              </w:numPr>
            </w:pPr>
            <w:r>
              <w:t>Torquay</w:t>
            </w:r>
          </w:p>
        </w:tc>
        <w:tc>
          <w:tcPr>
            <w:tcW w:w="2039" w:type="dxa"/>
          </w:tcPr>
          <w:p w14:paraId="6CD6A876" w14:textId="2B611BA6" w:rsidR="00A725FD" w:rsidRDefault="00D43072" w:rsidP="00B44051">
            <w:pPr>
              <w:pStyle w:val="Level1"/>
              <w:numPr>
                <w:ilvl w:val="0"/>
                <w:numId w:val="0"/>
              </w:numPr>
              <w:jc w:val="center"/>
            </w:pPr>
            <w:r>
              <w:t>2,232</w:t>
            </w:r>
          </w:p>
        </w:tc>
        <w:tc>
          <w:tcPr>
            <w:tcW w:w="2039" w:type="dxa"/>
          </w:tcPr>
          <w:p w14:paraId="0209A70A" w14:textId="3930A0D4" w:rsidR="00A725FD" w:rsidRDefault="00D43072" w:rsidP="00B44051">
            <w:pPr>
              <w:pStyle w:val="Level1"/>
              <w:numPr>
                <w:ilvl w:val="0"/>
                <w:numId w:val="0"/>
              </w:numPr>
              <w:jc w:val="center"/>
            </w:pPr>
            <w:r>
              <w:t>1,984</w:t>
            </w:r>
          </w:p>
        </w:tc>
        <w:tc>
          <w:tcPr>
            <w:tcW w:w="2039" w:type="dxa"/>
          </w:tcPr>
          <w:p w14:paraId="4759DAF6" w14:textId="3424122C" w:rsidR="00A725FD" w:rsidRDefault="00D43072" w:rsidP="00B44051">
            <w:pPr>
              <w:pStyle w:val="Level1"/>
              <w:numPr>
                <w:ilvl w:val="0"/>
                <w:numId w:val="0"/>
              </w:numPr>
              <w:jc w:val="center"/>
            </w:pPr>
            <w:r>
              <w:t>2,386</w:t>
            </w:r>
          </w:p>
        </w:tc>
        <w:tc>
          <w:tcPr>
            <w:tcW w:w="2039" w:type="dxa"/>
          </w:tcPr>
          <w:p w14:paraId="5D31EF47" w14:textId="16AB116B" w:rsidR="00A725FD" w:rsidRDefault="00D43072" w:rsidP="00B44051">
            <w:pPr>
              <w:pStyle w:val="Level1"/>
              <w:numPr>
                <w:ilvl w:val="0"/>
                <w:numId w:val="0"/>
              </w:numPr>
              <w:jc w:val="center"/>
            </w:pPr>
            <w:r>
              <w:t>2,990</w:t>
            </w:r>
          </w:p>
        </w:tc>
      </w:tr>
      <w:tr w:rsidR="00A725FD" w14:paraId="5757CFF1" w14:textId="77777777" w:rsidTr="00B44051">
        <w:tc>
          <w:tcPr>
            <w:tcW w:w="2038" w:type="dxa"/>
          </w:tcPr>
          <w:p w14:paraId="4A75C1ED" w14:textId="6ED64B1E" w:rsidR="00A725FD" w:rsidRDefault="00A725FD" w:rsidP="00966B70">
            <w:pPr>
              <w:pStyle w:val="Level1"/>
              <w:numPr>
                <w:ilvl w:val="0"/>
                <w:numId w:val="0"/>
              </w:numPr>
            </w:pPr>
            <w:r>
              <w:t>Paignton</w:t>
            </w:r>
          </w:p>
        </w:tc>
        <w:tc>
          <w:tcPr>
            <w:tcW w:w="2039" w:type="dxa"/>
          </w:tcPr>
          <w:p w14:paraId="229D8E7F" w14:textId="5FE73B3B" w:rsidR="00A725FD" w:rsidRDefault="00D43072" w:rsidP="00B44051">
            <w:pPr>
              <w:pStyle w:val="Level1"/>
              <w:numPr>
                <w:ilvl w:val="0"/>
                <w:numId w:val="0"/>
              </w:numPr>
              <w:jc w:val="center"/>
            </w:pPr>
            <w:r>
              <w:t>312</w:t>
            </w:r>
          </w:p>
        </w:tc>
        <w:tc>
          <w:tcPr>
            <w:tcW w:w="2039" w:type="dxa"/>
          </w:tcPr>
          <w:p w14:paraId="1170591C" w14:textId="654C40EA" w:rsidR="00A725FD" w:rsidRDefault="00D43072" w:rsidP="00B44051">
            <w:pPr>
              <w:pStyle w:val="Level1"/>
              <w:numPr>
                <w:ilvl w:val="0"/>
                <w:numId w:val="0"/>
              </w:numPr>
              <w:jc w:val="center"/>
            </w:pPr>
            <w:r>
              <w:t>319</w:t>
            </w:r>
          </w:p>
        </w:tc>
        <w:tc>
          <w:tcPr>
            <w:tcW w:w="2039" w:type="dxa"/>
          </w:tcPr>
          <w:p w14:paraId="1E1738C7" w14:textId="3233CFDE" w:rsidR="00A725FD" w:rsidRDefault="00D43072" w:rsidP="00B44051">
            <w:pPr>
              <w:pStyle w:val="Level1"/>
              <w:numPr>
                <w:ilvl w:val="0"/>
                <w:numId w:val="0"/>
              </w:numPr>
              <w:jc w:val="center"/>
            </w:pPr>
            <w:r>
              <w:t>672</w:t>
            </w:r>
          </w:p>
        </w:tc>
        <w:tc>
          <w:tcPr>
            <w:tcW w:w="2039" w:type="dxa"/>
          </w:tcPr>
          <w:p w14:paraId="7BE9E735" w14:textId="1C6AB3DC" w:rsidR="00A725FD" w:rsidRDefault="00D43072" w:rsidP="00B44051">
            <w:pPr>
              <w:pStyle w:val="Level1"/>
              <w:numPr>
                <w:ilvl w:val="0"/>
                <w:numId w:val="0"/>
              </w:numPr>
              <w:jc w:val="center"/>
            </w:pPr>
            <w:r>
              <w:t>1,202</w:t>
            </w:r>
          </w:p>
        </w:tc>
      </w:tr>
      <w:tr w:rsidR="00A725FD" w14:paraId="10C645E1" w14:textId="77777777" w:rsidTr="00B44051">
        <w:tc>
          <w:tcPr>
            <w:tcW w:w="2038" w:type="dxa"/>
          </w:tcPr>
          <w:p w14:paraId="5ED13BC6" w14:textId="78458862" w:rsidR="00A725FD" w:rsidRDefault="00A725FD" w:rsidP="00966B70">
            <w:pPr>
              <w:pStyle w:val="Level1"/>
              <w:numPr>
                <w:ilvl w:val="0"/>
                <w:numId w:val="0"/>
              </w:numPr>
            </w:pPr>
            <w:r>
              <w:t>Brixham</w:t>
            </w:r>
          </w:p>
        </w:tc>
        <w:tc>
          <w:tcPr>
            <w:tcW w:w="2039" w:type="dxa"/>
          </w:tcPr>
          <w:p w14:paraId="1BEEF200" w14:textId="290CF151" w:rsidR="00A725FD" w:rsidRDefault="00D43072" w:rsidP="00B44051">
            <w:pPr>
              <w:pStyle w:val="Level1"/>
              <w:numPr>
                <w:ilvl w:val="0"/>
                <w:numId w:val="0"/>
              </w:numPr>
              <w:jc w:val="center"/>
            </w:pPr>
            <w:r>
              <w:t>404</w:t>
            </w:r>
          </w:p>
        </w:tc>
        <w:tc>
          <w:tcPr>
            <w:tcW w:w="2039" w:type="dxa"/>
          </w:tcPr>
          <w:p w14:paraId="38C6A006" w14:textId="707D20C2" w:rsidR="00A725FD" w:rsidRDefault="00D43072" w:rsidP="00B44051">
            <w:pPr>
              <w:pStyle w:val="Level1"/>
              <w:numPr>
                <w:ilvl w:val="0"/>
                <w:numId w:val="0"/>
              </w:numPr>
              <w:jc w:val="center"/>
            </w:pPr>
            <w:r>
              <w:t>383</w:t>
            </w:r>
          </w:p>
        </w:tc>
        <w:tc>
          <w:tcPr>
            <w:tcW w:w="2039" w:type="dxa"/>
          </w:tcPr>
          <w:p w14:paraId="36F5DE99" w14:textId="366C94FB" w:rsidR="00A725FD" w:rsidRDefault="00D43072" w:rsidP="00B44051">
            <w:pPr>
              <w:pStyle w:val="Level1"/>
              <w:numPr>
                <w:ilvl w:val="0"/>
                <w:numId w:val="0"/>
              </w:numPr>
              <w:jc w:val="center"/>
            </w:pPr>
            <w:r>
              <w:t>422</w:t>
            </w:r>
          </w:p>
        </w:tc>
        <w:tc>
          <w:tcPr>
            <w:tcW w:w="2039" w:type="dxa"/>
          </w:tcPr>
          <w:p w14:paraId="116953F3" w14:textId="3F73A44A" w:rsidR="00A725FD" w:rsidRDefault="00D43072" w:rsidP="00B44051">
            <w:pPr>
              <w:pStyle w:val="Level1"/>
              <w:numPr>
                <w:ilvl w:val="0"/>
                <w:numId w:val="0"/>
              </w:numPr>
              <w:jc w:val="center"/>
            </w:pPr>
            <w:r>
              <w:t>481</w:t>
            </w:r>
          </w:p>
        </w:tc>
      </w:tr>
    </w:tbl>
    <w:p w14:paraId="62EF3DB0" w14:textId="2C7C18C3" w:rsidR="00966B70" w:rsidRDefault="00D43072" w:rsidP="00966B70">
      <w:pPr>
        <w:pStyle w:val="Level1"/>
        <w:numPr>
          <w:ilvl w:val="0"/>
          <w:numId w:val="0"/>
        </w:numPr>
        <w:ind w:left="720"/>
        <w:rPr>
          <w:sz w:val="16"/>
          <w:szCs w:val="16"/>
        </w:rPr>
      </w:pPr>
      <w:r>
        <w:rPr>
          <w:sz w:val="16"/>
          <w:szCs w:val="16"/>
        </w:rPr>
        <w:t>Notes: all floorspace figures are cumulative and are given in net sales area.</w:t>
      </w:r>
    </w:p>
    <w:p w14:paraId="2FCEB7B9" w14:textId="378C3A9B" w:rsidR="00D43072" w:rsidRDefault="00F65C03" w:rsidP="00D43072">
      <w:pPr>
        <w:pStyle w:val="Level1"/>
      </w:pPr>
      <w:r>
        <w:t>Table 5.2 below provides similar summary information from our comparison goods quantitative assessment.</w:t>
      </w:r>
    </w:p>
    <w:p w14:paraId="21B76786" w14:textId="0821282E" w:rsidR="00F65C03" w:rsidRPr="0010169C" w:rsidRDefault="00F65C03" w:rsidP="00B44051">
      <w:pPr>
        <w:pStyle w:val="Level1"/>
        <w:numPr>
          <w:ilvl w:val="0"/>
          <w:numId w:val="0"/>
        </w:numPr>
        <w:ind w:left="720"/>
        <w:rPr>
          <w:rStyle w:val="Emphasis"/>
        </w:rPr>
      </w:pPr>
      <w:r>
        <w:rPr>
          <w:rStyle w:val="Emphasis"/>
        </w:rPr>
        <w:t>Table 5.2: quantitative co</w:t>
      </w:r>
      <w:r w:rsidR="002D524A">
        <w:rPr>
          <w:rStyle w:val="Emphasis"/>
        </w:rPr>
        <w:t>mparison</w:t>
      </w:r>
      <w:r>
        <w:rPr>
          <w:rStyle w:val="Emphasis"/>
        </w:rPr>
        <w:t xml:space="preserve"> goods floorspace capacity (</w:t>
      </w:r>
      <w:proofErr w:type="spellStart"/>
      <w:r>
        <w:rPr>
          <w:rStyle w:val="Emphasis"/>
        </w:rPr>
        <w:t>sq</w:t>
      </w:r>
      <w:proofErr w:type="spellEnd"/>
      <w:r>
        <w:rPr>
          <w:rStyle w:val="Emphasis"/>
        </w:rPr>
        <w:t xml:space="preserve"> m net sales areas), 2022-2040</w:t>
      </w:r>
    </w:p>
    <w:tbl>
      <w:tblPr>
        <w:tblStyle w:val="TableGrid2"/>
        <w:tblW w:w="0" w:type="auto"/>
        <w:tblLook w:val="04A0" w:firstRow="1" w:lastRow="0" w:firstColumn="1" w:lastColumn="0" w:noHBand="0" w:noVBand="1"/>
      </w:tblPr>
      <w:tblGrid>
        <w:gridCol w:w="2038"/>
        <w:gridCol w:w="2039"/>
        <w:gridCol w:w="2039"/>
        <w:gridCol w:w="2039"/>
        <w:gridCol w:w="2039"/>
      </w:tblGrid>
      <w:tr w:rsidR="00F65C03" w14:paraId="26D83F8B" w14:textId="77777777" w:rsidTr="0010169C">
        <w:tc>
          <w:tcPr>
            <w:tcW w:w="2038" w:type="dxa"/>
          </w:tcPr>
          <w:p w14:paraId="140B387A" w14:textId="77777777" w:rsidR="00F65C03" w:rsidRDefault="00F65C03" w:rsidP="0010169C">
            <w:pPr>
              <w:pStyle w:val="Level1"/>
              <w:numPr>
                <w:ilvl w:val="0"/>
                <w:numId w:val="0"/>
              </w:numPr>
            </w:pPr>
          </w:p>
        </w:tc>
        <w:tc>
          <w:tcPr>
            <w:tcW w:w="2039" w:type="dxa"/>
          </w:tcPr>
          <w:p w14:paraId="0D826E06" w14:textId="77777777" w:rsidR="00F65C03" w:rsidRPr="00582EB8" w:rsidRDefault="00F65C03" w:rsidP="00B44051">
            <w:pPr>
              <w:pStyle w:val="Level1"/>
              <w:numPr>
                <w:ilvl w:val="0"/>
                <w:numId w:val="0"/>
              </w:numPr>
              <w:ind w:right="7"/>
              <w:jc w:val="center"/>
              <w:rPr>
                <w:b/>
                <w:bCs/>
              </w:rPr>
            </w:pPr>
            <w:r w:rsidRPr="00582EB8">
              <w:rPr>
                <w:b/>
                <w:bCs/>
              </w:rPr>
              <w:t>2022</w:t>
            </w:r>
          </w:p>
        </w:tc>
        <w:tc>
          <w:tcPr>
            <w:tcW w:w="2039" w:type="dxa"/>
          </w:tcPr>
          <w:p w14:paraId="5FC39D84" w14:textId="77777777" w:rsidR="00F65C03" w:rsidRPr="00582EB8" w:rsidRDefault="00F65C03" w:rsidP="00B44051">
            <w:pPr>
              <w:pStyle w:val="Level1"/>
              <w:numPr>
                <w:ilvl w:val="0"/>
                <w:numId w:val="0"/>
              </w:numPr>
              <w:ind w:right="7"/>
              <w:jc w:val="center"/>
              <w:rPr>
                <w:b/>
                <w:bCs/>
              </w:rPr>
            </w:pPr>
            <w:r w:rsidRPr="00582EB8">
              <w:rPr>
                <w:b/>
                <w:bCs/>
              </w:rPr>
              <w:t>2027</w:t>
            </w:r>
          </w:p>
        </w:tc>
        <w:tc>
          <w:tcPr>
            <w:tcW w:w="2039" w:type="dxa"/>
          </w:tcPr>
          <w:p w14:paraId="6E7EB9C6" w14:textId="77777777" w:rsidR="00F65C03" w:rsidRPr="00582EB8" w:rsidRDefault="00F65C03" w:rsidP="00B44051">
            <w:pPr>
              <w:pStyle w:val="Level1"/>
              <w:numPr>
                <w:ilvl w:val="0"/>
                <w:numId w:val="0"/>
              </w:numPr>
              <w:ind w:right="7"/>
              <w:jc w:val="center"/>
              <w:rPr>
                <w:b/>
                <w:bCs/>
              </w:rPr>
            </w:pPr>
            <w:r w:rsidRPr="00582EB8">
              <w:rPr>
                <w:b/>
                <w:bCs/>
              </w:rPr>
              <w:t>2032</w:t>
            </w:r>
          </w:p>
        </w:tc>
        <w:tc>
          <w:tcPr>
            <w:tcW w:w="2039" w:type="dxa"/>
          </w:tcPr>
          <w:p w14:paraId="0EA9E58E" w14:textId="77777777" w:rsidR="00F65C03" w:rsidRPr="00582EB8" w:rsidRDefault="00F65C03" w:rsidP="00B44051">
            <w:pPr>
              <w:pStyle w:val="Level1"/>
              <w:numPr>
                <w:ilvl w:val="0"/>
                <w:numId w:val="0"/>
              </w:numPr>
              <w:ind w:right="7"/>
              <w:jc w:val="center"/>
              <w:rPr>
                <w:b/>
                <w:bCs/>
              </w:rPr>
            </w:pPr>
            <w:r w:rsidRPr="00582EB8">
              <w:rPr>
                <w:b/>
                <w:bCs/>
              </w:rPr>
              <w:t>2040</w:t>
            </w:r>
          </w:p>
        </w:tc>
      </w:tr>
      <w:tr w:rsidR="00F65C03" w14:paraId="401F7DF8" w14:textId="77777777" w:rsidTr="0010169C">
        <w:tc>
          <w:tcPr>
            <w:tcW w:w="2038" w:type="dxa"/>
          </w:tcPr>
          <w:p w14:paraId="510A91DC" w14:textId="77777777" w:rsidR="00F65C03" w:rsidRDefault="00F65C03" w:rsidP="0010169C">
            <w:pPr>
              <w:pStyle w:val="Level1"/>
              <w:numPr>
                <w:ilvl w:val="0"/>
                <w:numId w:val="0"/>
              </w:numPr>
            </w:pPr>
            <w:r>
              <w:t>Torquay</w:t>
            </w:r>
          </w:p>
        </w:tc>
        <w:tc>
          <w:tcPr>
            <w:tcW w:w="2039" w:type="dxa"/>
          </w:tcPr>
          <w:p w14:paraId="1D8A8103" w14:textId="54C545ED" w:rsidR="00F65C03" w:rsidRDefault="002D524A" w:rsidP="00B44051">
            <w:pPr>
              <w:pStyle w:val="Level1"/>
              <w:numPr>
                <w:ilvl w:val="0"/>
                <w:numId w:val="0"/>
              </w:numPr>
              <w:ind w:right="7"/>
              <w:jc w:val="center"/>
            </w:pPr>
            <w:r>
              <w:t>0 – 1,409</w:t>
            </w:r>
          </w:p>
        </w:tc>
        <w:tc>
          <w:tcPr>
            <w:tcW w:w="2039" w:type="dxa"/>
          </w:tcPr>
          <w:p w14:paraId="65840CA1" w14:textId="55BD79AD" w:rsidR="00F65C03" w:rsidRDefault="002D524A" w:rsidP="00B44051">
            <w:pPr>
              <w:pStyle w:val="Level1"/>
              <w:numPr>
                <w:ilvl w:val="0"/>
                <w:numId w:val="0"/>
              </w:numPr>
              <w:ind w:right="7"/>
              <w:jc w:val="center"/>
            </w:pPr>
            <w:r>
              <w:t>0 – 1,098</w:t>
            </w:r>
          </w:p>
        </w:tc>
        <w:tc>
          <w:tcPr>
            <w:tcW w:w="2039" w:type="dxa"/>
          </w:tcPr>
          <w:p w14:paraId="15E573B4" w14:textId="3435C8F8" w:rsidR="00F65C03" w:rsidRDefault="002D524A" w:rsidP="00B44051">
            <w:pPr>
              <w:pStyle w:val="Level1"/>
              <w:numPr>
                <w:ilvl w:val="0"/>
                <w:numId w:val="0"/>
              </w:numPr>
              <w:ind w:right="7"/>
              <w:jc w:val="center"/>
            </w:pPr>
            <w:r>
              <w:t>0 – 2,142</w:t>
            </w:r>
          </w:p>
        </w:tc>
        <w:tc>
          <w:tcPr>
            <w:tcW w:w="2039" w:type="dxa"/>
          </w:tcPr>
          <w:p w14:paraId="1E94737E" w14:textId="2AEBCFA5" w:rsidR="00F65C03" w:rsidRDefault="002D524A" w:rsidP="00B44051">
            <w:pPr>
              <w:pStyle w:val="Level1"/>
              <w:numPr>
                <w:ilvl w:val="0"/>
                <w:numId w:val="0"/>
              </w:numPr>
              <w:ind w:right="7"/>
              <w:jc w:val="center"/>
            </w:pPr>
            <w:r>
              <w:t>0 – 3,331</w:t>
            </w:r>
          </w:p>
        </w:tc>
      </w:tr>
      <w:tr w:rsidR="00F65C03" w14:paraId="3193AFE0" w14:textId="77777777" w:rsidTr="0010169C">
        <w:tc>
          <w:tcPr>
            <w:tcW w:w="2038" w:type="dxa"/>
          </w:tcPr>
          <w:p w14:paraId="13305ABA" w14:textId="77777777" w:rsidR="00F65C03" w:rsidRDefault="00F65C03" w:rsidP="0010169C">
            <w:pPr>
              <w:pStyle w:val="Level1"/>
              <w:numPr>
                <w:ilvl w:val="0"/>
                <w:numId w:val="0"/>
              </w:numPr>
            </w:pPr>
            <w:r>
              <w:t>Paignton</w:t>
            </w:r>
          </w:p>
        </w:tc>
        <w:tc>
          <w:tcPr>
            <w:tcW w:w="2039" w:type="dxa"/>
          </w:tcPr>
          <w:p w14:paraId="41155DEC" w14:textId="38144051" w:rsidR="00F65C03" w:rsidRDefault="002D524A" w:rsidP="00B44051">
            <w:pPr>
              <w:pStyle w:val="Level1"/>
              <w:numPr>
                <w:ilvl w:val="0"/>
                <w:numId w:val="0"/>
              </w:numPr>
              <w:ind w:right="7"/>
              <w:jc w:val="center"/>
            </w:pPr>
            <w:r>
              <w:t>550 - 4,169</w:t>
            </w:r>
          </w:p>
        </w:tc>
        <w:tc>
          <w:tcPr>
            <w:tcW w:w="2039" w:type="dxa"/>
          </w:tcPr>
          <w:p w14:paraId="6BC10418" w14:textId="6B560536" w:rsidR="00F65C03" w:rsidRDefault="002D524A" w:rsidP="00B44051">
            <w:pPr>
              <w:pStyle w:val="Level1"/>
              <w:numPr>
                <w:ilvl w:val="0"/>
                <w:numId w:val="0"/>
              </w:numPr>
              <w:ind w:right="7"/>
              <w:jc w:val="center"/>
            </w:pPr>
            <w:r>
              <w:t>413 - 4,033</w:t>
            </w:r>
          </w:p>
        </w:tc>
        <w:tc>
          <w:tcPr>
            <w:tcW w:w="2039" w:type="dxa"/>
          </w:tcPr>
          <w:p w14:paraId="66C6F2FE" w14:textId="45882AA9" w:rsidR="00F65C03" w:rsidRDefault="002D524A" w:rsidP="00B44051">
            <w:pPr>
              <w:pStyle w:val="Level1"/>
              <w:numPr>
                <w:ilvl w:val="0"/>
                <w:numId w:val="0"/>
              </w:numPr>
              <w:ind w:right="7"/>
              <w:jc w:val="center"/>
            </w:pPr>
            <w:r>
              <w:t>568 - 4,187</w:t>
            </w:r>
          </w:p>
        </w:tc>
        <w:tc>
          <w:tcPr>
            <w:tcW w:w="2039" w:type="dxa"/>
          </w:tcPr>
          <w:p w14:paraId="7964F83A" w14:textId="1D3279A3" w:rsidR="00F65C03" w:rsidRDefault="002D524A" w:rsidP="00B44051">
            <w:pPr>
              <w:pStyle w:val="Level1"/>
              <w:numPr>
                <w:ilvl w:val="0"/>
                <w:numId w:val="0"/>
              </w:numPr>
              <w:ind w:right="7"/>
              <w:jc w:val="center"/>
            </w:pPr>
            <w:r>
              <w:t>707 - 4,326</w:t>
            </w:r>
          </w:p>
        </w:tc>
      </w:tr>
      <w:tr w:rsidR="00F65C03" w14:paraId="73AE1BB8" w14:textId="77777777" w:rsidTr="0010169C">
        <w:tc>
          <w:tcPr>
            <w:tcW w:w="2038" w:type="dxa"/>
          </w:tcPr>
          <w:p w14:paraId="09CEDFF2" w14:textId="77777777" w:rsidR="00F65C03" w:rsidRDefault="00F65C03" w:rsidP="0010169C">
            <w:pPr>
              <w:pStyle w:val="Level1"/>
              <w:numPr>
                <w:ilvl w:val="0"/>
                <w:numId w:val="0"/>
              </w:numPr>
            </w:pPr>
            <w:r>
              <w:t>Brixham</w:t>
            </w:r>
          </w:p>
        </w:tc>
        <w:tc>
          <w:tcPr>
            <w:tcW w:w="2039" w:type="dxa"/>
          </w:tcPr>
          <w:p w14:paraId="607209E6" w14:textId="14A147E4" w:rsidR="00F65C03" w:rsidRDefault="002D524A" w:rsidP="00B44051">
            <w:pPr>
              <w:pStyle w:val="Level1"/>
              <w:numPr>
                <w:ilvl w:val="0"/>
                <w:numId w:val="0"/>
              </w:numPr>
              <w:ind w:right="7"/>
              <w:jc w:val="center"/>
            </w:pPr>
            <w:r>
              <w:t>0 - 910</w:t>
            </w:r>
          </w:p>
        </w:tc>
        <w:tc>
          <w:tcPr>
            <w:tcW w:w="2039" w:type="dxa"/>
          </w:tcPr>
          <w:p w14:paraId="11F2A53C" w14:textId="69F1406B" w:rsidR="00F65C03" w:rsidRDefault="002D7096" w:rsidP="00B44051">
            <w:pPr>
              <w:pStyle w:val="Level1"/>
              <w:numPr>
                <w:ilvl w:val="0"/>
                <w:numId w:val="0"/>
              </w:numPr>
              <w:ind w:right="7"/>
              <w:jc w:val="center"/>
            </w:pPr>
            <w:r>
              <w:t xml:space="preserve">0 - </w:t>
            </w:r>
            <w:r w:rsidR="002D524A">
              <w:t>874</w:t>
            </w:r>
          </w:p>
        </w:tc>
        <w:tc>
          <w:tcPr>
            <w:tcW w:w="2039" w:type="dxa"/>
          </w:tcPr>
          <w:p w14:paraId="24B998C2" w14:textId="33DB75BD" w:rsidR="00F65C03" w:rsidRDefault="002D7096" w:rsidP="00B44051">
            <w:pPr>
              <w:pStyle w:val="Level1"/>
              <w:numPr>
                <w:ilvl w:val="0"/>
                <w:numId w:val="0"/>
              </w:numPr>
              <w:ind w:right="7"/>
              <w:jc w:val="center"/>
            </w:pPr>
            <w:r>
              <w:t xml:space="preserve">0 - </w:t>
            </w:r>
            <w:r w:rsidR="002D524A">
              <w:t>887</w:t>
            </w:r>
          </w:p>
        </w:tc>
        <w:tc>
          <w:tcPr>
            <w:tcW w:w="2039" w:type="dxa"/>
          </w:tcPr>
          <w:p w14:paraId="7F261986" w14:textId="503EDCCD" w:rsidR="00F65C03" w:rsidRDefault="002D7096" w:rsidP="00B44051">
            <w:pPr>
              <w:pStyle w:val="Level1"/>
              <w:numPr>
                <w:ilvl w:val="0"/>
                <w:numId w:val="0"/>
              </w:numPr>
              <w:ind w:right="7"/>
              <w:jc w:val="center"/>
            </w:pPr>
            <w:r>
              <w:t xml:space="preserve">0 - </w:t>
            </w:r>
            <w:r w:rsidR="002D524A">
              <w:t>890</w:t>
            </w:r>
          </w:p>
        </w:tc>
      </w:tr>
    </w:tbl>
    <w:p w14:paraId="796A4D5D" w14:textId="77777777" w:rsidR="00F65C03" w:rsidRDefault="00F65C03" w:rsidP="00F65C03">
      <w:pPr>
        <w:pStyle w:val="Level1"/>
        <w:numPr>
          <w:ilvl w:val="0"/>
          <w:numId w:val="0"/>
        </w:numPr>
        <w:ind w:left="720"/>
        <w:rPr>
          <w:sz w:val="16"/>
          <w:szCs w:val="16"/>
        </w:rPr>
      </w:pPr>
      <w:r>
        <w:rPr>
          <w:sz w:val="16"/>
          <w:szCs w:val="16"/>
        </w:rPr>
        <w:t>Notes: all floorspace figures are cumulative and are given in net sales area.</w:t>
      </w:r>
    </w:p>
    <w:p w14:paraId="19B117D7" w14:textId="77777777" w:rsidR="00F65C03" w:rsidRPr="00D43072" w:rsidRDefault="00F65C03" w:rsidP="00B44051">
      <w:pPr>
        <w:pStyle w:val="Level1"/>
        <w:numPr>
          <w:ilvl w:val="0"/>
          <w:numId w:val="0"/>
        </w:numPr>
      </w:pPr>
    </w:p>
    <w:p w14:paraId="25FF7E82" w14:textId="63B4C9CD" w:rsidR="00293BD4" w:rsidRPr="00293BD4" w:rsidRDefault="00293BD4" w:rsidP="00293BD4">
      <w:pPr>
        <w:pStyle w:val="Level1"/>
        <w:numPr>
          <w:ilvl w:val="0"/>
          <w:numId w:val="0"/>
        </w:numPr>
        <w:tabs>
          <w:tab w:val="left" w:pos="1418"/>
        </w:tabs>
        <w:ind w:left="720"/>
        <w:rPr>
          <w:rStyle w:val="Emphasis"/>
        </w:rPr>
      </w:pPr>
      <w:r>
        <w:rPr>
          <w:rStyle w:val="Emphasis"/>
        </w:rPr>
        <w:t>Qualitati</w:t>
      </w:r>
      <w:r w:rsidR="00640D2E">
        <w:rPr>
          <w:rStyle w:val="Emphasis"/>
        </w:rPr>
        <w:t>ve Need Assessment – Retail Floorspace</w:t>
      </w:r>
    </w:p>
    <w:p w14:paraId="7F47B1F2" w14:textId="1B25AA74" w:rsidR="00E44F53" w:rsidRDefault="00272B61" w:rsidP="00E12887">
      <w:pPr>
        <w:pStyle w:val="Level1"/>
      </w:pPr>
      <w:r>
        <w:t xml:space="preserve">As noted above, </w:t>
      </w:r>
      <w:r w:rsidR="00E44F53">
        <w:t xml:space="preserve">for a long period of time, national planning policy and guidance advocated the consideration of qualitative factors as part of the overall consideration of ‘need’.  That policy / guidance has now been removed, but it has </w:t>
      </w:r>
      <w:r w:rsidR="00E44F53" w:rsidRPr="00E0370C">
        <w:t xml:space="preserve">not been </w:t>
      </w:r>
      <w:r w:rsidR="00A338CE" w:rsidRPr="00B44051">
        <w:t>re</w:t>
      </w:r>
      <w:r w:rsidR="00E44F53" w:rsidRPr="00E0370C">
        <w:t>placed</w:t>
      </w:r>
      <w:r w:rsidR="00E44F53">
        <w:t xml:space="preserve"> with an alternative and we consider that consideration of qualitative issues </w:t>
      </w:r>
      <w:proofErr w:type="gramStart"/>
      <w:r w:rsidR="00E44F53">
        <w:t>remain</w:t>
      </w:r>
      <w:proofErr w:type="gramEnd"/>
      <w:r w:rsidR="00E44F53">
        <w:t xml:space="preserve"> a useful part of the assessment of ‘need’.</w:t>
      </w:r>
    </w:p>
    <w:p w14:paraId="5B6099D3" w14:textId="5CE0C626" w:rsidR="00E44F53" w:rsidRDefault="00E44F53" w:rsidP="00E12887">
      <w:pPr>
        <w:pStyle w:val="Level1"/>
      </w:pPr>
      <w:r>
        <w:t xml:space="preserve">Qualitative factors can vary in scope, depending upon the context, although they can include: </w:t>
      </w:r>
    </w:p>
    <w:p w14:paraId="361E78D2" w14:textId="340B5BF4" w:rsidR="00E0370C" w:rsidRDefault="00E0370C" w:rsidP="00E0370C">
      <w:pPr>
        <w:pStyle w:val="Level1"/>
        <w:numPr>
          <w:ilvl w:val="0"/>
          <w:numId w:val="18"/>
        </w:numPr>
      </w:pPr>
      <w:r>
        <w:t xml:space="preserve">The scale of leakage of expenditure / shopping trips from a particular </w:t>
      </w:r>
      <w:proofErr w:type="gramStart"/>
      <w:r>
        <w:t>area;</w:t>
      </w:r>
      <w:proofErr w:type="gramEnd"/>
    </w:p>
    <w:p w14:paraId="32D36939" w14:textId="2084F885" w:rsidR="00E0370C" w:rsidRDefault="00E0370C" w:rsidP="00E0370C">
      <w:pPr>
        <w:pStyle w:val="Level1"/>
        <w:numPr>
          <w:ilvl w:val="0"/>
          <w:numId w:val="18"/>
        </w:numPr>
      </w:pPr>
      <w:r>
        <w:t>the quality of the existing stock of retail floorspace; and</w:t>
      </w:r>
    </w:p>
    <w:p w14:paraId="3C56C6AC" w14:textId="48C1E466" w:rsidR="00E0370C" w:rsidRDefault="00E0370C" w:rsidP="00B44051">
      <w:pPr>
        <w:pStyle w:val="Level1"/>
        <w:numPr>
          <w:ilvl w:val="0"/>
          <w:numId w:val="18"/>
        </w:numPr>
      </w:pPr>
      <w:r>
        <w:t>the distribution of existing floorspace provision (including any gaps in provision).</w:t>
      </w:r>
    </w:p>
    <w:p w14:paraId="1467ACC3" w14:textId="77777777" w:rsidR="00E44F53" w:rsidRDefault="00E44F53" w:rsidP="00E12887">
      <w:pPr>
        <w:pStyle w:val="Level1"/>
      </w:pPr>
      <w:r>
        <w:t>Within previous retail studies in Torbay, the following qualitative issues have been raised:</w:t>
      </w:r>
    </w:p>
    <w:p w14:paraId="31461679" w14:textId="3031A215" w:rsidR="00E44F53" w:rsidRDefault="00C9298B" w:rsidP="00473CBA">
      <w:pPr>
        <w:pStyle w:val="ListBullet"/>
      </w:pPr>
      <w:r w:rsidRPr="0015147C">
        <w:rPr>
          <w:u w:val="single"/>
        </w:rPr>
        <w:t>Torquay</w:t>
      </w:r>
      <w:r>
        <w:t>.</w:t>
      </w:r>
      <w:r w:rsidR="009419E4" w:rsidRPr="009419E4">
        <w:t xml:space="preserve"> </w:t>
      </w:r>
      <w:r w:rsidR="009419E4">
        <w:t xml:space="preserve"> The 2013 retail study noted that </w:t>
      </w:r>
      <w:r w:rsidR="009419E4" w:rsidRPr="009419E4">
        <w:rPr>
          <w:i/>
          <w:iCs/>
        </w:rPr>
        <w:t xml:space="preserve">“we remain of the view that there is an opportunity for qualitative improvements to occur in Torquay. However, this is very much focused upon the town centre’s retail offer </w:t>
      </w:r>
      <w:proofErr w:type="gramStart"/>
      <w:r w:rsidR="009419E4" w:rsidRPr="009419E4">
        <w:rPr>
          <w:i/>
          <w:iCs/>
        </w:rPr>
        <w:t>in light of</w:t>
      </w:r>
      <w:proofErr w:type="gramEnd"/>
      <w:r w:rsidR="009419E4" w:rsidRPr="009419E4">
        <w:rPr>
          <w:i/>
          <w:iCs/>
        </w:rPr>
        <w:t xml:space="preserve"> the quality of the existing stock of floorspace and the significant competition which is posed by out of centre retail warehouse provision and the Willows district centre. in terms of the types of comparison goods which offer the qualitative need for improvement, these are </w:t>
      </w:r>
      <w:r w:rsidR="009419E4" w:rsidRPr="009419E4">
        <w:rPr>
          <w:i/>
          <w:iCs/>
        </w:rPr>
        <w:lastRenderedPageBreak/>
        <w:t>the non-bulky categories of clothes/shoes, personal/</w:t>
      </w:r>
      <w:proofErr w:type="gramStart"/>
      <w:r w:rsidR="009419E4" w:rsidRPr="009419E4">
        <w:rPr>
          <w:i/>
          <w:iCs/>
        </w:rPr>
        <w:t>luxury</w:t>
      </w:r>
      <w:proofErr w:type="gramEnd"/>
      <w:r w:rsidR="009419E4" w:rsidRPr="009419E4">
        <w:rPr>
          <w:i/>
          <w:iCs/>
        </w:rPr>
        <w:t xml:space="preserve"> and recreational goods, whilst there is a clear opportunity to retain more shopping trips associated with </w:t>
      </w:r>
      <w:r w:rsidR="0015147C" w:rsidRPr="009419E4">
        <w:rPr>
          <w:i/>
          <w:iCs/>
        </w:rPr>
        <w:t>furniture</w:t>
      </w:r>
      <w:r w:rsidR="009419E4" w:rsidRPr="009419E4">
        <w:rPr>
          <w:i/>
          <w:iCs/>
        </w:rPr>
        <w:t>, floorcoverings and textile goods</w:t>
      </w:r>
      <w:r w:rsidR="009419E4">
        <w:t xml:space="preserve">.  For convenience goods floorspace provision, the 2013 retail study noted that </w:t>
      </w:r>
      <w:r w:rsidR="005E1EA6">
        <w:t xml:space="preserve">the new ASDA store on Newton Road is likely to have reduced the over-trading position at The Willows district centre, adding </w:t>
      </w:r>
      <w:proofErr w:type="gramStart"/>
      <w:r w:rsidR="005E1EA6">
        <w:t>to choice</w:t>
      </w:r>
      <w:proofErr w:type="gramEnd"/>
      <w:r w:rsidR="005E1EA6">
        <w:t xml:space="preserve"> and competition, although the study also observed that there remained an imbalance in convenience goods floorspace with a qualitative deficiency in the town centre.</w:t>
      </w:r>
      <w:r w:rsidR="0015147C">
        <w:t xml:space="preserve">  The 2013 retail study also updated the gap areas analysis originally contained in the 2011 retail study and observed that: (A) the new ASDA store on Newton Road has significantly reduced the previously observed gaps in accessibility to grocery stores; and (B) the remaining gap would also improve accessibility and further reduce gaps </w:t>
      </w:r>
      <w:r w:rsidR="00A16AC0">
        <w:t>in provision.</w:t>
      </w:r>
    </w:p>
    <w:p w14:paraId="1F085556" w14:textId="77777777" w:rsidR="0015147C" w:rsidRDefault="0015147C" w:rsidP="0015147C">
      <w:pPr>
        <w:pStyle w:val="ListBullet"/>
        <w:numPr>
          <w:ilvl w:val="0"/>
          <w:numId w:val="0"/>
        </w:numPr>
        <w:ind w:left="1077"/>
      </w:pPr>
    </w:p>
    <w:p w14:paraId="0E9556E0" w14:textId="56493B94" w:rsidR="00E44F53" w:rsidRDefault="00C9298B" w:rsidP="00AB30BA">
      <w:pPr>
        <w:pStyle w:val="ListBullet"/>
      </w:pPr>
      <w:r w:rsidRPr="00A045AF">
        <w:rPr>
          <w:u w:val="single"/>
        </w:rPr>
        <w:t>Paignton</w:t>
      </w:r>
      <w:r>
        <w:t>.</w:t>
      </w:r>
      <w:r w:rsidR="005E1EA6">
        <w:t xml:space="preserve">  </w:t>
      </w:r>
      <w:r w:rsidR="00A16AC0">
        <w:t xml:space="preserve">For convenience goods retail provision, the 2013 noted: </w:t>
      </w:r>
      <w:r w:rsidR="00A16AC0" w:rsidRPr="0009283E">
        <w:rPr>
          <w:i/>
          <w:iCs/>
        </w:rPr>
        <w:t xml:space="preserve">“Like Torquay, the main qualitative issue in Paignton is the balance between out of centre and town centre convenience retail provision. The out of centre stores dominate main food shopping trips whilst the town centre stores focus more on top-up food shopping trips. Therefore, when planning for additional provision, consideration should be given to whether there are opportunities in the town centre to redress this balance by providing a store which can attract main/bulk food shopping trips from </w:t>
      </w:r>
      <w:proofErr w:type="gramStart"/>
      <w:r w:rsidR="00A16AC0" w:rsidRPr="0009283E">
        <w:rPr>
          <w:i/>
          <w:iCs/>
        </w:rPr>
        <w:t>local residents</w:t>
      </w:r>
      <w:proofErr w:type="gramEnd"/>
      <w:r w:rsidR="00A16AC0" w:rsidRPr="0009283E">
        <w:rPr>
          <w:i/>
          <w:iCs/>
        </w:rPr>
        <w:t xml:space="preserve"> and compete with the Sainsburys, ASDA and Morrisons stores”.  </w:t>
      </w:r>
      <w:r w:rsidR="00A16AC0">
        <w:t xml:space="preserve">For comparison goods, the 2013 study concluded that: </w:t>
      </w:r>
      <w:r w:rsidR="00A16AC0" w:rsidRPr="0009283E">
        <w:rPr>
          <w:i/>
          <w:iCs/>
        </w:rPr>
        <w:t>“Some realism is required in terms of the provision of comparison goods floorspace within</w:t>
      </w:r>
      <w:r w:rsidR="0009283E" w:rsidRPr="0009283E">
        <w:rPr>
          <w:i/>
          <w:iCs/>
        </w:rPr>
        <w:t xml:space="preserve"> </w:t>
      </w:r>
      <w:r w:rsidR="00A16AC0" w:rsidRPr="0009283E">
        <w:rPr>
          <w:i/>
          <w:iCs/>
        </w:rPr>
        <w:t xml:space="preserve">Paignton. It </w:t>
      </w:r>
      <w:proofErr w:type="gramStart"/>
      <w:r w:rsidR="00A16AC0" w:rsidRPr="0009283E">
        <w:rPr>
          <w:i/>
          <w:iCs/>
        </w:rPr>
        <w:t>is located in</w:t>
      </w:r>
      <w:proofErr w:type="gramEnd"/>
      <w:r w:rsidR="00A16AC0" w:rsidRPr="0009283E">
        <w:rPr>
          <w:i/>
          <w:iCs/>
        </w:rPr>
        <w:t xml:space="preserve"> close proximity to Torquay and whilst some retailers may have a</w:t>
      </w:r>
      <w:r w:rsidR="0009283E" w:rsidRPr="0009283E">
        <w:rPr>
          <w:i/>
          <w:iCs/>
        </w:rPr>
        <w:t xml:space="preserve"> </w:t>
      </w:r>
      <w:r w:rsidR="00A16AC0" w:rsidRPr="0009283E">
        <w:rPr>
          <w:i/>
          <w:iCs/>
        </w:rPr>
        <w:t>requirement for stores in both towns, this is unlikely to be a common occurrence and our</w:t>
      </w:r>
      <w:r w:rsidR="0009283E" w:rsidRPr="0009283E">
        <w:rPr>
          <w:i/>
          <w:iCs/>
        </w:rPr>
        <w:t xml:space="preserve"> </w:t>
      </w:r>
      <w:r w:rsidR="00A16AC0" w:rsidRPr="0009283E">
        <w:rPr>
          <w:i/>
          <w:iCs/>
        </w:rPr>
        <w:t>commercial analysis has found that the majority of demand for new comparison goods</w:t>
      </w:r>
      <w:r w:rsidR="0009283E" w:rsidRPr="0009283E">
        <w:rPr>
          <w:i/>
          <w:iCs/>
        </w:rPr>
        <w:t xml:space="preserve"> </w:t>
      </w:r>
      <w:r w:rsidR="00A16AC0" w:rsidRPr="0009283E">
        <w:rPr>
          <w:i/>
          <w:iCs/>
        </w:rPr>
        <w:t>space will be directed towards Torquay in the future. As such, the qualitative need for</w:t>
      </w:r>
      <w:r w:rsidR="0009283E" w:rsidRPr="0009283E">
        <w:rPr>
          <w:i/>
          <w:iCs/>
        </w:rPr>
        <w:t xml:space="preserve"> </w:t>
      </w:r>
      <w:r w:rsidR="00A16AC0" w:rsidRPr="0009283E">
        <w:rPr>
          <w:i/>
          <w:iCs/>
        </w:rPr>
        <w:t>improvement in Paignton is likely to focus upon the improvement in the quality of the</w:t>
      </w:r>
      <w:r w:rsidR="0009283E" w:rsidRPr="0009283E">
        <w:rPr>
          <w:i/>
          <w:iCs/>
        </w:rPr>
        <w:t xml:space="preserve"> </w:t>
      </w:r>
      <w:r w:rsidR="00A16AC0" w:rsidRPr="0009283E">
        <w:rPr>
          <w:i/>
          <w:iCs/>
        </w:rPr>
        <w:t>existing floorspace stock and promoting smaller scale development opportunities than</w:t>
      </w:r>
      <w:r w:rsidR="0009283E" w:rsidRPr="0009283E">
        <w:rPr>
          <w:i/>
          <w:iCs/>
        </w:rPr>
        <w:t xml:space="preserve"> </w:t>
      </w:r>
      <w:r w:rsidR="00A16AC0" w:rsidRPr="0009283E">
        <w:rPr>
          <w:i/>
          <w:iCs/>
        </w:rPr>
        <w:t>Torquay to attract new comparison goods retailers. Given the extent of commercial</w:t>
      </w:r>
      <w:r w:rsidR="0009283E" w:rsidRPr="0009283E">
        <w:rPr>
          <w:i/>
          <w:iCs/>
        </w:rPr>
        <w:t xml:space="preserve"> </w:t>
      </w:r>
      <w:r w:rsidR="00A16AC0" w:rsidRPr="0009283E">
        <w:rPr>
          <w:i/>
          <w:iCs/>
        </w:rPr>
        <w:t>demand towards Paignton, it is unlikely that comparison goods retailers alone will be able</w:t>
      </w:r>
      <w:r w:rsidR="0009283E" w:rsidRPr="0009283E">
        <w:rPr>
          <w:i/>
          <w:iCs/>
        </w:rPr>
        <w:t xml:space="preserve"> </w:t>
      </w:r>
      <w:r w:rsidR="00A16AC0" w:rsidRPr="0009283E">
        <w:rPr>
          <w:i/>
          <w:iCs/>
        </w:rPr>
        <w:t>anchor a new town centre development scheme</w:t>
      </w:r>
      <w:r w:rsidR="0009283E" w:rsidRPr="0009283E">
        <w:rPr>
          <w:i/>
          <w:iCs/>
        </w:rPr>
        <w:t>”</w:t>
      </w:r>
      <w:r w:rsidR="00A16AC0" w:rsidRPr="0009283E">
        <w:rPr>
          <w:i/>
          <w:iCs/>
        </w:rPr>
        <w:t>.</w:t>
      </w:r>
      <w:r w:rsidR="0009283E">
        <w:t xml:space="preserve">  The </w:t>
      </w:r>
      <w:r w:rsidR="007E1C19">
        <w:t xml:space="preserve">updated (2013) </w:t>
      </w:r>
      <w:r w:rsidR="0009283E">
        <w:t xml:space="preserve">gap areas </w:t>
      </w:r>
      <w:r w:rsidR="007E1C19">
        <w:t xml:space="preserve">analysis for convenience goods provision </w:t>
      </w:r>
      <w:r w:rsidR="007B69B7">
        <w:t xml:space="preserve">found that there were small pockets of under-provision, including to the south of the town centre and potentially, should additional residential development </w:t>
      </w:r>
      <w:proofErr w:type="gramStart"/>
      <w:r w:rsidR="007B69B7">
        <w:t>occur,</w:t>
      </w:r>
      <w:proofErr w:type="gramEnd"/>
      <w:r w:rsidR="007B69B7">
        <w:t xml:space="preserve"> to the west of Brixham Road.  However, these gaps were not considered to be substantial and had been improved via the opening of new stores such as ASDA.</w:t>
      </w:r>
    </w:p>
    <w:p w14:paraId="2F9084AE" w14:textId="77777777" w:rsidR="0015147C" w:rsidRDefault="0015147C" w:rsidP="0015147C">
      <w:pPr>
        <w:pStyle w:val="ListBullet"/>
        <w:numPr>
          <w:ilvl w:val="0"/>
          <w:numId w:val="0"/>
        </w:numPr>
      </w:pPr>
    </w:p>
    <w:p w14:paraId="5AC92720" w14:textId="0E1C2F0A" w:rsidR="00E44F53" w:rsidRDefault="00C9298B" w:rsidP="0040237E">
      <w:pPr>
        <w:pStyle w:val="ListBullet"/>
      </w:pPr>
      <w:r w:rsidRPr="00EF774F">
        <w:rPr>
          <w:u w:val="single"/>
        </w:rPr>
        <w:t>Brixham</w:t>
      </w:r>
      <w:r>
        <w:t>.</w:t>
      </w:r>
      <w:r w:rsidR="00950F73">
        <w:t xml:space="preserve">  In relation to convenience goods retailing in Brixham, the 2013 retail study </w:t>
      </w:r>
      <w:r w:rsidR="00EF774F">
        <w:t xml:space="preserve">(including the gap area analysis) </w:t>
      </w:r>
      <w:r w:rsidR="00F803DB">
        <w:t xml:space="preserve">reiterated the long-standing view that there was a qualitative deficiency in Brixham which, at that time, would have been filled by the committed Tesco store in the town centre.  For comparison goods, the 2013 study noted: </w:t>
      </w:r>
      <w:r w:rsidR="00F803DB" w:rsidRPr="00B5378D">
        <w:rPr>
          <w:i/>
          <w:iCs/>
        </w:rPr>
        <w:t>“</w:t>
      </w:r>
      <w:r w:rsidR="00EF774F" w:rsidRPr="00B5378D">
        <w:rPr>
          <w:i/>
          <w:iCs/>
        </w:rPr>
        <w:t xml:space="preserve">The picture for comparison goods retail provision in Brixham is </w:t>
      </w:r>
      <w:proofErr w:type="gramStart"/>
      <w:r w:rsidR="00EF774F" w:rsidRPr="00B5378D">
        <w:rPr>
          <w:i/>
          <w:iCs/>
        </w:rPr>
        <w:t>similar to</w:t>
      </w:r>
      <w:proofErr w:type="gramEnd"/>
      <w:r w:rsidR="00EF774F" w:rsidRPr="00B5378D">
        <w:rPr>
          <w:i/>
          <w:iCs/>
        </w:rPr>
        <w:t xml:space="preserve"> the historic convenience goods situation, namely a significant outflow of shopping trips primarily to Torquay although trips to Paignton and outside of Torbay also occur. </w:t>
      </w:r>
      <w:proofErr w:type="gramStart"/>
      <w:r w:rsidR="00EF774F" w:rsidRPr="00B5378D">
        <w:rPr>
          <w:i/>
          <w:iCs/>
        </w:rPr>
        <w:t>As a consequence</w:t>
      </w:r>
      <w:proofErr w:type="gramEnd"/>
      <w:r w:rsidR="00EF774F" w:rsidRPr="00B5378D">
        <w:rPr>
          <w:i/>
          <w:iCs/>
        </w:rPr>
        <w:t>, there is an opportunity to improve qualitative aspects of provision within Brixham, although commercial issues surrounding retailer demand indicate that qualitative improvements are likely to be modest”.</w:t>
      </w:r>
    </w:p>
    <w:p w14:paraId="1B84216A" w14:textId="354608B7" w:rsidR="00272B61" w:rsidRDefault="00E44F53" w:rsidP="00E44F53">
      <w:pPr>
        <w:pStyle w:val="ListBullet"/>
        <w:numPr>
          <w:ilvl w:val="0"/>
          <w:numId w:val="0"/>
        </w:numPr>
        <w:ind w:left="1077"/>
      </w:pPr>
      <w:r>
        <w:t xml:space="preserve"> </w:t>
      </w:r>
    </w:p>
    <w:p w14:paraId="2726712F" w14:textId="5DBBA5E8" w:rsidR="005E1EA6" w:rsidRDefault="001C6E5E" w:rsidP="00E12887">
      <w:pPr>
        <w:pStyle w:val="Level1"/>
      </w:pPr>
      <w:r>
        <w:t xml:space="preserve">Against that background context, we set out below our updated analysis of qualitative issues which </w:t>
      </w:r>
      <w:proofErr w:type="gramStart"/>
      <w:r>
        <w:t>takes into account</w:t>
      </w:r>
      <w:proofErr w:type="gramEnd"/>
      <w:r>
        <w:t xml:space="preserve"> changes in circumstance since the completion of the 2013 retail study.</w:t>
      </w:r>
    </w:p>
    <w:p w14:paraId="016359A7" w14:textId="2EA265C1" w:rsidR="00396271" w:rsidRDefault="00396271" w:rsidP="00E12887">
      <w:pPr>
        <w:pStyle w:val="Level1"/>
      </w:pPr>
      <w:r>
        <w:t xml:space="preserve">Based upon the current context and retail environment, we consider that the following issues </w:t>
      </w:r>
      <w:r w:rsidR="00A72C9C">
        <w:t>are salient:</w:t>
      </w:r>
    </w:p>
    <w:p w14:paraId="2E0413DE" w14:textId="77777777" w:rsidR="003859A9" w:rsidRDefault="00A045AF" w:rsidP="00A045AF">
      <w:pPr>
        <w:pStyle w:val="ListBullet"/>
      </w:pPr>
      <w:r w:rsidRPr="00A045AF">
        <w:rPr>
          <w:u w:val="single"/>
        </w:rPr>
        <w:t>Comparison goods floorspace</w:t>
      </w:r>
      <w:r>
        <w:t xml:space="preserve">.  Whilst each of the three settlements in Torbay has its own characteristics in terms of retail provision and attractiveness to the retail sector, we consider that </w:t>
      </w:r>
      <w:r w:rsidR="00D90ABB">
        <w:t xml:space="preserve">an overall analysis for qualitative issues associated with comparison goods retailing is warranted.  </w:t>
      </w:r>
    </w:p>
    <w:p w14:paraId="68A55405" w14:textId="77777777" w:rsidR="00DF42CB" w:rsidRDefault="00D90ABB" w:rsidP="003859A9">
      <w:pPr>
        <w:pStyle w:val="ListBullet"/>
        <w:numPr>
          <w:ilvl w:val="1"/>
          <w:numId w:val="5"/>
        </w:numPr>
      </w:pPr>
      <w:r>
        <w:lastRenderedPageBreak/>
        <w:t xml:space="preserve">Historically, </w:t>
      </w:r>
      <w:r w:rsidR="00B9523C">
        <w:t xml:space="preserve">it has been possible to rank </w:t>
      </w:r>
      <w:r>
        <w:t xml:space="preserve">the three </w:t>
      </w:r>
      <w:r w:rsidR="00B9523C">
        <w:t xml:space="preserve">settlements in Torbay in terms of their respective contributions to the quality and type of </w:t>
      </w:r>
      <w:r w:rsidR="004E6E68">
        <w:t xml:space="preserve">comparison goods retail floorspace provision, with Torquay at the top, followed by Paignton and then Brixham.   This was based upon the potential scale, </w:t>
      </w:r>
      <w:proofErr w:type="gramStart"/>
      <w:r w:rsidR="004E6E68">
        <w:t>breadth</w:t>
      </w:r>
      <w:proofErr w:type="gramEnd"/>
      <w:r w:rsidR="004E6E68">
        <w:t xml:space="preserve"> and type of floorspace which could be provided</w:t>
      </w:r>
      <w:r w:rsidR="003859A9">
        <w:t>, taking into account the need to be realistic over market conditions and the local population catchment profile for each town centre.</w:t>
      </w:r>
    </w:p>
    <w:p w14:paraId="292356C6" w14:textId="29953B2E" w:rsidR="00A045AF" w:rsidRDefault="003859A9" w:rsidP="003859A9">
      <w:pPr>
        <w:pStyle w:val="ListBullet"/>
        <w:numPr>
          <w:ilvl w:val="1"/>
          <w:numId w:val="5"/>
        </w:numPr>
      </w:pPr>
      <w:r>
        <w:t xml:space="preserve">Alongside this local catchment area profile is the visitor / tourism function of each of the three main town centres which is able to add a further element to the quality and type of provision which can be supported in each </w:t>
      </w:r>
      <w:proofErr w:type="gramStart"/>
      <w:r>
        <w:t>location</w:t>
      </w:r>
      <w:proofErr w:type="gramEnd"/>
      <w:r>
        <w:t xml:space="preserve"> and which may not be available to other non-tourist/visitor orientated centres.</w:t>
      </w:r>
    </w:p>
    <w:p w14:paraId="3222998C" w14:textId="77777777" w:rsidR="00865809" w:rsidRDefault="00531AB6" w:rsidP="003859A9">
      <w:pPr>
        <w:pStyle w:val="ListBullet"/>
        <w:numPr>
          <w:ilvl w:val="1"/>
          <w:numId w:val="5"/>
        </w:numPr>
      </w:pPr>
      <w:r>
        <w:t xml:space="preserve">With regards to the comparison goods retail sector generally, earlier parts of this study document have outlined the key recent / current trends, including: (A) the lower level of forecast growth in per capita expenditure on comparison goods than forecast in the 2013 retail study; and (B) the continuing rise in market share of internet shopping, as this shopping channel diverts expenditure from traditional ‘bricks and mortar’ stores.  Whilst these factors have had an influence on the quantitative floorspace capacity forecasts in this latest study, they will also have an influence over expectations regarding the quality, </w:t>
      </w:r>
      <w:proofErr w:type="gramStart"/>
      <w:r>
        <w:t>type</w:t>
      </w:r>
      <w:proofErr w:type="gramEnd"/>
      <w:r>
        <w:t xml:space="preserve"> and choice in comparison goods floorspace provision in Torbay.  For example, it is likely that issues already identified in previous retail studies in Torbay will be reinforced and intensified</w:t>
      </w:r>
      <w:r w:rsidR="00FE75DE">
        <w:t>, with the focus being on existing provision and how it adapts to wider retail market and land use planning influences.  The general trend is for a reduction in traditional space in town centres, which has the potential to be reinforced by changes to the land use classification system (</w:t>
      </w:r>
      <w:proofErr w:type="gramStart"/>
      <w:r w:rsidR="00FE75DE">
        <w:t>i.e.</w:t>
      </w:r>
      <w:proofErr w:type="gramEnd"/>
      <w:r w:rsidR="00FE75DE">
        <w:t xml:space="preserve"> Class E) which can make it easier for retail stores to be replaced by leisure and other main town centre uses.</w:t>
      </w:r>
      <w:r w:rsidR="00952105">
        <w:t xml:space="preserve">  In recent years the demand for comparison goods floorspace which has remained has been focused upon value orientated mixed goods retailers who have tended to prefer / requirement space outside of town centres due to the large retail unit format and the need for car parking provision.  </w:t>
      </w:r>
    </w:p>
    <w:p w14:paraId="5D0C14BF" w14:textId="0EC6432C" w:rsidR="00DF42CB" w:rsidRDefault="00952105" w:rsidP="003859A9">
      <w:pPr>
        <w:pStyle w:val="ListBullet"/>
        <w:numPr>
          <w:ilvl w:val="1"/>
          <w:numId w:val="5"/>
        </w:numPr>
      </w:pPr>
      <w:r>
        <w:t xml:space="preserve">In the context of Torbay, these factors have </w:t>
      </w:r>
      <w:r w:rsidR="00D128BB">
        <w:t xml:space="preserve">tended to </w:t>
      </w:r>
      <w:r w:rsidR="00865809">
        <w:t xml:space="preserve">manifest themselves in a reducing number of national multiple retailers, due to competition from other centres and the internet and trends in </w:t>
      </w:r>
      <w:r w:rsidR="00F04EA3">
        <w:t xml:space="preserve">town centres generally across the country.  Therefore, the qualitative aspects of comparison goods provision in Torbay’s town centres are now likely to focus upon how existing space is being used and how it needs to adapt </w:t>
      </w:r>
      <w:proofErr w:type="gramStart"/>
      <w:r w:rsidR="00F04EA3">
        <w:t>in order to</w:t>
      </w:r>
      <w:proofErr w:type="gramEnd"/>
      <w:r w:rsidR="00F04EA3">
        <w:t xml:space="preserve"> serve the dual needs of the local population and visitors.</w:t>
      </w:r>
      <w:r w:rsidR="004F762E">
        <w:t xml:space="preserve">  Some of these actions may well fall outside of the town planning system to control</w:t>
      </w:r>
      <w:r w:rsidR="00F20052">
        <w:t>, although the updated strategy for the town centres will need to acknowledge that comparison goods retailing will now become one of a wider number of land uses required to support the health and attractiveness of the town centres, providing a niche / specialist / differentiated role in serving visitors / tourists in a way that traditional retailers / retail space cannot.</w:t>
      </w:r>
      <w:r w:rsidR="00F04EA3">
        <w:t xml:space="preserve"> </w:t>
      </w:r>
    </w:p>
    <w:p w14:paraId="32C60DE7" w14:textId="6F31CDE1" w:rsidR="00A72C9C" w:rsidRDefault="00A72C9C" w:rsidP="004F474D">
      <w:pPr>
        <w:pStyle w:val="ListBullet"/>
        <w:numPr>
          <w:ilvl w:val="0"/>
          <w:numId w:val="0"/>
        </w:numPr>
        <w:ind w:left="1077" w:hanging="357"/>
      </w:pPr>
    </w:p>
    <w:p w14:paraId="4531422C" w14:textId="1905DC70" w:rsidR="00E12887" w:rsidRDefault="004F474D" w:rsidP="00E12887">
      <w:pPr>
        <w:pStyle w:val="Level1"/>
      </w:pPr>
      <w:r>
        <w:t xml:space="preserve">With regards to the qualitative aspects of </w:t>
      </w:r>
      <w:r w:rsidR="00D527A9">
        <w:t>convenience goods</w:t>
      </w:r>
      <w:r>
        <w:t xml:space="preserve"> provision, we consider that the following indicators / issues are relevant for the purposes of TC’s plan-making process:</w:t>
      </w:r>
    </w:p>
    <w:p w14:paraId="172A4F9E" w14:textId="59F374D5" w:rsidR="006B79DB" w:rsidRDefault="006B79DB" w:rsidP="004F474D">
      <w:pPr>
        <w:pStyle w:val="ListBullet"/>
      </w:pPr>
      <w:r w:rsidRPr="006B79DB">
        <w:rPr>
          <w:u w:val="single"/>
        </w:rPr>
        <w:t>General comments</w:t>
      </w:r>
      <w:r>
        <w:t>.</w:t>
      </w:r>
      <w:r w:rsidR="00A30538">
        <w:t xml:space="preserve">  For the avoidance of doubt, </w:t>
      </w:r>
      <w:r w:rsidR="00815B61">
        <w:t xml:space="preserve">this latest analysis has not re-visited in detail the gap areas and accessibility analysis contained within the 2011 and 2013 retail study documents.  However, </w:t>
      </w:r>
      <w:proofErr w:type="gramStart"/>
      <w:r w:rsidR="00815B61">
        <w:t>taking into account</w:t>
      </w:r>
      <w:proofErr w:type="gramEnd"/>
      <w:r w:rsidR="00815B61">
        <w:t xml:space="preserve"> new retail floorspace commitments and/or other changes in circumstance since the 2013 retail study, our assessment does consider, on a general basis, whether the previous conclusions / observations remain valid. </w:t>
      </w:r>
    </w:p>
    <w:p w14:paraId="328C9C7F" w14:textId="77777777" w:rsidR="006B79DB" w:rsidRDefault="006B79DB" w:rsidP="006B79DB">
      <w:pPr>
        <w:pStyle w:val="ListBullet"/>
        <w:numPr>
          <w:ilvl w:val="0"/>
          <w:numId w:val="0"/>
        </w:numPr>
        <w:ind w:left="1077"/>
      </w:pPr>
    </w:p>
    <w:p w14:paraId="10E66E50" w14:textId="0024E3D0" w:rsidR="004F474D" w:rsidRDefault="00F20052" w:rsidP="004F474D">
      <w:pPr>
        <w:pStyle w:val="ListBullet"/>
      </w:pPr>
      <w:r w:rsidRPr="006B79DB">
        <w:rPr>
          <w:u w:val="single"/>
        </w:rPr>
        <w:t>Torquay</w:t>
      </w:r>
      <w:r>
        <w:t xml:space="preserve">.  </w:t>
      </w:r>
      <w:r w:rsidR="00167D3C">
        <w:t>In relation to material changes in Torquay since the completion of the 2013 retail study, it is important to acknowledge th</w:t>
      </w:r>
      <w:r w:rsidR="00AA6A75">
        <w:t xml:space="preserve">e following: (A) </w:t>
      </w:r>
      <w:r w:rsidR="0010014C">
        <w:t xml:space="preserve">the prediction in the 2013 study regarding the new ASDA store reducing over-trading at The Willows district centre would appear to have been </w:t>
      </w:r>
      <w:r w:rsidR="0010014C">
        <w:lastRenderedPageBreak/>
        <w:t>proven by the available evidence; and (B) there is now a commitment for a new ALDI foodstore on the north-western edge of Torquay.  In relation to the latter</w:t>
      </w:r>
      <w:r w:rsidR="006B79DB">
        <w:t xml:space="preserve">, the new ALDI store will clearly improve choice and competition for residents of Torquay and its wider catchment (given the location of the site on the main entrance into the town from the west), although the provision of this store is unlikely to materially alter the previous (2011 and 2013) conclusions regarding gap areas and accessibility.  </w:t>
      </w:r>
      <w:r w:rsidR="00815B61">
        <w:t>Therefore, on a global basis, we conclude that Torquay displays good qualitative characteristics in terms of convenience goods retail floorspace provision, although internal distribution across the town remains an issue to address.</w:t>
      </w:r>
    </w:p>
    <w:p w14:paraId="4EF34E73" w14:textId="77777777" w:rsidR="0010014C" w:rsidRDefault="0010014C" w:rsidP="0010014C">
      <w:pPr>
        <w:pStyle w:val="ListBullet"/>
        <w:numPr>
          <w:ilvl w:val="0"/>
          <w:numId w:val="0"/>
        </w:numPr>
        <w:ind w:left="1077"/>
      </w:pPr>
    </w:p>
    <w:p w14:paraId="2489D13D" w14:textId="6EE24252" w:rsidR="004F474D" w:rsidRDefault="00F20052" w:rsidP="004F474D">
      <w:pPr>
        <w:pStyle w:val="ListBullet"/>
      </w:pPr>
      <w:r w:rsidRPr="00F83980">
        <w:rPr>
          <w:u w:val="single"/>
        </w:rPr>
        <w:t>Paignton</w:t>
      </w:r>
      <w:r>
        <w:t>.</w:t>
      </w:r>
      <w:r w:rsidR="00815B61">
        <w:t xml:space="preserve">  Over the past several years </w:t>
      </w:r>
      <w:r w:rsidR="00F83980">
        <w:t xml:space="preserve">there have been new additions to the grocery retail sector in Paignton, via new store openings and new commitments.  In addition to the ASDA store in the former Focus DIY retail unit, ALDI and Lidl have opened new stores on the western edge of the Paignton urban area, and </w:t>
      </w:r>
      <w:r w:rsidR="00F83980" w:rsidRPr="000C1251">
        <w:t>there is a commitment for a further Lidl store</w:t>
      </w:r>
      <w:r w:rsidR="00D33422" w:rsidRPr="000C1251">
        <w:t xml:space="preserve"> </w:t>
      </w:r>
      <w:r w:rsidR="00D33422" w:rsidRPr="00B44051">
        <w:t>at</w:t>
      </w:r>
      <w:r w:rsidR="00FA0D94" w:rsidRPr="00B44051">
        <w:t xml:space="preserve"> Great parks, Kings </w:t>
      </w:r>
      <w:proofErr w:type="gramStart"/>
      <w:r w:rsidR="00FA0D94" w:rsidRPr="00B44051">
        <w:t>Ash  Road</w:t>
      </w:r>
      <w:proofErr w:type="gramEnd"/>
      <w:r w:rsidR="00091D25" w:rsidRPr="00B44051">
        <w:t xml:space="preserve"> (which is part of a planned new local centre)</w:t>
      </w:r>
      <w:r w:rsidR="00F83980" w:rsidRPr="00B44051">
        <w:t>.</w:t>
      </w:r>
      <w:r w:rsidR="00F83980" w:rsidRPr="000C1251">
        <w:t xml:space="preserve">  </w:t>
      </w:r>
      <w:proofErr w:type="gramStart"/>
      <w:r w:rsidR="00F83980" w:rsidRPr="000C1251">
        <w:t>All of</w:t>
      </w:r>
      <w:proofErr w:type="gramEnd"/>
      <w:r w:rsidR="00F83980" w:rsidRPr="000C1251">
        <w:t xml:space="preserve"> these three stores are provided in locations planned for new local /neighbourhood centres in the adopted development plan with the aim of serving the growing population</w:t>
      </w:r>
      <w:r w:rsidR="00F83980">
        <w:t xml:space="preserve"> in this part of Paignton.  These new stores have the ability to</w:t>
      </w:r>
      <w:r w:rsidR="008601C4">
        <w:t>:</w:t>
      </w:r>
      <w:r w:rsidR="00F83980">
        <w:t xml:space="preserve"> improve choice and competition</w:t>
      </w:r>
      <w:r w:rsidR="008601C4">
        <w:t xml:space="preserve">; aide accessibility to grocery retail provision; </w:t>
      </w:r>
      <w:proofErr w:type="gramStart"/>
      <w:r w:rsidR="008601C4">
        <w:t>and,</w:t>
      </w:r>
      <w:proofErr w:type="gramEnd"/>
      <w:r w:rsidR="008601C4">
        <w:t xml:space="preserve"> fulfil part of the development plan strategy for new small scale ‘centres’ in the retail hierarchy.  Grocery retail provision is now very much weighted towards the western side of Paignton </w:t>
      </w:r>
      <w:r w:rsidR="00091D25">
        <w:t xml:space="preserve">(in both out of centre locations and in three local centres promoted by the development plan) </w:t>
      </w:r>
      <w:r w:rsidR="008601C4">
        <w:t>and it remains the case that there is a qualitative case for improvement in and around the town centre</w:t>
      </w:r>
      <w:r w:rsidR="00091D25">
        <w:t xml:space="preserve"> (</w:t>
      </w:r>
      <w:proofErr w:type="gramStart"/>
      <w:r w:rsidR="00091D25">
        <w:t>in order to</w:t>
      </w:r>
      <w:proofErr w:type="gramEnd"/>
      <w:r w:rsidR="00091D25">
        <w:t xml:space="preserve"> boost the amount and quality of provision)</w:t>
      </w:r>
      <w:r w:rsidR="008601C4">
        <w:t>.</w:t>
      </w:r>
    </w:p>
    <w:p w14:paraId="01FD64FD" w14:textId="0F824E2B" w:rsidR="00815B61" w:rsidRDefault="00815B61" w:rsidP="00815B61">
      <w:pPr>
        <w:pStyle w:val="ListBullet"/>
        <w:numPr>
          <w:ilvl w:val="0"/>
          <w:numId w:val="0"/>
        </w:numPr>
      </w:pPr>
    </w:p>
    <w:p w14:paraId="43F7B113" w14:textId="3E6F3D37" w:rsidR="00F20052" w:rsidRDefault="00F20052" w:rsidP="004F474D">
      <w:pPr>
        <w:pStyle w:val="ListBullet"/>
      </w:pPr>
      <w:r>
        <w:t>Brixham.</w:t>
      </w:r>
      <w:r w:rsidR="008601C4">
        <w:t xml:space="preserve">  Little has changed ‘on the ground’ in terms of convenience goods floorspace in Brixham since the 2013 retail study.  </w:t>
      </w:r>
      <w:proofErr w:type="gramStart"/>
      <w:r w:rsidR="00144159">
        <w:t>In particular, it</w:t>
      </w:r>
      <w:proofErr w:type="gramEnd"/>
      <w:r w:rsidR="00144159">
        <w:t xml:space="preserve"> remains the case </w:t>
      </w:r>
      <w:r w:rsidR="005D48A2">
        <w:t xml:space="preserve">that there is a reasonably large amount of leakage of convenience goods to stores in Paignton and elsewhere and, aligned to this trend, is the lack of a store which is able to attract main food shopping trips.  The previous proposal for a reasonably large Tesco supermarket on the Middle </w:t>
      </w:r>
      <w:proofErr w:type="gramStart"/>
      <w:r w:rsidR="005D48A2">
        <w:t>Street car</w:t>
      </w:r>
      <w:proofErr w:type="gramEnd"/>
      <w:r w:rsidR="005D48A2">
        <w:t xml:space="preserve"> park site in the town centre has now fallen away and there is currently no plan for an alternative.</w:t>
      </w:r>
      <w:r w:rsidR="00483C1A">
        <w:t xml:space="preserve">  Therefore, it remains the case that Brixham has the most pronounced level of qualitative need for convenience goods floorspace of the three main settlements across Torbay.  </w:t>
      </w:r>
    </w:p>
    <w:p w14:paraId="5AFEAF67" w14:textId="77777777" w:rsidR="004F474D" w:rsidRDefault="004F474D" w:rsidP="004F474D">
      <w:pPr>
        <w:pStyle w:val="ListBullet"/>
        <w:numPr>
          <w:ilvl w:val="0"/>
          <w:numId w:val="0"/>
        </w:numPr>
        <w:ind w:left="1077"/>
      </w:pPr>
    </w:p>
    <w:p w14:paraId="6306EF4E" w14:textId="7471F60E" w:rsidR="00640D2E" w:rsidRPr="00B44051" w:rsidRDefault="00640D2E" w:rsidP="00640D2E">
      <w:pPr>
        <w:pStyle w:val="Level1"/>
        <w:numPr>
          <w:ilvl w:val="0"/>
          <w:numId w:val="0"/>
        </w:numPr>
        <w:ind w:left="720"/>
        <w:rPr>
          <w:rStyle w:val="Emphasis"/>
        </w:rPr>
      </w:pPr>
      <w:r w:rsidRPr="00B44051">
        <w:rPr>
          <w:rStyle w:val="Emphasis"/>
        </w:rPr>
        <w:t xml:space="preserve">Food and Beverage Floorspace – Quantitative Assessment </w:t>
      </w:r>
    </w:p>
    <w:p w14:paraId="6451111B" w14:textId="77777777" w:rsidR="003E5B4F" w:rsidRPr="00B44051" w:rsidRDefault="00BA1EF4" w:rsidP="00E12887">
      <w:pPr>
        <w:pStyle w:val="Level1"/>
      </w:pPr>
      <w:r w:rsidRPr="00B44051">
        <w:t xml:space="preserve">In addition to </w:t>
      </w:r>
      <w:r w:rsidR="003E5B4F" w:rsidRPr="00B44051">
        <w:t>the assessment of quantitative need for retail floorspace, we have also undertaken an assessment of the quantitative need for food and beverage floorspace across the three main settlements.  The assessment is contained within Tables 11a-11c at Appendix XVII and is structured as follows:</w:t>
      </w:r>
    </w:p>
    <w:p w14:paraId="0AC73AA6" w14:textId="77777777" w:rsidR="009E0707" w:rsidRPr="00B44051" w:rsidRDefault="003E5B4F" w:rsidP="00B44051">
      <w:pPr>
        <w:pStyle w:val="ListBullet"/>
      </w:pPr>
      <w:r w:rsidRPr="00B44051">
        <w:t xml:space="preserve">Table 11a calculates the market share of existing food and beverage facilities across the three main settlements in Torbay.  It is structured to provide separate market shares for café/restaurant visits and also pub/bar visits, and then brings them together in an amalgamated overall market share (based upon the weighting of expenditure between both types of </w:t>
      </w:r>
      <w:proofErr w:type="gramStart"/>
      <w:r w:rsidR="009E0707" w:rsidRPr="00B44051">
        <w:t>trip</w:t>
      </w:r>
      <w:proofErr w:type="gramEnd"/>
      <w:r w:rsidR="009E0707" w:rsidRPr="00B44051">
        <w:t>.</w:t>
      </w:r>
    </w:p>
    <w:p w14:paraId="2D36843A" w14:textId="77777777" w:rsidR="009E0707" w:rsidRPr="00B44051" w:rsidRDefault="009E0707" w:rsidP="00B44051">
      <w:pPr>
        <w:pStyle w:val="ListBullet"/>
      </w:pPr>
      <w:r w:rsidRPr="00B44051">
        <w:t>Table 11b translates the overall market shares in Table 11a into study area turnover levels, by zone, using the total available food and beverage expenditure levels in Table 3a.</w:t>
      </w:r>
    </w:p>
    <w:p w14:paraId="0150513A" w14:textId="2207424E" w:rsidR="009E0707" w:rsidRDefault="009E0707" w:rsidP="00B44051">
      <w:pPr>
        <w:pStyle w:val="ListBullet"/>
      </w:pPr>
      <w:r w:rsidRPr="00B44051">
        <w:t>Table 11c takes the study area turnover levels in Table 11b and utilises them to estimate future levels of indicative food and beverage floorspace capacity.</w:t>
      </w:r>
    </w:p>
    <w:p w14:paraId="0B875C64" w14:textId="62F028B1" w:rsidR="002C4847" w:rsidRDefault="002C4847" w:rsidP="002C4847">
      <w:pPr>
        <w:pStyle w:val="ListBullet"/>
        <w:numPr>
          <w:ilvl w:val="0"/>
          <w:numId w:val="0"/>
        </w:numPr>
        <w:ind w:left="1077"/>
      </w:pPr>
    </w:p>
    <w:p w14:paraId="3255E944" w14:textId="24E29CD0" w:rsidR="002C4847" w:rsidRDefault="002C4847" w:rsidP="002C4847">
      <w:pPr>
        <w:pStyle w:val="ListBullet"/>
        <w:numPr>
          <w:ilvl w:val="0"/>
          <w:numId w:val="0"/>
        </w:numPr>
        <w:ind w:left="1077"/>
      </w:pPr>
    </w:p>
    <w:p w14:paraId="24A69980" w14:textId="77777777" w:rsidR="002C4847" w:rsidRPr="00B44051" w:rsidRDefault="002C4847" w:rsidP="002C4847">
      <w:pPr>
        <w:pStyle w:val="ListBullet"/>
        <w:numPr>
          <w:ilvl w:val="0"/>
          <w:numId w:val="0"/>
        </w:numPr>
        <w:ind w:left="1077"/>
      </w:pPr>
    </w:p>
    <w:p w14:paraId="283A2B3C" w14:textId="37D439EE" w:rsidR="009E0707" w:rsidRPr="00B44051" w:rsidRDefault="00422479" w:rsidP="009E0707">
      <w:pPr>
        <w:pStyle w:val="Level1"/>
      </w:pPr>
      <w:r>
        <w:lastRenderedPageBreak/>
        <w:t xml:space="preserve">When assessing future potential </w:t>
      </w:r>
      <w:r w:rsidR="002C4847">
        <w:t>floorspace</w:t>
      </w:r>
      <w:r>
        <w:t xml:space="preserve"> capacity</w:t>
      </w:r>
      <w:r w:rsidR="002C4847">
        <w:t>,</w:t>
      </w:r>
      <w:r>
        <w:t xml:space="preserve"> the following assumptions have been utilised:</w:t>
      </w:r>
    </w:p>
    <w:p w14:paraId="78DFAFE5" w14:textId="75251C86" w:rsidR="0022629D" w:rsidRDefault="0022629D" w:rsidP="009E0707">
      <w:pPr>
        <w:pStyle w:val="ListBullet"/>
      </w:pPr>
      <w:r>
        <w:t>The food and beverage floorspace assessment uses the same study area as the retail floorspace capacity assessment and the same 2022 household survey results.</w:t>
      </w:r>
    </w:p>
    <w:p w14:paraId="40682C6D" w14:textId="398A7635" w:rsidR="009E0707" w:rsidRDefault="000768F2" w:rsidP="009E0707">
      <w:pPr>
        <w:pStyle w:val="ListBullet"/>
      </w:pPr>
      <w:r>
        <w:t xml:space="preserve">In addition to study area derived turnover from </w:t>
      </w:r>
      <w:proofErr w:type="gramStart"/>
      <w:r>
        <w:t>local residents</w:t>
      </w:r>
      <w:proofErr w:type="gramEnd"/>
      <w:r>
        <w:t>, it has been assumed that each of the three settlements, particularly their town centres</w:t>
      </w:r>
      <w:r w:rsidR="002C4847">
        <w:t>,</w:t>
      </w:r>
      <w:r>
        <w:t xml:space="preserve"> will benefit from ‘expenditure inflow’ from visitors and tourists who will spend money in various types of food and beverage establishments during their visits.</w:t>
      </w:r>
    </w:p>
    <w:p w14:paraId="47AEB612" w14:textId="301E102E" w:rsidR="000768F2" w:rsidRDefault="000768F2" w:rsidP="009E0707">
      <w:pPr>
        <w:pStyle w:val="ListBullet"/>
      </w:pPr>
      <w:r>
        <w:t xml:space="preserve">We have assumed a constant market share </w:t>
      </w:r>
      <w:r w:rsidR="008C6505">
        <w:t>for each settlement over the assessment period, which is the same as</w:t>
      </w:r>
      <w:r w:rsidR="0022629D">
        <w:t xml:space="preserve"> the retail assessment (</w:t>
      </w:r>
      <w:proofErr w:type="gramStart"/>
      <w:r w:rsidR="0022629D">
        <w:t>i.e.</w:t>
      </w:r>
      <w:proofErr w:type="gramEnd"/>
      <w:r w:rsidR="0022629D">
        <w:t xml:space="preserve"> 2022-2040).</w:t>
      </w:r>
    </w:p>
    <w:p w14:paraId="40B25A45" w14:textId="0EE2EDA0" w:rsidR="000768F2" w:rsidRDefault="000768F2" w:rsidP="009E0707">
      <w:pPr>
        <w:pStyle w:val="ListBullet"/>
      </w:pPr>
      <w:r>
        <w:t xml:space="preserve">We have made an allowance for part of the growth in total expenditure </w:t>
      </w:r>
      <w:r w:rsidR="0022629D">
        <w:t>across the assessment period to be assigned to existing facilities.  We have assumed that this should be a ‘turnover efficiency’ increase of +3% per annum.</w:t>
      </w:r>
    </w:p>
    <w:p w14:paraId="32C2CC85" w14:textId="2672DA93" w:rsidR="0022629D" w:rsidRDefault="0022629D" w:rsidP="009E0707">
      <w:pPr>
        <w:pStyle w:val="ListBullet"/>
      </w:pPr>
      <w:proofErr w:type="gramStart"/>
      <w:r>
        <w:t>In order to</w:t>
      </w:r>
      <w:proofErr w:type="gramEnd"/>
      <w:r>
        <w:t xml:space="preserve"> translate residual ‘surplus’ food and beverage expenditure into an indicative floorspace </w:t>
      </w:r>
      <w:r w:rsidR="00E53121">
        <w:t>equivalent, we have used an indicative sales density of £3,500/</w:t>
      </w:r>
      <w:proofErr w:type="spellStart"/>
      <w:r w:rsidR="00E53121">
        <w:t>sq</w:t>
      </w:r>
      <w:proofErr w:type="spellEnd"/>
      <w:r w:rsidR="00E53121">
        <w:t xml:space="preserve"> m.</w:t>
      </w:r>
    </w:p>
    <w:p w14:paraId="1F37F80B" w14:textId="5E6DBC91" w:rsidR="00E53121" w:rsidRPr="00B44051" w:rsidRDefault="00E53121" w:rsidP="00B44051">
      <w:pPr>
        <w:pStyle w:val="ListBullet"/>
      </w:pPr>
      <w:r>
        <w:t>The assessment has been based upon the same assumption as one of the comparison goods assessments that actual turnover will equal baseline turnover at start of the assessment in 2022.</w:t>
      </w:r>
    </w:p>
    <w:p w14:paraId="385A6F2D" w14:textId="05F555CA" w:rsidR="009E0707" w:rsidRDefault="00E53121" w:rsidP="009E0707">
      <w:pPr>
        <w:pStyle w:val="Level1"/>
      </w:pPr>
      <w:r>
        <w:t>The results of the assessment at Table 11c at Appendix XVII show the following indicative quantitative capacity levels</w:t>
      </w:r>
      <w:r w:rsidR="008B32BA">
        <w:rPr>
          <w:rStyle w:val="FootnoteReference"/>
        </w:rPr>
        <w:footnoteReference w:id="39"/>
      </w:r>
      <w:r>
        <w:t>:</w:t>
      </w:r>
    </w:p>
    <w:tbl>
      <w:tblPr>
        <w:tblStyle w:val="TableGrid2"/>
        <w:tblW w:w="0" w:type="auto"/>
        <w:tblInd w:w="704" w:type="dxa"/>
        <w:tblLook w:val="04A0" w:firstRow="1" w:lastRow="0" w:firstColumn="1" w:lastColumn="0" w:noHBand="0" w:noVBand="1"/>
      </w:tblPr>
      <w:tblGrid>
        <w:gridCol w:w="2038"/>
        <w:gridCol w:w="2039"/>
        <w:gridCol w:w="2039"/>
        <w:gridCol w:w="2039"/>
      </w:tblGrid>
      <w:tr w:rsidR="008B32BA" w14:paraId="71F34F6D" w14:textId="77777777" w:rsidTr="002C4847">
        <w:tc>
          <w:tcPr>
            <w:tcW w:w="2038" w:type="dxa"/>
          </w:tcPr>
          <w:p w14:paraId="0C973597" w14:textId="77777777" w:rsidR="008B32BA" w:rsidRDefault="008B32BA" w:rsidP="00E53121">
            <w:pPr>
              <w:pStyle w:val="Level1"/>
              <w:numPr>
                <w:ilvl w:val="0"/>
                <w:numId w:val="0"/>
              </w:numPr>
            </w:pPr>
          </w:p>
        </w:tc>
        <w:tc>
          <w:tcPr>
            <w:tcW w:w="2039" w:type="dxa"/>
          </w:tcPr>
          <w:p w14:paraId="1FEF9123" w14:textId="3FECDE60" w:rsidR="008B32BA" w:rsidRPr="002C4847" w:rsidRDefault="008B32BA" w:rsidP="00B44051">
            <w:pPr>
              <w:pStyle w:val="Level1"/>
              <w:numPr>
                <w:ilvl w:val="0"/>
                <w:numId w:val="0"/>
              </w:numPr>
              <w:jc w:val="center"/>
              <w:rPr>
                <w:b/>
                <w:bCs/>
              </w:rPr>
            </w:pPr>
            <w:r w:rsidRPr="002C4847">
              <w:rPr>
                <w:b/>
                <w:bCs/>
              </w:rPr>
              <w:t>2022</w:t>
            </w:r>
          </w:p>
        </w:tc>
        <w:tc>
          <w:tcPr>
            <w:tcW w:w="2039" w:type="dxa"/>
          </w:tcPr>
          <w:p w14:paraId="449FB6CB" w14:textId="779B0EC3" w:rsidR="008B32BA" w:rsidRPr="002C4847" w:rsidRDefault="008B32BA" w:rsidP="00B44051">
            <w:pPr>
              <w:pStyle w:val="Level1"/>
              <w:numPr>
                <w:ilvl w:val="0"/>
                <w:numId w:val="0"/>
              </w:numPr>
              <w:jc w:val="center"/>
              <w:rPr>
                <w:b/>
                <w:bCs/>
              </w:rPr>
            </w:pPr>
            <w:r w:rsidRPr="002C4847">
              <w:rPr>
                <w:b/>
                <w:bCs/>
              </w:rPr>
              <w:t>2032</w:t>
            </w:r>
          </w:p>
        </w:tc>
        <w:tc>
          <w:tcPr>
            <w:tcW w:w="2039" w:type="dxa"/>
          </w:tcPr>
          <w:p w14:paraId="3E3463BC" w14:textId="57C65311" w:rsidR="008B32BA" w:rsidRPr="002C4847" w:rsidRDefault="008B32BA" w:rsidP="00B44051">
            <w:pPr>
              <w:pStyle w:val="Level1"/>
              <w:numPr>
                <w:ilvl w:val="0"/>
                <w:numId w:val="0"/>
              </w:numPr>
              <w:jc w:val="center"/>
              <w:rPr>
                <w:b/>
                <w:bCs/>
              </w:rPr>
            </w:pPr>
            <w:r w:rsidRPr="002C4847">
              <w:rPr>
                <w:b/>
                <w:bCs/>
              </w:rPr>
              <w:t>2040</w:t>
            </w:r>
          </w:p>
        </w:tc>
      </w:tr>
      <w:tr w:rsidR="008B32BA" w14:paraId="09EADBA3" w14:textId="77777777" w:rsidTr="002C4847">
        <w:tc>
          <w:tcPr>
            <w:tcW w:w="2038" w:type="dxa"/>
          </w:tcPr>
          <w:p w14:paraId="1E3AFE03" w14:textId="044E0B44" w:rsidR="008B32BA" w:rsidRDefault="008B32BA" w:rsidP="00E53121">
            <w:pPr>
              <w:pStyle w:val="Level1"/>
              <w:numPr>
                <w:ilvl w:val="0"/>
                <w:numId w:val="0"/>
              </w:numPr>
            </w:pPr>
            <w:r>
              <w:t>Torquay</w:t>
            </w:r>
          </w:p>
        </w:tc>
        <w:tc>
          <w:tcPr>
            <w:tcW w:w="2039" w:type="dxa"/>
          </w:tcPr>
          <w:p w14:paraId="582F84D7" w14:textId="1F831C5E" w:rsidR="008B32BA" w:rsidRDefault="008B32BA" w:rsidP="00B44051">
            <w:pPr>
              <w:pStyle w:val="Level1"/>
              <w:numPr>
                <w:ilvl w:val="0"/>
                <w:numId w:val="0"/>
              </w:numPr>
              <w:jc w:val="center"/>
            </w:pPr>
            <w:r>
              <w:t>1,463sq m</w:t>
            </w:r>
          </w:p>
        </w:tc>
        <w:tc>
          <w:tcPr>
            <w:tcW w:w="2039" w:type="dxa"/>
          </w:tcPr>
          <w:p w14:paraId="32081E72" w14:textId="39D5FCAC" w:rsidR="008B32BA" w:rsidRDefault="008B32BA" w:rsidP="00B44051">
            <w:pPr>
              <w:pStyle w:val="Level1"/>
              <w:numPr>
                <w:ilvl w:val="0"/>
                <w:numId w:val="0"/>
              </w:numPr>
              <w:jc w:val="center"/>
            </w:pPr>
            <w:r>
              <w:t>3,129sq m</w:t>
            </w:r>
          </w:p>
        </w:tc>
        <w:tc>
          <w:tcPr>
            <w:tcW w:w="2039" w:type="dxa"/>
          </w:tcPr>
          <w:p w14:paraId="7C84DC4B" w14:textId="74308F6A" w:rsidR="008B32BA" w:rsidRDefault="008B32BA" w:rsidP="00B44051">
            <w:pPr>
              <w:pStyle w:val="Level1"/>
              <w:numPr>
                <w:ilvl w:val="0"/>
                <w:numId w:val="0"/>
              </w:numPr>
              <w:jc w:val="center"/>
            </w:pPr>
            <w:r>
              <w:t>2,615sq m</w:t>
            </w:r>
          </w:p>
        </w:tc>
      </w:tr>
      <w:tr w:rsidR="008B32BA" w14:paraId="46391B4D" w14:textId="77777777" w:rsidTr="002C4847">
        <w:tc>
          <w:tcPr>
            <w:tcW w:w="2038" w:type="dxa"/>
          </w:tcPr>
          <w:p w14:paraId="11F8A0EF" w14:textId="51F84C7F" w:rsidR="008B32BA" w:rsidRDefault="008B32BA" w:rsidP="00E53121">
            <w:pPr>
              <w:pStyle w:val="Level1"/>
              <w:numPr>
                <w:ilvl w:val="0"/>
                <w:numId w:val="0"/>
              </w:numPr>
            </w:pPr>
            <w:r>
              <w:t>Paignton</w:t>
            </w:r>
          </w:p>
        </w:tc>
        <w:tc>
          <w:tcPr>
            <w:tcW w:w="2039" w:type="dxa"/>
          </w:tcPr>
          <w:p w14:paraId="0A42A474" w14:textId="7F1395D0" w:rsidR="008B32BA" w:rsidRDefault="008B32BA" w:rsidP="00B44051">
            <w:pPr>
              <w:pStyle w:val="Level1"/>
              <w:numPr>
                <w:ilvl w:val="0"/>
                <w:numId w:val="0"/>
              </w:numPr>
              <w:jc w:val="center"/>
            </w:pPr>
            <w:r>
              <w:t>518sq m</w:t>
            </w:r>
          </w:p>
        </w:tc>
        <w:tc>
          <w:tcPr>
            <w:tcW w:w="2039" w:type="dxa"/>
          </w:tcPr>
          <w:p w14:paraId="39ABAF63" w14:textId="1BF30E2E" w:rsidR="008B32BA" w:rsidRDefault="008B32BA" w:rsidP="00B44051">
            <w:pPr>
              <w:pStyle w:val="Level1"/>
              <w:numPr>
                <w:ilvl w:val="0"/>
                <w:numId w:val="0"/>
              </w:numPr>
              <w:jc w:val="center"/>
            </w:pPr>
            <w:r>
              <w:t>1,108sq m</w:t>
            </w:r>
          </w:p>
        </w:tc>
        <w:tc>
          <w:tcPr>
            <w:tcW w:w="2039" w:type="dxa"/>
          </w:tcPr>
          <w:p w14:paraId="0A743A1E" w14:textId="74759B72" w:rsidR="008B32BA" w:rsidRDefault="008B32BA" w:rsidP="00B44051">
            <w:pPr>
              <w:pStyle w:val="Level1"/>
              <w:numPr>
                <w:ilvl w:val="0"/>
                <w:numId w:val="0"/>
              </w:numPr>
              <w:jc w:val="center"/>
            </w:pPr>
            <w:r>
              <w:t>926sq m</w:t>
            </w:r>
          </w:p>
        </w:tc>
      </w:tr>
      <w:tr w:rsidR="008B32BA" w14:paraId="17994B37" w14:textId="77777777" w:rsidTr="002C4847">
        <w:tc>
          <w:tcPr>
            <w:tcW w:w="2038" w:type="dxa"/>
          </w:tcPr>
          <w:p w14:paraId="17D9221B" w14:textId="0EE609B1" w:rsidR="008B32BA" w:rsidRDefault="008B32BA" w:rsidP="00E53121">
            <w:pPr>
              <w:pStyle w:val="Level1"/>
              <w:numPr>
                <w:ilvl w:val="0"/>
                <w:numId w:val="0"/>
              </w:numPr>
            </w:pPr>
            <w:r>
              <w:t>Brixham</w:t>
            </w:r>
          </w:p>
        </w:tc>
        <w:tc>
          <w:tcPr>
            <w:tcW w:w="2039" w:type="dxa"/>
          </w:tcPr>
          <w:p w14:paraId="7FFE2412" w14:textId="47C4E304" w:rsidR="008B32BA" w:rsidRDefault="008B32BA" w:rsidP="00B44051">
            <w:pPr>
              <w:pStyle w:val="Level1"/>
              <w:numPr>
                <w:ilvl w:val="0"/>
                <w:numId w:val="0"/>
              </w:numPr>
              <w:jc w:val="center"/>
            </w:pPr>
            <w:r>
              <w:t>259sq m</w:t>
            </w:r>
          </w:p>
        </w:tc>
        <w:tc>
          <w:tcPr>
            <w:tcW w:w="2039" w:type="dxa"/>
          </w:tcPr>
          <w:p w14:paraId="53BAC491" w14:textId="02EBAB6B" w:rsidR="008B32BA" w:rsidRDefault="008B32BA" w:rsidP="00B44051">
            <w:pPr>
              <w:pStyle w:val="Level1"/>
              <w:numPr>
                <w:ilvl w:val="0"/>
                <w:numId w:val="0"/>
              </w:numPr>
              <w:jc w:val="center"/>
            </w:pPr>
            <w:r>
              <w:t>553sq m</w:t>
            </w:r>
          </w:p>
        </w:tc>
        <w:tc>
          <w:tcPr>
            <w:tcW w:w="2039" w:type="dxa"/>
          </w:tcPr>
          <w:p w14:paraId="3F13DC99" w14:textId="68E57BB4" w:rsidR="008B32BA" w:rsidRDefault="008B32BA" w:rsidP="00B44051">
            <w:pPr>
              <w:pStyle w:val="Level1"/>
              <w:numPr>
                <w:ilvl w:val="0"/>
                <w:numId w:val="0"/>
              </w:numPr>
              <w:jc w:val="center"/>
            </w:pPr>
            <w:r>
              <w:t>463sq m</w:t>
            </w:r>
          </w:p>
        </w:tc>
      </w:tr>
    </w:tbl>
    <w:p w14:paraId="1670C763" w14:textId="3DCB315C" w:rsidR="00E53121" w:rsidRDefault="00E53121" w:rsidP="00B44051">
      <w:pPr>
        <w:pStyle w:val="Level1"/>
        <w:numPr>
          <w:ilvl w:val="0"/>
          <w:numId w:val="0"/>
        </w:numPr>
        <w:ind w:left="720"/>
      </w:pPr>
    </w:p>
    <w:p w14:paraId="308B722E" w14:textId="6D51D5FB" w:rsidR="00E53121" w:rsidRDefault="008B32BA" w:rsidP="009E0707">
      <w:pPr>
        <w:pStyle w:val="Level1"/>
      </w:pPr>
      <w:r>
        <w:t>The above table indicates that Torquay has the highest of the three capacity levels, rising from 1,500sq m in the short term to between 2,600sqm and 3,100sq m in the longer term.  The capacity for Paignton is circa 500sq m in the short term, rising to circa 1,000sq m in the longer term.  The capacity for Brixham is at around half this level, at 250sq m in the short term, rising to 500sq m in the longer term.</w:t>
      </w:r>
    </w:p>
    <w:p w14:paraId="393ECE0C" w14:textId="57DB09AD" w:rsidR="00E53121" w:rsidRDefault="0097119C" w:rsidP="009E0707">
      <w:pPr>
        <w:pStyle w:val="Level1"/>
      </w:pPr>
      <w:r>
        <w:t>When reading and understanding these quantitative capacity figures, we would recommend that the following should be noted:</w:t>
      </w:r>
    </w:p>
    <w:p w14:paraId="090F088B" w14:textId="3E3EED3C" w:rsidR="0097119C" w:rsidRDefault="002010E6" w:rsidP="0097119C">
      <w:pPr>
        <w:pStyle w:val="ListBullet"/>
      </w:pPr>
      <w:r>
        <w:t>It is important to acknowledge that f</w:t>
      </w:r>
      <w:r w:rsidR="006B7852">
        <w:t>ood and beverage</w:t>
      </w:r>
      <w:r>
        <w:t xml:space="preserve"> uses are</w:t>
      </w:r>
      <w:r w:rsidR="006B7852">
        <w:t xml:space="preserve"> important to </w:t>
      </w:r>
      <w:r>
        <w:t xml:space="preserve">the health </w:t>
      </w:r>
      <w:r w:rsidR="006B7852">
        <w:t>all three town centres</w:t>
      </w:r>
      <w:r>
        <w:t xml:space="preserve"> and therefore, alongside convenience goods retailing, this should be a priority ‘main town centre’ land sector for maintaining and enhancing.</w:t>
      </w:r>
    </w:p>
    <w:p w14:paraId="4B3FD349" w14:textId="675AF0D1" w:rsidR="006B7852" w:rsidRDefault="006B7852" w:rsidP="0097119C">
      <w:pPr>
        <w:pStyle w:val="ListBullet"/>
      </w:pPr>
      <w:r>
        <w:t xml:space="preserve">It should </w:t>
      </w:r>
      <w:r w:rsidR="002010E6">
        <w:t xml:space="preserve">also </w:t>
      </w:r>
      <w:r>
        <w:t xml:space="preserve">be </w:t>
      </w:r>
      <w:r w:rsidR="002010E6">
        <w:t xml:space="preserve">acknowledged that some or </w:t>
      </w:r>
      <w:proofErr w:type="gramStart"/>
      <w:r w:rsidR="002010E6">
        <w:t>all of</w:t>
      </w:r>
      <w:proofErr w:type="gramEnd"/>
      <w:r w:rsidR="002010E6">
        <w:t xml:space="preserve"> the quantitative need for net additional floorspace could be </w:t>
      </w:r>
      <w:r>
        <w:t xml:space="preserve">provided at any time through </w:t>
      </w:r>
      <w:r w:rsidR="002010E6">
        <w:t xml:space="preserve">changes within </w:t>
      </w:r>
      <w:r>
        <w:t xml:space="preserve">Class E and </w:t>
      </w:r>
      <w:r w:rsidR="002010E6">
        <w:t xml:space="preserve">permitted development rights.  This should be </w:t>
      </w:r>
      <w:proofErr w:type="gramStart"/>
      <w:r w:rsidR="002010E6">
        <w:t>taken into account</w:t>
      </w:r>
      <w:proofErr w:type="gramEnd"/>
      <w:r w:rsidR="002010E6">
        <w:t xml:space="preserve"> when planning for new development proposals in town, district and local centres in Torbay, as existing retail and other service uses could move to F&amp;B uses without recourse to any change of use planning permissions.</w:t>
      </w:r>
    </w:p>
    <w:p w14:paraId="23A3DE34" w14:textId="234FFEE8" w:rsidR="006B7852" w:rsidRDefault="006B7852" w:rsidP="00B44051">
      <w:pPr>
        <w:pStyle w:val="ListBullet"/>
      </w:pPr>
      <w:r>
        <w:lastRenderedPageBreak/>
        <w:t xml:space="preserve">Whilst any land redevelopment allocations </w:t>
      </w:r>
      <w:r w:rsidR="00B71958">
        <w:t xml:space="preserve">would benefit from the inclusion of food and beverage </w:t>
      </w:r>
      <w:r w:rsidR="00614029">
        <w:t>floorspace</w:t>
      </w:r>
      <w:r w:rsidR="00B71958">
        <w:t xml:space="preserve">, we do not consider that any significant allocations would be required in </w:t>
      </w:r>
      <w:r w:rsidR="00614029">
        <w:t xml:space="preserve">relation to this use in </w:t>
      </w:r>
      <w:r w:rsidR="00B71958">
        <w:t>any future development plan document.</w:t>
      </w:r>
    </w:p>
    <w:p w14:paraId="36F651F0" w14:textId="461BBC42" w:rsidR="0097119C" w:rsidRPr="00B44051" w:rsidRDefault="0097119C" w:rsidP="00B44051">
      <w:pPr>
        <w:pStyle w:val="Level1"/>
        <w:numPr>
          <w:ilvl w:val="0"/>
          <w:numId w:val="0"/>
        </w:numPr>
        <w:ind w:left="720"/>
      </w:pPr>
    </w:p>
    <w:p w14:paraId="65F7A4E1" w14:textId="670982C9" w:rsidR="00640D2E" w:rsidRPr="00B44051" w:rsidRDefault="00640D2E" w:rsidP="00B44051">
      <w:pPr>
        <w:pStyle w:val="Level1"/>
        <w:numPr>
          <w:ilvl w:val="0"/>
          <w:numId w:val="0"/>
        </w:numPr>
        <w:ind w:left="720" w:hanging="720"/>
      </w:pPr>
    </w:p>
    <w:p w14:paraId="0284E1BA" w14:textId="69CB8EA1" w:rsidR="00E12887" w:rsidRDefault="00E12887">
      <w:pPr>
        <w:spacing w:after="160" w:line="259" w:lineRule="auto"/>
        <w:rPr>
          <w:rFonts w:ascii="Open Sans SemiBold" w:eastAsia="Open Sans" w:hAnsi="Open Sans SemiBold" w:cs="Times New Roman"/>
          <w:b/>
          <w:color w:val="000000" w:themeColor="text1"/>
          <w:sz w:val="32"/>
        </w:rPr>
      </w:pPr>
      <w:r>
        <w:br w:type="page"/>
      </w:r>
    </w:p>
    <w:p w14:paraId="412B98A5" w14:textId="34B95AE4" w:rsidR="00E12887" w:rsidRDefault="00E12887" w:rsidP="00E12887">
      <w:pPr>
        <w:pStyle w:val="ListHeading1"/>
      </w:pPr>
      <w:bookmarkStart w:id="13" w:name="_Toc116897149"/>
      <w:r>
        <w:lastRenderedPageBreak/>
        <w:t>Planning Policy Advice</w:t>
      </w:r>
      <w:bookmarkEnd w:id="13"/>
    </w:p>
    <w:p w14:paraId="45E0BE89" w14:textId="06055535" w:rsidR="00E12887" w:rsidRPr="00640D2E" w:rsidRDefault="00640D2E" w:rsidP="00640D2E">
      <w:pPr>
        <w:pStyle w:val="Level1"/>
        <w:numPr>
          <w:ilvl w:val="0"/>
          <w:numId w:val="0"/>
        </w:numPr>
        <w:ind w:left="720"/>
        <w:rPr>
          <w:rStyle w:val="Emphasis"/>
        </w:rPr>
      </w:pPr>
      <w:r>
        <w:rPr>
          <w:rStyle w:val="Emphasis"/>
        </w:rPr>
        <w:t>Introduction</w:t>
      </w:r>
    </w:p>
    <w:p w14:paraId="2F844A3B" w14:textId="02A89A75" w:rsidR="00E12887" w:rsidRDefault="00A11C0D" w:rsidP="00E12887">
      <w:pPr>
        <w:pStyle w:val="Level1"/>
      </w:pPr>
      <w:r>
        <w:t xml:space="preserve">As part of this Study, the scope of works agreed with TC includes advice on various aspects of retail and town centre planning policies for the development plan in Torbay.  The </w:t>
      </w:r>
      <w:r w:rsidRPr="00091D25">
        <w:t>NPPF asks</w:t>
      </w:r>
      <w:r w:rsidR="00827EAD" w:rsidRPr="00091D25">
        <w:t xml:space="preserve"> </w:t>
      </w:r>
      <w:r w:rsidR="00827EAD" w:rsidRPr="00B44051">
        <w:t>LPAs to:</w:t>
      </w:r>
    </w:p>
    <w:p w14:paraId="4BB583B0" w14:textId="25CE7D6A" w:rsidR="00A11C0D" w:rsidRPr="00B41CD4" w:rsidRDefault="00A11C0D" w:rsidP="00B41CD4">
      <w:pPr>
        <w:pStyle w:val="Level1"/>
        <w:numPr>
          <w:ilvl w:val="0"/>
          <w:numId w:val="0"/>
        </w:numPr>
        <w:ind w:left="1440"/>
        <w:rPr>
          <w:i/>
          <w:iCs/>
        </w:rPr>
      </w:pPr>
      <w:r w:rsidRPr="00B41CD4">
        <w:rPr>
          <w:i/>
          <w:iCs/>
        </w:rPr>
        <w:t>“</w:t>
      </w:r>
      <w:proofErr w:type="gramStart"/>
      <w:r w:rsidR="00A249B0" w:rsidRPr="00B41CD4">
        <w:rPr>
          <w:i/>
          <w:iCs/>
        </w:rPr>
        <w:t>define</w:t>
      </w:r>
      <w:proofErr w:type="gramEnd"/>
      <w:r w:rsidR="00A249B0" w:rsidRPr="00B41CD4">
        <w:rPr>
          <w:i/>
          <w:iCs/>
        </w:rPr>
        <w:t xml:space="preserve"> a network and hierarchy of town centres and promote their long-term vitality and viability – by allowing them to grow and diversify in a way that can respond to rapid changes in the retail and leisure industries, allows a suitable mix of uses (including housing) and reflects their distinctive characters”</w:t>
      </w:r>
    </w:p>
    <w:p w14:paraId="7DAE013A" w14:textId="01521B82" w:rsidR="00A249B0" w:rsidRDefault="00A249B0" w:rsidP="00A11C0D">
      <w:pPr>
        <w:pStyle w:val="Level1"/>
        <w:numPr>
          <w:ilvl w:val="0"/>
          <w:numId w:val="0"/>
        </w:numPr>
        <w:ind w:left="720"/>
      </w:pPr>
      <w:r>
        <w:t>and</w:t>
      </w:r>
    </w:p>
    <w:p w14:paraId="45F5EB7F" w14:textId="6705617E" w:rsidR="00A249B0" w:rsidRPr="00B41CD4" w:rsidRDefault="00A249B0" w:rsidP="00B41CD4">
      <w:pPr>
        <w:pStyle w:val="Level1"/>
        <w:numPr>
          <w:ilvl w:val="0"/>
          <w:numId w:val="0"/>
        </w:numPr>
        <w:ind w:left="1440"/>
        <w:rPr>
          <w:i/>
          <w:iCs/>
        </w:rPr>
      </w:pPr>
      <w:r w:rsidRPr="00B41CD4">
        <w:rPr>
          <w:i/>
          <w:iCs/>
        </w:rPr>
        <w:t>“</w:t>
      </w:r>
      <w:proofErr w:type="gramStart"/>
      <w:r w:rsidRPr="00B41CD4">
        <w:rPr>
          <w:i/>
          <w:iCs/>
        </w:rPr>
        <w:t>define</w:t>
      </w:r>
      <w:proofErr w:type="gramEnd"/>
      <w:r w:rsidRPr="00B41CD4">
        <w:rPr>
          <w:i/>
          <w:iCs/>
        </w:rPr>
        <w:t xml:space="preserve"> the extent of town centres and primary shopping areas, and make clear the range of uses permitted in such locations, as part of a positive strategy for the future of each centre”.</w:t>
      </w:r>
    </w:p>
    <w:p w14:paraId="04C73B5D" w14:textId="60BB11F5" w:rsidR="00A11C0D" w:rsidRDefault="00A11C0D" w:rsidP="00E12887">
      <w:pPr>
        <w:pStyle w:val="Level1"/>
      </w:pPr>
      <w:proofErr w:type="gramStart"/>
      <w:r>
        <w:t>As a consequence</w:t>
      </w:r>
      <w:proofErr w:type="gramEnd"/>
      <w:r>
        <w:t>, the remainder of this section is split into two parts: (A) advice on the various designations for the main town and district centres across Torbay; and (B) advice on</w:t>
      </w:r>
      <w:r w:rsidR="00124710">
        <w:t xml:space="preserve"> the content / wording of development management policies relating to proposals within and outside of town centres.</w:t>
      </w:r>
    </w:p>
    <w:p w14:paraId="2540632E" w14:textId="6A8CE469" w:rsidR="00640D2E" w:rsidRPr="00640D2E" w:rsidRDefault="00640D2E" w:rsidP="00640D2E">
      <w:pPr>
        <w:pStyle w:val="Level1"/>
        <w:numPr>
          <w:ilvl w:val="0"/>
          <w:numId w:val="0"/>
        </w:numPr>
        <w:ind w:left="720"/>
        <w:rPr>
          <w:rStyle w:val="Emphasis"/>
        </w:rPr>
      </w:pPr>
      <w:r>
        <w:rPr>
          <w:rStyle w:val="Emphasis"/>
        </w:rPr>
        <w:t>Town Centre Designations</w:t>
      </w:r>
    </w:p>
    <w:p w14:paraId="2DE34DA0" w14:textId="5E68C8CB" w:rsidR="00640D2E" w:rsidRDefault="00A249B0" w:rsidP="00E12887">
      <w:pPr>
        <w:pStyle w:val="Level1"/>
      </w:pPr>
      <w:r>
        <w:t xml:space="preserve">Within the current adopted Torbay Local Plan, a different approach is taken in </w:t>
      </w:r>
      <w:r w:rsidR="002A6A14">
        <w:t>relation to town centres and district centres.  Within the three main town centres four separate designations</w:t>
      </w:r>
      <w:r w:rsidR="00D34E97">
        <w:t xml:space="preserve"> are provided: town centres, primary shopping areas, primary shopping frontages and secondary shopping frontages.  In contrast, the three district </w:t>
      </w:r>
      <w:r w:rsidR="00D56573">
        <w:t>centres have one ‘centre boundary’ definition.  A key reason for the difference in approach to these two tiers of centre will be due to their respective size and function.</w:t>
      </w:r>
    </w:p>
    <w:p w14:paraId="3D941B61" w14:textId="77777777" w:rsidR="003F7990" w:rsidRDefault="00D56573" w:rsidP="00E12887">
      <w:pPr>
        <w:pStyle w:val="Level1"/>
      </w:pPr>
      <w:r>
        <w:t xml:space="preserve">The extent of the four designated areas for each town centre is explained in Section 4 of this Study, although </w:t>
      </w:r>
      <w:r w:rsidR="00C1190F">
        <w:t>it should be noted that there has been a change in national policy towards ‘town centre’ designations in recent years.  The previous version of national policy which would have been used to inform the 2013 retail study and the preparation of the current Local Plan referred to the same four designations as have been adopted for Torquay, Paignton and Brixham town centres.</w:t>
      </w:r>
    </w:p>
    <w:p w14:paraId="724496F6" w14:textId="7BDF247A" w:rsidR="00640D2E" w:rsidRDefault="00C1190F" w:rsidP="00E12887">
      <w:pPr>
        <w:pStyle w:val="Level1"/>
      </w:pPr>
      <w:r>
        <w:t xml:space="preserve">However, the </w:t>
      </w:r>
      <w:r w:rsidR="003F7990">
        <w:t>recent changes to the NPPF have reduced the number of ‘town centre’ designations from four to two, with the two ‘frontage’ designations not being referred to in either the ‘town centres’ section of the NPPF or its Glossary.</w:t>
      </w:r>
    </w:p>
    <w:p w14:paraId="3A876238" w14:textId="6BE5EE0B" w:rsidR="003F7990" w:rsidRDefault="003F7990" w:rsidP="00E12887">
      <w:pPr>
        <w:pStyle w:val="Level1"/>
      </w:pPr>
      <w:r>
        <w:t xml:space="preserve">The reasoning behind these changes most likely </w:t>
      </w:r>
      <w:proofErr w:type="gramStart"/>
      <w:r>
        <w:t>lie</w:t>
      </w:r>
      <w:proofErr w:type="gramEnd"/>
      <w:r>
        <w:t xml:space="preserve"> in the changing nature of ‘town centres’ across the UK, including the land uses which are considered important to maintaining and enhancing their overall health, and how national planning policy reacts to these trends.  This national policy reaction </w:t>
      </w:r>
      <w:r w:rsidR="00B10BAD">
        <w:t xml:space="preserve">has come in two forms: first, changes in national planning policy in relation to the policy framework for ‘town centres; </w:t>
      </w:r>
      <w:proofErr w:type="gramStart"/>
      <w:r w:rsidR="00B10BAD">
        <w:t>and,</w:t>
      </w:r>
      <w:proofErr w:type="gramEnd"/>
      <w:r w:rsidR="00B10BAD">
        <w:t xml:space="preserve"> second, </w:t>
      </w:r>
      <w:r w:rsidR="000E5173">
        <w:t xml:space="preserve">changes in the use classes order and permitted development rights.  In relation to the latter, the details of which are described in Section 2 of this Study, </w:t>
      </w:r>
      <w:proofErr w:type="gramStart"/>
      <w:r w:rsidR="000E5173">
        <w:t>it is clear that these</w:t>
      </w:r>
      <w:proofErr w:type="gramEnd"/>
      <w:r w:rsidR="000E5173">
        <w:t xml:space="preserve"> changes required consequential amendments to national policy in order that the management of land uses and development proposals in ‘town centres’ </w:t>
      </w:r>
      <w:r w:rsidR="00B0008B">
        <w:t>takes into account the new classification of land uses and the widened flexibility available to certain types of retail and other main town centre uses.</w:t>
      </w:r>
    </w:p>
    <w:p w14:paraId="6EE9FE26" w14:textId="4DBD0E77" w:rsidR="00B0008B" w:rsidRDefault="0059197C" w:rsidP="00E12887">
      <w:pPr>
        <w:pStyle w:val="Level1"/>
      </w:pPr>
      <w:r>
        <w:lastRenderedPageBreak/>
        <w:t xml:space="preserve">With regards to </w:t>
      </w:r>
      <w:r w:rsidR="00AC0276">
        <w:t>the primary and secondary frontage definitions, whilst the formal requirement in the latest version of the NPPF has been removed, the NPPG does still refer to primary and secondary retail frontages.  It notes that:</w:t>
      </w:r>
    </w:p>
    <w:p w14:paraId="58F2A63B" w14:textId="196FF196" w:rsidR="00AC0276" w:rsidRDefault="00AC0276" w:rsidP="00AC0276">
      <w:pPr>
        <w:pStyle w:val="Level1"/>
        <w:numPr>
          <w:ilvl w:val="0"/>
          <w:numId w:val="0"/>
        </w:numPr>
        <w:ind w:left="1440"/>
      </w:pPr>
      <w:r w:rsidRPr="00AC0276">
        <w:rPr>
          <w:i/>
          <w:iCs/>
        </w:rPr>
        <w:t xml:space="preserve">“The </w:t>
      </w:r>
      <w:proofErr w:type="gramStart"/>
      <w:r w:rsidRPr="00AC0276">
        <w:rPr>
          <w:i/>
          <w:iCs/>
        </w:rPr>
        <w:t>key way</w:t>
      </w:r>
      <w:proofErr w:type="gramEnd"/>
      <w:r w:rsidRPr="00AC0276">
        <w:rPr>
          <w:i/>
          <w:iCs/>
        </w:rPr>
        <w:t xml:space="preserve"> to set out a vision and strategy for town centres is through the development plan and (if needed) supplementary planning documents. Planning policies are expected to define the extent of primary shopping areas. </w:t>
      </w:r>
      <w:r w:rsidRPr="00AC0276">
        <w:rPr>
          <w:i/>
          <w:iCs/>
          <w:u w:val="single"/>
        </w:rPr>
        <w:t xml:space="preserve">Authorities may, where appropriate, also wish to define primary and secondary retail frontages where their use can be justified in supporting the vitality and viability of </w:t>
      </w:r>
      <w:proofErr w:type="gramStart"/>
      <w:r w:rsidRPr="00AC0276">
        <w:rPr>
          <w:i/>
          <w:iCs/>
          <w:u w:val="single"/>
        </w:rPr>
        <w:t>particular centres</w:t>
      </w:r>
      <w:proofErr w:type="gramEnd"/>
      <w:r w:rsidRPr="00AC0276">
        <w:rPr>
          <w:i/>
          <w:iCs/>
          <w:u w:val="single"/>
        </w:rPr>
        <w:t>”</w:t>
      </w:r>
      <w:r w:rsidRPr="00AC0276">
        <w:rPr>
          <w:i/>
          <w:iCs/>
        </w:rPr>
        <w:t>.</w:t>
      </w:r>
      <w:r>
        <w:t xml:space="preserve">  [our emphasis]</w:t>
      </w:r>
    </w:p>
    <w:p w14:paraId="1BEEC148" w14:textId="02975CC4" w:rsidR="00AC0276" w:rsidRDefault="00AC0276" w:rsidP="00E12887">
      <w:pPr>
        <w:pStyle w:val="Level1"/>
      </w:pPr>
      <w:r>
        <w:t>Therefore, a key question for this Study is whether there is merit i</w:t>
      </w:r>
      <w:r w:rsidR="007A7B3E">
        <w:t xml:space="preserve">n retaining the primary and secondary frontages in the current development plan.  In order to answer that </w:t>
      </w:r>
      <w:proofErr w:type="gramStart"/>
      <w:r w:rsidR="007A7B3E">
        <w:t>question</w:t>
      </w:r>
      <w:proofErr w:type="gramEnd"/>
      <w:r w:rsidR="007A7B3E">
        <w:t xml:space="preserve"> we consider that the following factors are important:</w:t>
      </w:r>
    </w:p>
    <w:p w14:paraId="60150EEC" w14:textId="5A0CA067" w:rsidR="00C548F0" w:rsidRDefault="00C548F0" w:rsidP="00BA4375">
      <w:pPr>
        <w:pStyle w:val="Level1"/>
      </w:pPr>
      <w:r>
        <w:t>Current development plan policy regarding change of use proposals in town centres is contained in Policy TC4</w:t>
      </w:r>
      <w:r w:rsidR="00190F62">
        <w:t>.</w:t>
      </w:r>
      <w:r>
        <w:t xml:space="preserve">  It provides a differentiated approach to primary and secondary frontages, although the policy approach to primary frontages is no different to primary shopping areas.  </w:t>
      </w:r>
      <w:r w:rsidR="00BA4375">
        <w:t>TC4 notes that:</w:t>
      </w:r>
    </w:p>
    <w:p w14:paraId="2D4F13CC" w14:textId="31C9F058" w:rsidR="00BA4375" w:rsidRPr="00BA4375" w:rsidRDefault="00BA4375" w:rsidP="00BA4375">
      <w:pPr>
        <w:pStyle w:val="Level1"/>
        <w:numPr>
          <w:ilvl w:val="0"/>
          <w:numId w:val="0"/>
        </w:numPr>
        <w:ind w:left="1440"/>
        <w:rPr>
          <w:i/>
          <w:iCs/>
        </w:rPr>
      </w:pPr>
      <w:r w:rsidRPr="00BA4375">
        <w:rPr>
          <w:i/>
          <w:iCs/>
        </w:rPr>
        <w:t>“Within primary shopping areas and primary frontages, as defined in the Policies Map, premises should be predominantly Use Class A1 ‘retail’, although Use Class A2 ‘financial and professional services’ and Use Class A3 ‘restaurants and cafes’ will be permitted where they support the vitality or retail function of the area”.</w:t>
      </w:r>
    </w:p>
    <w:p w14:paraId="11C9C7AD" w14:textId="77777777" w:rsidR="00FC10D2" w:rsidRDefault="00FC10D2" w:rsidP="00BA4375">
      <w:pPr>
        <w:pStyle w:val="Level1"/>
      </w:pPr>
      <w:r>
        <w:t>With regards to the defined primary shopping areas and primary frontages in each of the three centres, it should be noted that:</w:t>
      </w:r>
    </w:p>
    <w:p w14:paraId="791B61C6" w14:textId="6A1DFB31" w:rsidR="00FC10D2" w:rsidRDefault="00FC10D2" w:rsidP="00FC10D2">
      <w:pPr>
        <w:pStyle w:val="ListBullet"/>
      </w:pPr>
      <w:r>
        <w:t xml:space="preserve">Torquay – </w:t>
      </w:r>
      <w:proofErr w:type="gramStart"/>
      <w:r w:rsidR="008322EB">
        <w:t>on the whole</w:t>
      </w:r>
      <w:proofErr w:type="gramEnd"/>
      <w:r w:rsidR="008322EB">
        <w:t xml:space="preserve">, the primary shopping area in Torquay town centre is </w:t>
      </w:r>
      <w:r>
        <w:t>the same</w:t>
      </w:r>
      <w:r w:rsidR="008322EB">
        <w:t xml:space="preserve"> as the primary frontage.  The only divergence is in relation to The Strand where, unusually, the primary frontage is not accompanied by a primary shopping area definition. </w:t>
      </w:r>
    </w:p>
    <w:p w14:paraId="1B3A75FF" w14:textId="77777777" w:rsidR="00FE3D7A" w:rsidRDefault="00FE3D7A" w:rsidP="00FE3D7A">
      <w:pPr>
        <w:pStyle w:val="ListBullet"/>
        <w:numPr>
          <w:ilvl w:val="0"/>
          <w:numId w:val="0"/>
        </w:numPr>
        <w:ind w:left="1077"/>
      </w:pPr>
    </w:p>
    <w:p w14:paraId="72DF89B8" w14:textId="5325C162" w:rsidR="008322EB" w:rsidRDefault="00FC10D2" w:rsidP="00DC119A">
      <w:pPr>
        <w:pStyle w:val="ListBullet"/>
      </w:pPr>
      <w:r>
        <w:t xml:space="preserve">Paignton – </w:t>
      </w:r>
      <w:r w:rsidR="008322EB">
        <w:t xml:space="preserve">the primary shopping area is significantly wider than the primary frontage, taking in </w:t>
      </w:r>
      <w:proofErr w:type="gramStart"/>
      <w:r w:rsidR="008322EB">
        <w:t>Crossways</w:t>
      </w:r>
      <w:proofErr w:type="gramEnd"/>
      <w:r w:rsidR="008322EB">
        <w:t xml:space="preserve"> shopping centre, part of Torquay Road, Torbay Road and the Victoria Centre.</w:t>
      </w:r>
    </w:p>
    <w:p w14:paraId="6A789BCC" w14:textId="77777777" w:rsidR="00FE3D7A" w:rsidRDefault="00FE3D7A" w:rsidP="00FE3D7A">
      <w:pPr>
        <w:pStyle w:val="ListBullet"/>
        <w:numPr>
          <w:ilvl w:val="0"/>
          <w:numId w:val="0"/>
        </w:numPr>
      </w:pPr>
    </w:p>
    <w:p w14:paraId="1ED6FFD0" w14:textId="651F50D1" w:rsidR="00BA4375" w:rsidRDefault="00FC10D2" w:rsidP="00DC119A">
      <w:pPr>
        <w:pStyle w:val="ListBullet"/>
      </w:pPr>
      <w:r>
        <w:t xml:space="preserve">Brixham – </w:t>
      </w:r>
      <w:r w:rsidR="008322EB">
        <w:t xml:space="preserve">the primary shopping area is </w:t>
      </w:r>
      <w:r>
        <w:t>slightly</w:t>
      </w:r>
      <w:r w:rsidR="008322EB">
        <w:t xml:space="preserve"> larger than the primary frontage, with the additional areas being small parts of Fore Street</w:t>
      </w:r>
      <w:r w:rsidR="00DD1AB5">
        <w:t>, Market Street and New Road.</w:t>
      </w:r>
    </w:p>
    <w:p w14:paraId="5913BBFA" w14:textId="718F518F" w:rsidR="00DD1AB5" w:rsidRDefault="00DD1AB5" w:rsidP="00BA4375">
      <w:pPr>
        <w:pStyle w:val="Level1"/>
      </w:pPr>
      <w:r>
        <w:t>Based upon the above, there is general consistency between how proposals in the primary frontage and primary shopping area in Torquay town centre are dealt with</w:t>
      </w:r>
      <w:r>
        <w:rPr>
          <w:rStyle w:val="FootnoteReference"/>
        </w:rPr>
        <w:footnoteReference w:id="40"/>
      </w:r>
      <w:r w:rsidR="00B777D6">
        <w:t>, although problems could arise in the other two town centres as the primary shopping area overlaps with part of the secondary frontage area (as each has a different approach to determining change of use proposals).</w:t>
      </w:r>
    </w:p>
    <w:p w14:paraId="2FCEECCC" w14:textId="77777777" w:rsidR="00A05B9A" w:rsidRDefault="00B777D6" w:rsidP="00BA4375">
      <w:pPr>
        <w:pStyle w:val="Level1"/>
      </w:pPr>
      <w:r>
        <w:t>However, leaving aside that inconsistency, which wo</w:t>
      </w:r>
      <w:r w:rsidR="00450A02">
        <w:t xml:space="preserve">uld have had to have been rectified in any event, there is an opportunity to consider whether a policy approach to the required primary shopping area boundary negates the need for a separate primary frontage definition.  </w:t>
      </w:r>
      <w:r w:rsidR="00A05B9A">
        <w:t xml:space="preserve">This, in turn, would help to address the issue raised by the NPPG as to whether separate frontage definitions are required to support the vitality or retail function of a centre.  </w:t>
      </w:r>
    </w:p>
    <w:p w14:paraId="2238BED5" w14:textId="7E5DE9EB" w:rsidR="00B777D6" w:rsidRDefault="00450A02" w:rsidP="00BA4375">
      <w:pPr>
        <w:pStyle w:val="Level1"/>
      </w:pPr>
      <w:r>
        <w:t xml:space="preserve">Historically, </w:t>
      </w:r>
      <w:r w:rsidR="009C027F">
        <w:t>separate frontage definitions were deemed to be required given the significant importance of retailing</w:t>
      </w:r>
      <w:r w:rsidR="009C027F">
        <w:rPr>
          <w:rStyle w:val="FootnoteReference"/>
        </w:rPr>
        <w:footnoteReference w:id="41"/>
      </w:r>
      <w:r w:rsidR="00BC741D">
        <w:t xml:space="preserve"> to the health and attractiveness of town centres.  This importance has, in our </w:t>
      </w:r>
      <w:r w:rsidR="00BC741D">
        <w:lastRenderedPageBreak/>
        <w:t xml:space="preserve">opinion, </w:t>
      </w:r>
      <w:r w:rsidR="00063864">
        <w:t>diminished in recent years to the extent that</w:t>
      </w:r>
      <w:r w:rsidR="00190F62">
        <w:t xml:space="preserve">, </w:t>
      </w:r>
      <w:r w:rsidR="00F51C85">
        <w:t>whilst they remain an important part of any town centre environment, they are now part of a broad</w:t>
      </w:r>
      <w:r w:rsidR="00190F62">
        <w:t>er</w:t>
      </w:r>
      <w:r w:rsidR="00F51C85">
        <w:t xml:space="preserve"> suite of land uses which are required to maintain and enhance town centre health.</w:t>
      </w:r>
      <w:r w:rsidR="00F2075D">
        <w:t xml:space="preserve">  Therefore, with the primary frontage areas very similar to the primary shopping areas, and both focusing upon retail land uses, it does not appear, in our opinion, to be necessary for a separate frontage definition to continue.  We consider that this approach should be adopted for each of the three main town centres.</w:t>
      </w:r>
    </w:p>
    <w:p w14:paraId="56F05564" w14:textId="0645EDBF" w:rsidR="00F2075D" w:rsidRPr="00FE3D7A" w:rsidRDefault="00372B82" w:rsidP="00BA4375">
      <w:pPr>
        <w:pStyle w:val="Level1"/>
      </w:pPr>
      <w:r>
        <w:t xml:space="preserve">With regards to the areas outside of the primary frontages and the primary shopping areas, Policy TC4 also provides a framework for assessing proposals in the secondary frontage areas and the wider town centre boundary.  The approach differs slightly but is not </w:t>
      </w:r>
      <w:r w:rsidR="00E42A1C">
        <w:t xml:space="preserve">fundamentally different, with: (A) a continued, but more flexible / looser focus on retail uses, whilst allowing a wider set of land uses to be provided which contribute positively to health and character of the centre.  In all three centres </w:t>
      </w:r>
      <w:r w:rsidR="00DC4CA9">
        <w:t xml:space="preserve">the town centre boundary is slightly wider than the extent of the secondary frontages, although the currently adopted </w:t>
      </w:r>
      <w:r w:rsidR="00CA3D56">
        <w:t xml:space="preserve">approach in the Local Plan does not suggest that a separate secondary frontage is necessarily required to support the health and retail function of any of the town centres.  Moreover, the available land use data does not suggest a fundamentally different character between these two areas, whilst it should also be reiterated that a wider set of land uses are now generally acknowledged to </w:t>
      </w:r>
      <w:r w:rsidR="00CA3D56" w:rsidRPr="00FE3D7A">
        <w:t xml:space="preserve">contribute towards town centre health, </w:t>
      </w:r>
      <w:proofErr w:type="gramStart"/>
      <w:r w:rsidR="00CA3D56" w:rsidRPr="00FE3D7A">
        <w:t>character</w:t>
      </w:r>
      <w:proofErr w:type="gramEnd"/>
      <w:r w:rsidR="00CA3D56" w:rsidRPr="00FE3D7A">
        <w:t xml:space="preserve"> and attractiveness.  </w:t>
      </w:r>
    </w:p>
    <w:p w14:paraId="7DCA7BAD" w14:textId="45E1427E" w:rsidR="007A7B3E" w:rsidRPr="00FE3D7A" w:rsidRDefault="00437C48" w:rsidP="00B4040E">
      <w:pPr>
        <w:pStyle w:val="Level1"/>
      </w:pPr>
      <w:r w:rsidRPr="00FE3D7A">
        <w:t xml:space="preserve">Therefore, </w:t>
      </w:r>
      <w:r w:rsidR="009573B4" w:rsidRPr="00FE3D7A">
        <w:t xml:space="preserve">we would recommend that </w:t>
      </w:r>
      <w:r w:rsidR="00051B43" w:rsidRPr="00FE3D7A">
        <w:t>the number of designations in each of the three main town centres in Torbay is reduced from four to two (town centre boundary and primary shopping area), with the following recommendations for each of the two remaining areas:</w:t>
      </w:r>
    </w:p>
    <w:p w14:paraId="6DC0A50D" w14:textId="4C6D143A" w:rsidR="00051B43" w:rsidRDefault="00051B43" w:rsidP="00051B43">
      <w:pPr>
        <w:pStyle w:val="ListBullet"/>
      </w:pPr>
      <w:r w:rsidRPr="00F72A75">
        <w:rPr>
          <w:u w:val="single"/>
        </w:rPr>
        <w:t>Torquay</w:t>
      </w:r>
      <w:r w:rsidRPr="00FE3D7A">
        <w:t>.</w:t>
      </w:r>
      <w:r w:rsidR="00D82353" w:rsidRPr="00FE3D7A">
        <w:t xml:space="preserve">  </w:t>
      </w:r>
      <w:r w:rsidR="0010206C">
        <w:t xml:space="preserve">We consider that Torquay’s town centre boundary remains reflective of the concentration of ‘main centre land uses’ </w:t>
      </w:r>
      <w:r w:rsidR="002146B9">
        <w:t xml:space="preserve">across the different character areas of the centre, ranging from the concentration of retail / shopping uses on Union Street, heading southwards along Fleet Street towards the seafront / harbour.  In relation to the primary shopping area, this is currently tightly </w:t>
      </w:r>
      <w:proofErr w:type="gramStart"/>
      <w:r w:rsidR="002146B9">
        <w:t>drawn</w:t>
      </w:r>
      <w:proofErr w:type="gramEnd"/>
      <w:r w:rsidR="002146B9">
        <w:t xml:space="preserve"> and it is notable that there are also, beyond the existing defined area, </w:t>
      </w:r>
      <w:r w:rsidR="008828E9">
        <w:t>a large number of retail uses along Fleet Street.  However, given the evolving function of the town centre, national trends in retail and service uses, along with the need to attract a wider mix of uses to underpin the health of Torquay town centre, we do not recommend any changes to the existing primary shopping area boundary.</w:t>
      </w:r>
      <w:r w:rsidR="002146B9">
        <w:t xml:space="preserve"> </w:t>
      </w:r>
    </w:p>
    <w:p w14:paraId="535F4703" w14:textId="77777777" w:rsidR="00FE3D7A" w:rsidRPr="00FE3D7A" w:rsidRDefault="00FE3D7A" w:rsidP="00FE3D7A">
      <w:pPr>
        <w:pStyle w:val="ListBullet"/>
        <w:numPr>
          <w:ilvl w:val="0"/>
          <w:numId w:val="0"/>
        </w:numPr>
        <w:ind w:left="1077"/>
      </w:pPr>
    </w:p>
    <w:p w14:paraId="4A8F1579" w14:textId="4B75A751" w:rsidR="00051B43" w:rsidRDefault="00051B43" w:rsidP="00051B43">
      <w:pPr>
        <w:pStyle w:val="ListBullet"/>
      </w:pPr>
      <w:r w:rsidRPr="000F54EF">
        <w:rPr>
          <w:u w:val="single"/>
        </w:rPr>
        <w:t>Paignton</w:t>
      </w:r>
      <w:r w:rsidRPr="00FE3D7A">
        <w:t>.</w:t>
      </w:r>
      <w:r w:rsidR="00380BB8" w:rsidRPr="00FE3D7A">
        <w:t xml:space="preserve"> </w:t>
      </w:r>
      <w:r w:rsidR="00FE3D7A">
        <w:t xml:space="preserve">We do not recommend any </w:t>
      </w:r>
      <w:r w:rsidR="00380BB8" w:rsidRPr="00FE3D7A">
        <w:t xml:space="preserve">change to </w:t>
      </w:r>
      <w:r w:rsidR="00FE3D7A">
        <w:t xml:space="preserve">the defined </w:t>
      </w:r>
      <w:r w:rsidR="00380BB8" w:rsidRPr="00FE3D7A">
        <w:t>town centre boundary</w:t>
      </w:r>
      <w:r w:rsidR="00FE3D7A">
        <w:t xml:space="preserve"> which, in our opinion, remains appropriate in terms of the extent of the collection and extent of ‘main town centre uses’.  However, we do recommend that TC consider a </w:t>
      </w:r>
      <w:r w:rsidR="00D82353" w:rsidRPr="00FE3D7A">
        <w:t xml:space="preserve">reduced </w:t>
      </w:r>
      <w:r w:rsidR="00FE3D7A">
        <w:t xml:space="preserve">primary shopping area in Paignton, which removes the following parts of the existing defined area: </w:t>
      </w:r>
      <w:r w:rsidR="00D82353" w:rsidRPr="00FE3D7A">
        <w:t>Torbay Road, Victoria Square, Palace Avenue and Crossways shopping centre.</w:t>
      </w:r>
      <w:r w:rsidR="00FE3D7A">
        <w:t xml:space="preserve">  In our opinion, whilst these areas clearly remain part of Paignton’s town centre, they have, or are, moving away from a primary shopping / retail role and, instead, into a wider set of land uses which </w:t>
      </w:r>
      <w:proofErr w:type="gramStart"/>
      <w:r w:rsidR="00FE3D7A">
        <w:t>are able to</w:t>
      </w:r>
      <w:proofErr w:type="gramEnd"/>
      <w:r w:rsidR="00FE3D7A">
        <w:t xml:space="preserve"> maintain and enhance the health of Paignton town centre.</w:t>
      </w:r>
    </w:p>
    <w:p w14:paraId="325DEAE8" w14:textId="77777777" w:rsidR="00FE3D7A" w:rsidRPr="00FE3D7A" w:rsidRDefault="00FE3D7A" w:rsidP="00FE3D7A">
      <w:pPr>
        <w:pStyle w:val="ListBullet"/>
        <w:numPr>
          <w:ilvl w:val="0"/>
          <w:numId w:val="0"/>
        </w:numPr>
      </w:pPr>
    </w:p>
    <w:p w14:paraId="5B70F2DA" w14:textId="74D06E82" w:rsidR="00051B43" w:rsidRDefault="00051B43" w:rsidP="00051B43">
      <w:pPr>
        <w:pStyle w:val="ListBullet"/>
      </w:pPr>
      <w:r w:rsidRPr="000F54EF">
        <w:rPr>
          <w:u w:val="single"/>
        </w:rPr>
        <w:t>Brixham</w:t>
      </w:r>
      <w:r w:rsidRPr="00FE3D7A">
        <w:t>.</w:t>
      </w:r>
      <w:r w:rsidR="00380BB8" w:rsidRPr="00FE3D7A">
        <w:t xml:space="preserve">  </w:t>
      </w:r>
      <w:r w:rsidR="000F54EF">
        <w:t xml:space="preserve">We do not recommend any </w:t>
      </w:r>
      <w:r w:rsidR="00380BB8" w:rsidRPr="00FE3D7A">
        <w:t xml:space="preserve">changes </w:t>
      </w:r>
      <w:r w:rsidR="000F54EF">
        <w:t xml:space="preserve">to </w:t>
      </w:r>
      <w:r w:rsidR="00380BB8" w:rsidRPr="00FE3D7A">
        <w:t>the existing primary shopping area and town centre boundaries in Brixham</w:t>
      </w:r>
      <w:r w:rsidR="000F54EF">
        <w:t>.  B</w:t>
      </w:r>
      <w:r w:rsidR="00380BB8" w:rsidRPr="00FE3D7A">
        <w:t>ased upon the current land use data, both provide an accurate reflection of their respective roles and functions.</w:t>
      </w:r>
    </w:p>
    <w:p w14:paraId="70311B80" w14:textId="77777777" w:rsidR="00816719" w:rsidRDefault="00816719" w:rsidP="00816719">
      <w:pPr>
        <w:pStyle w:val="ListParagraph"/>
      </w:pPr>
    </w:p>
    <w:p w14:paraId="7B2C5E78" w14:textId="5348B4F6" w:rsidR="00816719" w:rsidRDefault="008828E9" w:rsidP="00816719">
      <w:pPr>
        <w:pStyle w:val="Level1"/>
      </w:pPr>
      <w:r>
        <w:t xml:space="preserve">With regards to the three </w:t>
      </w:r>
      <w:r w:rsidR="00816719">
        <w:t>district centres</w:t>
      </w:r>
      <w:r>
        <w:t xml:space="preserve"> in Torbay, we have the following recommendations:</w:t>
      </w:r>
    </w:p>
    <w:p w14:paraId="62F42836" w14:textId="79A7B6FE" w:rsidR="005B3639" w:rsidRDefault="005B3639" w:rsidP="008828E9">
      <w:pPr>
        <w:pStyle w:val="ListBullet"/>
      </w:pPr>
      <w:r w:rsidRPr="005B3639">
        <w:rPr>
          <w:u w:val="single"/>
        </w:rPr>
        <w:t>General comments</w:t>
      </w:r>
      <w:r>
        <w:t xml:space="preserve">.  At the present time, each of the three district centres has just one designation: the overall centre boundary.  Given the scale of these centres, we do not consider that this situation should </w:t>
      </w:r>
      <w:proofErr w:type="gramStart"/>
      <w:r>
        <w:t>change</w:t>
      </w:r>
      <w:proofErr w:type="gramEnd"/>
      <w:r>
        <w:t xml:space="preserve"> and we would recommend that </w:t>
      </w:r>
      <w:r w:rsidR="00983CC8">
        <w:t xml:space="preserve">any updated strategy in a future </w:t>
      </w:r>
      <w:r w:rsidR="00983CC8">
        <w:lastRenderedPageBreak/>
        <w:t xml:space="preserve">development plan for Torbay makes it clear that the defined ‘town centre’ boundary for these centres </w:t>
      </w:r>
      <w:r w:rsidR="008F461A">
        <w:t>is the same as the primary shopping area for these centres.</w:t>
      </w:r>
      <w:r w:rsidR="00983CC8">
        <w:t xml:space="preserve"> </w:t>
      </w:r>
    </w:p>
    <w:p w14:paraId="3FA9EA54" w14:textId="358FA686" w:rsidR="005B3639" w:rsidRDefault="005B3639" w:rsidP="005B3639">
      <w:pPr>
        <w:pStyle w:val="ListBullet"/>
        <w:numPr>
          <w:ilvl w:val="0"/>
          <w:numId w:val="0"/>
        </w:numPr>
        <w:ind w:left="1077"/>
      </w:pPr>
      <w:r>
        <w:t xml:space="preserve"> </w:t>
      </w:r>
    </w:p>
    <w:p w14:paraId="27532998" w14:textId="5270EFE2" w:rsidR="008828E9" w:rsidRDefault="008828E9" w:rsidP="008828E9">
      <w:pPr>
        <w:pStyle w:val="ListBullet"/>
      </w:pPr>
      <w:r w:rsidRPr="008F461A">
        <w:rPr>
          <w:u w:val="single"/>
        </w:rPr>
        <w:t>St Marychurch</w:t>
      </w:r>
      <w:r>
        <w:t xml:space="preserve">.  </w:t>
      </w:r>
      <w:r w:rsidR="008F461A">
        <w:t>We consider that the existing defined boundary for St Marychurch remains appropriate in terms of the collection and extent of ‘main town centre’ land uses and, therefore, no amendments are recommended.</w:t>
      </w:r>
    </w:p>
    <w:p w14:paraId="5C2B4CB4" w14:textId="77777777" w:rsidR="008F461A" w:rsidRDefault="008F461A" w:rsidP="008F461A">
      <w:pPr>
        <w:pStyle w:val="ListBullet"/>
        <w:numPr>
          <w:ilvl w:val="0"/>
          <w:numId w:val="0"/>
        </w:numPr>
      </w:pPr>
    </w:p>
    <w:p w14:paraId="3BAC5BE5" w14:textId="1D11DF7A" w:rsidR="008828E9" w:rsidRDefault="008828E9" w:rsidP="008828E9">
      <w:pPr>
        <w:pStyle w:val="ListBullet"/>
      </w:pPr>
      <w:r w:rsidRPr="008F461A">
        <w:rPr>
          <w:u w:val="single"/>
        </w:rPr>
        <w:t>The Willows</w:t>
      </w:r>
      <w:r>
        <w:t>.</w:t>
      </w:r>
      <w:r w:rsidR="008F461A">
        <w:t xml:space="preserve">  Whilst a discussion over the general policy approach to The Willows district centre is contained later in this section, we consider that the existing boundary remains reflective of the concentration of retail uses in this area.  In addition, there is a reasonable case for amending the existing centre hierarchy to </w:t>
      </w:r>
      <w:r w:rsidR="00BC6704" w:rsidRPr="00091D25">
        <w:t xml:space="preserve">include the </w:t>
      </w:r>
      <w:r w:rsidR="00BC6704" w:rsidRPr="00B44051">
        <w:t>neighbourhood centre</w:t>
      </w:r>
      <w:r w:rsidR="00BC6704" w:rsidRPr="00091D25">
        <w:t xml:space="preserve"> at Condor</w:t>
      </w:r>
      <w:r w:rsidR="00BC6704">
        <w:t xml:space="preserve"> Drive as part of a widened district centre boundary.  This area is reasonably well integrated with the existing district centre boundary, although should TC take up our recommendation of amalgamating these two </w:t>
      </w:r>
      <w:proofErr w:type="gramStart"/>
      <w:r w:rsidR="00BC6704">
        <w:t>areas</w:t>
      </w:r>
      <w:proofErr w:type="gramEnd"/>
      <w:r w:rsidR="00BC6704">
        <w:t xml:space="preserve"> we would suggest that opportunities for better physical integration are explored.</w:t>
      </w:r>
    </w:p>
    <w:p w14:paraId="5743E7C8" w14:textId="77777777" w:rsidR="008F461A" w:rsidRDefault="008F461A" w:rsidP="008F461A">
      <w:pPr>
        <w:pStyle w:val="ListBullet"/>
        <w:numPr>
          <w:ilvl w:val="0"/>
          <w:numId w:val="0"/>
        </w:numPr>
      </w:pPr>
    </w:p>
    <w:p w14:paraId="54945391" w14:textId="07397D38" w:rsidR="008828E9" w:rsidRDefault="008828E9" w:rsidP="008828E9">
      <w:pPr>
        <w:pStyle w:val="ListBullet"/>
      </w:pPr>
      <w:r w:rsidRPr="00BC6704">
        <w:rPr>
          <w:u w:val="single"/>
        </w:rPr>
        <w:t>Preston</w:t>
      </w:r>
      <w:r>
        <w:t>.</w:t>
      </w:r>
      <w:r w:rsidR="00BC6704">
        <w:t xml:space="preserve">  We consider that the existing defined boundary for Preston remains appropriate in terms of the collection and extent of ‘main town centre’ land uses and, therefore, no amendments are recommended.</w:t>
      </w:r>
    </w:p>
    <w:p w14:paraId="73ABC9F5" w14:textId="77777777" w:rsidR="00BC6704" w:rsidRDefault="00BC6704" w:rsidP="00BC6704">
      <w:pPr>
        <w:pStyle w:val="ListParagraph"/>
      </w:pPr>
    </w:p>
    <w:p w14:paraId="582AA4FB" w14:textId="658C400A" w:rsidR="00640D2E" w:rsidRPr="00640D2E" w:rsidRDefault="00640D2E" w:rsidP="00640D2E">
      <w:pPr>
        <w:pStyle w:val="Level1"/>
        <w:numPr>
          <w:ilvl w:val="0"/>
          <w:numId w:val="0"/>
        </w:numPr>
        <w:ind w:left="720"/>
        <w:rPr>
          <w:rStyle w:val="Emphasis"/>
        </w:rPr>
      </w:pPr>
      <w:r>
        <w:rPr>
          <w:rStyle w:val="Emphasis"/>
        </w:rPr>
        <w:t>Planning Policies</w:t>
      </w:r>
    </w:p>
    <w:p w14:paraId="2051193F" w14:textId="40D3CAC8" w:rsidR="00640D2E" w:rsidRDefault="00BC6704" w:rsidP="00E12887">
      <w:pPr>
        <w:pStyle w:val="Level1"/>
      </w:pPr>
      <w:r>
        <w:t>Turning to the content of retail / town centre strategy and development management policies</w:t>
      </w:r>
      <w:r w:rsidR="005119AB">
        <w:t>, we have examined the content of the following policies in the current adopted Local Plan:</w:t>
      </w:r>
    </w:p>
    <w:p w14:paraId="3594E0A2" w14:textId="2B7A73A8" w:rsidR="006A1E71" w:rsidRDefault="00AD6A01" w:rsidP="005119AB">
      <w:pPr>
        <w:pStyle w:val="ListBullet"/>
      </w:pPr>
      <w:r w:rsidRPr="00181090">
        <w:rPr>
          <w:u w:val="single"/>
        </w:rPr>
        <w:t>TC1 – Town Centres</w:t>
      </w:r>
      <w:r>
        <w:t xml:space="preserve">.  This is the main existing strategic policy governing the approach to development in all ‘town centres’ across Torbay.  It explains the general ‘town centres’ first approach to development, along with the various strategies and aspirations for the defined centres.  It also explains the opportunities for new centres </w:t>
      </w:r>
      <w:r w:rsidR="00CB14C3">
        <w:t xml:space="preserve">to serve existing and growing local communities across Torbay.  Whilst TC may wish to consider wider strategy changes to the main ‘town centres’, we do not consider that </w:t>
      </w:r>
      <w:r w:rsidR="006A1E71">
        <w:t>the general approach, in terms of retail and other main town centre uses (including the support given to existing and new centres) needs to change.</w:t>
      </w:r>
    </w:p>
    <w:p w14:paraId="13B3AE7A" w14:textId="77777777" w:rsidR="006A1E71" w:rsidRDefault="006A1E71" w:rsidP="006A1E71">
      <w:pPr>
        <w:pStyle w:val="ListBullet"/>
        <w:numPr>
          <w:ilvl w:val="0"/>
          <w:numId w:val="0"/>
        </w:numPr>
        <w:ind w:left="1077"/>
      </w:pPr>
    </w:p>
    <w:p w14:paraId="209F0385" w14:textId="77777777" w:rsidR="00C4586A" w:rsidRDefault="006A1E71" w:rsidP="005119AB">
      <w:pPr>
        <w:pStyle w:val="ListBullet"/>
      </w:pPr>
      <w:r w:rsidRPr="00181090">
        <w:rPr>
          <w:u w:val="single"/>
        </w:rPr>
        <w:t xml:space="preserve">TC2 </w:t>
      </w:r>
      <w:r w:rsidR="000F2883" w:rsidRPr="00181090">
        <w:rPr>
          <w:u w:val="single"/>
        </w:rPr>
        <w:t>–</w:t>
      </w:r>
      <w:r w:rsidRPr="00181090">
        <w:rPr>
          <w:u w:val="single"/>
        </w:rPr>
        <w:t xml:space="preserve"> </w:t>
      </w:r>
      <w:r w:rsidR="000F2883" w:rsidRPr="00181090">
        <w:rPr>
          <w:u w:val="single"/>
        </w:rPr>
        <w:t>Retail Hierarchy</w:t>
      </w:r>
      <w:r w:rsidR="000F2883">
        <w:t xml:space="preserve">.  This existing policy </w:t>
      </w:r>
      <w:r w:rsidR="00C4586A">
        <w:t>outlines the four tiers of centres across Torbay which are the focus for retail development.  In relation to potential updates to Policy TC2 we have the following comments to make:</w:t>
      </w:r>
    </w:p>
    <w:p w14:paraId="51C705BC" w14:textId="333D397E" w:rsidR="00C4586A" w:rsidRDefault="00E56A93" w:rsidP="00C4586A">
      <w:pPr>
        <w:pStyle w:val="ListBullet"/>
        <w:numPr>
          <w:ilvl w:val="1"/>
          <w:numId w:val="5"/>
        </w:numPr>
      </w:pPr>
      <w:r>
        <w:t xml:space="preserve">The four tiers of centres.  We consider that the existing approach of defining four different tiers of ‘centre’ across Torbay is an appropriate response to the scale and distribution of existing retail, </w:t>
      </w:r>
      <w:proofErr w:type="gramStart"/>
      <w:r>
        <w:t>leisure</w:t>
      </w:r>
      <w:proofErr w:type="gramEnd"/>
      <w:r>
        <w:t xml:space="preserve"> and main town centre land use provision.  However, it should be noted that </w:t>
      </w:r>
      <w:r w:rsidR="001D5632">
        <w:t xml:space="preserve">the NPPF indicates that neighbourhood centres are not a formal ‘town centre’ for the purposes of applying retail / town centre planning policy.  Therefore, should TC wish to ensure that the health of </w:t>
      </w:r>
      <w:r w:rsidR="0065079D">
        <w:t xml:space="preserve">neighbourhood centres is protected via the ‘impact’ policy test, and it is also included in the sequential test, </w:t>
      </w:r>
      <w:r w:rsidR="001D5632">
        <w:t>we would</w:t>
      </w:r>
      <w:r w:rsidR="0065079D">
        <w:t xml:space="preserve"> strongly recommend that this is clarified in the text of the next development plan.</w:t>
      </w:r>
    </w:p>
    <w:p w14:paraId="5499319C" w14:textId="73B92312" w:rsidR="00E56A93" w:rsidRDefault="00E56A93" w:rsidP="00C4586A">
      <w:pPr>
        <w:pStyle w:val="ListBullet"/>
        <w:numPr>
          <w:ilvl w:val="1"/>
          <w:numId w:val="5"/>
        </w:numPr>
      </w:pPr>
      <w:r>
        <w:t>The land uses appropriate to the ‘centre’ hierarchy.</w:t>
      </w:r>
      <w:r w:rsidR="0065079D">
        <w:t xml:space="preserve">  At the present time, TC2 refers primarily to </w:t>
      </w:r>
      <w:r w:rsidR="00C64062">
        <w:t xml:space="preserve">retail uses.  This should, in our opinion, continue but we would recommend that the scope of this policy is widened to include other main town centre uses, </w:t>
      </w:r>
      <w:proofErr w:type="gramStart"/>
      <w:r w:rsidR="00C64062">
        <w:t>in order to</w:t>
      </w:r>
      <w:proofErr w:type="gramEnd"/>
      <w:r w:rsidR="00C64062">
        <w:t xml:space="preserve"> accord with the sequential test.</w:t>
      </w:r>
    </w:p>
    <w:p w14:paraId="5B33CFF1" w14:textId="77777777" w:rsidR="00C4586A" w:rsidRDefault="00C4586A" w:rsidP="00C4586A">
      <w:pPr>
        <w:pStyle w:val="ListParagraph"/>
      </w:pPr>
    </w:p>
    <w:p w14:paraId="1817346C" w14:textId="05E8A7ED" w:rsidR="005119AB" w:rsidRDefault="00C64062" w:rsidP="005119AB">
      <w:pPr>
        <w:pStyle w:val="ListBullet"/>
      </w:pPr>
      <w:r w:rsidRPr="00181090">
        <w:rPr>
          <w:u w:val="single"/>
        </w:rPr>
        <w:lastRenderedPageBreak/>
        <w:t>TC3 – Retail Development</w:t>
      </w:r>
      <w:r>
        <w:t xml:space="preserve">.  </w:t>
      </w:r>
      <w:r w:rsidR="00691629">
        <w:t xml:space="preserve">Policy TC3 is a wide-ranging policy which deals with </w:t>
      </w:r>
      <w:r w:rsidR="00FA5C51">
        <w:t xml:space="preserve">development proposals within </w:t>
      </w:r>
      <w:r w:rsidR="00754551">
        <w:t xml:space="preserve">and outside of defined ‘town </w:t>
      </w:r>
      <w:proofErr w:type="gramStart"/>
      <w:r w:rsidR="00754551">
        <w:t>centres’</w:t>
      </w:r>
      <w:proofErr w:type="gramEnd"/>
      <w:r w:rsidR="00754551">
        <w:t>.  In response to the content of the current policy, we would recommend the following:</w:t>
      </w:r>
    </w:p>
    <w:p w14:paraId="497EF049" w14:textId="77777777" w:rsidR="00181090" w:rsidRDefault="00181090" w:rsidP="00181090">
      <w:pPr>
        <w:pStyle w:val="ListBullet"/>
        <w:numPr>
          <w:ilvl w:val="0"/>
          <w:numId w:val="0"/>
        </w:numPr>
        <w:ind w:left="1077" w:hanging="357"/>
      </w:pPr>
    </w:p>
    <w:p w14:paraId="2DEDA9F0" w14:textId="0751CF11" w:rsidR="00754551" w:rsidRDefault="009A127F" w:rsidP="00754551">
      <w:pPr>
        <w:pStyle w:val="ListBullet"/>
        <w:numPr>
          <w:ilvl w:val="1"/>
          <w:numId w:val="5"/>
        </w:numPr>
      </w:pPr>
      <w:r>
        <w:t>We do not consider that any changes are required to parts (</w:t>
      </w:r>
      <w:r w:rsidR="00994565">
        <w:t>A</w:t>
      </w:r>
      <w:r>
        <w:t>)</w:t>
      </w:r>
      <w:r w:rsidR="00994565">
        <w:t xml:space="preserve"> and </w:t>
      </w:r>
      <w:r>
        <w:t>(</w:t>
      </w:r>
      <w:r w:rsidR="00994565">
        <w:t>B</w:t>
      </w:r>
      <w:r>
        <w:t xml:space="preserve">) of TC3 as they remain relevant in relation to </w:t>
      </w:r>
      <w:r w:rsidR="00713100">
        <w:t xml:space="preserve">the general approach to town centre development.  However, some consequential changes will be required </w:t>
      </w:r>
      <w:proofErr w:type="gramStart"/>
      <w:r w:rsidR="00713100">
        <w:t>in order to</w:t>
      </w:r>
      <w:proofErr w:type="gramEnd"/>
      <w:r w:rsidR="00713100">
        <w:t xml:space="preserve"> align TC3 with</w:t>
      </w:r>
      <w:r w:rsidR="004C5C0C">
        <w:t xml:space="preserve"> town centre and primary shopping area matters.  </w:t>
      </w:r>
      <w:r w:rsidR="00994565">
        <w:t xml:space="preserve"> </w:t>
      </w:r>
    </w:p>
    <w:p w14:paraId="055B6E33" w14:textId="159D6766" w:rsidR="00994565" w:rsidRDefault="004C5C0C" w:rsidP="00754551">
      <w:pPr>
        <w:pStyle w:val="ListBullet"/>
        <w:numPr>
          <w:ilvl w:val="1"/>
          <w:numId w:val="5"/>
        </w:numPr>
      </w:pPr>
      <w:r>
        <w:t xml:space="preserve">TC3 also outlines a bespoke policy approach to </w:t>
      </w:r>
      <w:r w:rsidR="00994565">
        <w:t>The Willows</w:t>
      </w:r>
      <w:r>
        <w:t xml:space="preserve"> district centre.  This approach is now long-established and </w:t>
      </w:r>
      <w:r w:rsidR="00852B19">
        <w:t>acknowledges the individual nature of this centre and, subject to the comments below, we recommend that this individual approach is maintained.</w:t>
      </w:r>
    </w:p>
    <w:p w14:paraId="0BC9CBA5" w14:textId="09450D99" w:rsidR="00690D4D" w:rsidRDefault="00852B19" w:rsidP="00754551">
      <w:pPr>
        <w:pStyle w:val="ListBullet"/>
        <w:numPr>
          <w:ilvl w:val="1"/>
          <w:numId w:val="5"/>
        </w:numPr>
      </w:pPr>
      <w:r>
        <w:t xml:space="preserve">With regards to Part (D) of TC3, </w:t>
      </w:r>
      <w:r w:rsidR="00F86F2F">
        <w:t xml:space="preserve">we recommend that this should </w:t>
      </w:r>
      <w:r w:rsidR="00690D4D">
        <w:t xml:space="preserve">be refined and </w:t>
      </w:r>
      <w:r w:rsidR="00F86F2F">
        <w:t>apply to</w:t>
      </w:r>
      <w:r w:rsidR="00690D4D">
        <w:t>: (A) all main town centre land uses</w:t>
      </w:r>
      <w:r w:rsidR="00690D4D">
        <w:rPr>
          <w:rStyle w:val="FootnoteReference"/>
        </w:rPr>
        <w:footnoteReference w:id="42"/>
      </w:r>
      <w:r w:rsidR="00690D4D">
        <w:t xml:space="preserve"> for the sequential test; and (B) retail and leisure uses for the impact test.  In relation to the assessment of ‘impact’:</w:t>
      </w:r>
    </w:p>
    <w:p w14:paraId="3927673F" w14:textId="77777777" w:rsidR="003E35C8" w:rsidRDefault="003E35C8" w:rsidP="003E35C8">
      <w:pPr>
        <w:pStyle w:val="ListBullet"/>
        <w:numPr>
          <w:ilvl w:val="0"/>
          <w:numId w:val="0"/>
        </w:numPr>
        <w:ind w:left="1440"/>
      </w:pPr>
    </w:p>
    <w:p w14:paraId="30DFB862" w14:textId="63312BA5" w:rsidR="00690D4D" w:rsidRDefault="000206D5" w:rsidP="00690D4D">
      <w:pPr>
        <w:pStyle w:val="ListBullet"/>
        <w:numPr>
          <w:ilvl w:val="2"/>
          <w:numId w:val="5"/>
        </w:numPr>
      </w:pPr>
      <w:r>
        <w:t xml:space="preserve">the updated policy should </w:t>
      </w:r>
      <w:r w:rsidR="00A87283">
        <w:t xml:space="preserve">apply to retail and leisure </w:t>
      </w:r>
      <w:r w:rsidR="00BF2501">
        <w:t>proposals only</w:t>
      </w:r>
      <w:r>
        <w:t xml:space="preserve"> in terms of the ‘impact’ </w:t>
      </w:r>
      <w:proofErr w:type="gramStart"/>
      <w:r>
        <w:t>test;</w:t>
      </w:r>
      <w:proofErr w:type="gramEnd"/>
    </w:p>
    <w:p w14:paraId="6645E354" w14:textId="50CF4DD9" w:rsidR="00BF2501" w:rsidRDefault="002918E2" w:rsidP="00690D4D">
      <w:pPr>
        <w:pStyle w:val="ListBullet"/>
        <w:numPr>
          <w:ilvl w:val="2"/>
          <w:numId w:val="5"/>
        </w:numPr>
      </w:pPr>
      <w:r>
        <w:t xml:space="preserve">the updated policy should, when referring to </w:t>
      </w:r>
      <w:r w:rsidR="00A2134B">
        <w:t>impact assessments, require an assessment which considers both impact on</w:t>
      </w:r>
      <w:r w:rsidR="000206D5">
        <w:t xml:space="preserve"> </w:t>
      </w:r>
      <w:r w:rsidR="00A2134B">
        <w:t xml:space="preserve">vitality and viability and also impact on town centre </w:t>
      </w:r>
      <w:proofErr w:type="gramStart"/>
      <w:r w:rsidR="00BF2501">
        <w:t>investment</w:t>
      </w:r>
      <w:r w:rsidR="00A2134B">
        <w:t>;</w:t>
      </w:r>
      <w:proofErr w:type="gramEnd"/>
    </w:p>
    <w:p w14:paraId="3DB95991" w14:textId="39851607" w:rsidR="00BF2501" w:rsidRDefault="00A2134B" w:rsidP="00690D4D">
      <w:pPr>
        <w:pStyle w:val="ListBullet"/>
        <w:numPr>
          <w:ilvl w:val="2"/>
          <w:numId w:val="5"/>
        </w:numPr>
      </w:pPr>
      <w:r>
        <w:t xml:space="preserve">any updated version of Policy TC3 should continue to </w:t>
      </w:r>
      <w:r w:rsidR="00FA2F6A">
        <w:t xml:space="preserve">refer to the need for </w:t>
      </w:r>
      <w:r w:rsidR="00BF2501">
        <w:t>cumulative impact</w:t>
      </w:r>
      <w:r w:rsidR="00FA2F6A">
        <w:t xml:space="preserve"> assessments in appropriate circumstances</w:t>
      </w:r>
      <w:r w:rsidR="00FA2F6A">
        <w:rPr>
          <w:rStyle w:val="FootnoteReference"/>
        </w:rPr>
        <w:footnoteReference w:id="43"/>
      </w:r>
      <w:r w:rsidR="00FA2F6A">
        <w:t>; and</w:t>
      </w:r>
    </w:p>
    <w:p w14:paraId="3E51A953" w14:textId="2FF2AE4B" w:rsidR="00BF2501" w:rsidRDefault="0048157A" w:rsidP="00690D4D">
      <w:pPr>
        <w:pStyle w:val="ListBullet"/>
        <w:numPr>
          <w:ilvl w:val="2"/>
          <w:numId w:val="5"/>
        </w:numPr>
      </w:pPr>
      <w:r>
        <w:t xml:space="preserve">any updated version of TC3 should continue to refer to a </w:t>
      </w:r>
      <w:proofErr w:type="gramStart"/>
      <w:r>
        <w:t>locally-set</w:t>
      </w:r>
      <w:proofErr w:type="gramEnd"/>
      <w:r>
        <w:t xml:space="preserve"> </w:t>
      </w:r>
      <w:r w:rsidR="00BF2501">
        <w:t xml:space="preserve">impact </w:t>
      </w:r>
      <w:r>
        <w:t xml:space="preserve">assessment </w:t>
      </w:r>
      <w:r w:rsidR="00BF2501">
        <w:t>threshold</w:t>
      </w:r>
      <w:r>
        <w:t>, the details of which are discussed later in this section.</w:t>
      </w:r>
    </w:p>
    <w:p w14:paraId="341CD969" w14:textId="78966FF3" w:rsidR="00994565" w:rsidRDefault="00994565" w:rsidP="00BF2501">
      <w:pPr>
        <w:pStyle w:val="ListBullet"/>
        <w:numPr>
          <w:ilvl w:val="0"/>
          <w:numId w:val="0"/>
        </w:numPr>
        <w:ind w:left="1797"/>
      </w:pPr>
      <w:r>
        <w:t xml:space="preserve"> </w:t>
      </w:r>
    </w:p>
    <w:p w14:paraId="69F8C50D" w14:textId="043C2431" w:rsidR="00C64062" w:rsidRDefault="009A127F" w:rsidP="005119AB">
      <w:pPr>
        <w:pStyle w:val="ListBullet"/>
      </w:pPr>
      <w:r w:rsidRPr="00DC615B">
        <w:rPr>
          <w:u w:val="single"/>
        </w:rPr>
        <w:t xml:space="preserve">TC4 </w:t>
      </w:r>
      <w:r w:rsidR="00E0230B" w:rsidRPr="00DC615B">
        <w:rPr>
          <w:u w:val="single"/>
        </w:rPr>
        <w:t>–</w:t>
      </w:r>
      <w:r w:rsidRPr="00DC615B">
        <w:rPr>
          <w:u w:val="single"/>
        </w:rPr>
        <w:t xml:space="preserve"> </w:t>
      </w:r>
      <w:r w:rsidR="00E0230B" w:rsidRPr="00DC615B">
        <w:rPr>
          <w:u w:val="single"/>
        </w:rPr>
        <w:t>change of use</w:t>
      </w:r>
      <w:r w:rsidR="00E0230B">
        <w:t xml:space="preserve">.  </w:t>
      </w:r>
      <w:r w:rsidR="0048157A">
        <w:t xml:space="preserve">In order that </w:t>
      </w:r>
      <w:r w:rsidR="001707DF">
        <w:t xml:space="preserve">the content of any updated version of Policy TC4 conforms to our recommended changes to the various ‘town centre’ boundary designations, </w:t>
      </w:r>
      <w:r w:rsidR="00AE091C">
        <w:t xml:space="preserve">we recommend that the following principles should be followed: </w:t>
      </w:r>
      <w:r w:rsidR="00E0230B">
        <w:t xml:space="preserve"> </w:t>
      </w:r>
    </w:p>
    <w:p w14:paraId="12453037" w14:textId="77777777" w:rsidR="00DC615B" w:rsidRDefault="00DC615B" w:rsidP="00DC615B">
      <w:pPr>
        <w:pStyle w:val="ListBullet"/>
        <w:numPr>
          <w:ilvl w:val="0"/>
          <w:numId w:val="0"/>
        </w:numPr>
        <w:ind w:left="1077"/>
      </w:pPr>
    </w:p>
    <w:p w14:paraId="1C9B3ACB" w14:textId="3437500E" w:rsidR="00AE091C" w:rsidRDefault="00A42D33" w:rsidP="00AE091C">
      <w:pPr>
        <w:pStyle w:val="ListBullet"/>
        <w:numPr>
          <w:ilvl w:val="1"/>
          <w:numId w:val="5"/>
        </w:numPr>
      </w:pPr>
      <w:r>
        <w:t xml:space="preserve">the policy will need to be re-organised </w:t>
      </w:r>
      <w:proofErr w:type="gramStart"/>
      <w:r>
        <w:t>in order to</w:t>
      </w:r>
      <w:proofErr w:type="gramEnd"/>
      <w:r>
        <w:t xml:space="preserve"> provide </w:t>
      </w:r>
      <w:r w:rsidR="004B6538">
        <w:t xml:space="preserve">a </w:t>
      </w:r>
      <w:r>
        <w:t xml:space="preserve">specific </w:t>
      </w:r>
      <w:r w:rsidR="004B6538">
        <w:t xml:space="preserve">and individual approach to proposals in the defined </w:t>
      </w:r>
      <w:r w:rsidR="00AE091C">
        <w:t xml:space="preserve">town centre and primary shopping area </w:t>
      </w:r>
      <w:r w:rsidR="004B6538">
        <w:t xml:space="preserve">boundaries.  In addition, any update to TC4 should also continue to deal with: (A) not just retail and leisure proposals in the town centre and primary shopping areas, but also </w:t>
      </w:r>
      <w:r w:rsidR="003E35C8">
        <w:t>other main town centre uses and residential uses (</w:t>
      </w:r>
      <w:proofErr w:type="gramStart"/>
      <w:r w:rsidR="003E35C8">
        <w:t>in light of</w:t>
      </w:r>
      <w:proofErr w:type="gramEnd"/>
      <w:r w:rsidR="003E35C8">
        <w:t xml:space="preserve"> the changes to the use classes order and permitted development rights); and (B) proposals for </w:t>
      </w:r>
      <w:r w:rsidR="00A64DDA">
        <w:t xml:space="preserve">the change of use of </w:t>
      </w:r>
      <w:r w:rsidR="003E35C8">
        <w:t>local / village shops</w:t>
      </w:r>
      <w:r w:rsidR="00A64DDA">
        <w:t xml:space="preserve"> (including how they should be protected).</w:t>
      </w:r>
    </w:p>
    <w:p w14:paraId="495401E9" w14:textId="77777777" w:rsidR="00DC615B" w:rsidRDefault="00DC615B" w:rsidP="00DC615B">
      <w:pPr>
        <w:pStyle w:val="ListBullet"/>
        <w:numPr>
          <w:ilvl w:val="0"/>
          <w:numId w:val="0"/>
        </w:numPr>
        <w:ind w:left="1440"/>
      </w:pPr>
    </w:p>
    <w:p w14:paraId="3DD0A4F8" w14:textId="405BB1C5" w:rsidR="00036818" w:rsidRDefault="000363D5" w:rsidP="0064612A">
      <w:pPr>
        <w:pStyle w:val="ListBullet"/>
        <w:numPr>
          <w:ilvl w:val="1"/>
          <w:numId w:val="5"/>
        </w:numPr>
      </w:pPr>
      <w:r>
        <w:t xml:space="preserve">the update to TC4 should provide a specific criteria-based approach to change of use and development proposals in the defined </w:t>
      </w:r>
      <w:r w:rsidR="00AE091C">
        <w:t>primary shopping area</w:t>
      </w:r>
      <w:r>
        <w:t>s in each of the three main town centres (Torquay, Brixham and Paignton).</w:t>
      </w:r>
      <w:r w:rsidR="004B6538">
        <w:t xml:space="preserve"> </w:t>
      </w:r>
      <w:r>
        <w:t xml:space="preserve">The policy should continue the </w:t>
      </w:r>
      <w:r w:rsidR="00EC1532">
        <w:t xml:space="preserve">qualitative (rather than quantitative) approach to </w:t>
      </w:r>
      <w:r w:rsidR="009675A3">
        <w:t>assessing proposa</w:t>
      </w:r>
      <w:r w:rsidR="00E16440">
        <w:t xml:space="preserve">ls and we recommend that the following factors are </w:t>
      </w:r>
      <w:proofErr w:type="gramStart"/>
      <w:r w:rsidR="00E16440">
        <w:t>taken into account</w:t>
      </w:r>
      <w:proofErr w:type="gramEnd"/>
      <w:r w:rsidR="00E16440">
        <w:t>:</w:t>
      </w:r>
    </w:p>
    <w:p w14:paraId="18BFA0CB" w14:textId="77777777" w:rsidR="0064612A" w:rsidRDefault="0064612A" w:rsidP="0064612A">
      <w:pPr>
        <w:pStyle w:val="ListBullet"/>
        <w:numPr>
          <w:ilvl w:val="0"/>
          <w:numId w:val="0"/>
        </w:numPr>
      </w:pPr>
    </w:p>
    <w:p w14:paraId="5A79D3F1" w14:textId="59AA339E" w:rsidR="00036818" w:rsidRDefault="00E16440" w:rsidP="00036818">
      <w:pPr>
        <w:pStyle w:val="ListBullet"/>
        <w:numPr>
          <w:ilvl w:val="2"/>
          <w:numId w:val="5"/>
        </w:numPr>
      </w:pPr>
      <w:r>
        <w:t>Class E(a) retail floorspace is to be, in principle, supported as it conforms to the current definition of primary shopping areas in the NPPF</w:t>
      </w:r>
      <w:r w:rsidR="00036818">
        <w:t xml:space="preserve">, and the text of TC4 will need to be amended to remove reference to Class A1 uses. </w:t>
      </w:r>
    </w:p>
    <w:p w14:paraId="6D3854A9" w14:textId="7F9CA118" w:rsidR="00AE091C" w:rsidRDefault="00036818" w:rsidP="00036818">
      <w:pPr>
        <w:pStyle w:val="ListBullet"/>
        <w:numPr>
          <w:ilvl w:val="2"/>
          <w:numId w:val="5"/>
        </w:numPr>
      </w:pPr>
      <w:r>
        <w:lastRenderedPageBreak/>
        <w:t>T</w:t>
      </w:r>
      <w:r w:rsidR="00E16440">
        <w:t xml:space="preserve">here should not be any ‘in principle’ reason to resist any other </w:t>
      </w:r>
      <w:proofErr w:type="gramStart"/>
      <w:r w:rsidR="00E16440">
        <w:t>sub categories</w:t>
      </w:r>
      <w:proofErr w:type="gramEnd"/>
      <w:r w:rsidR="00E16440">
        <w:t xml:space="preserve"> of Class E land use</w:t>
      </w:r>
      <w:r w:rsidR="005F63B0">
        <w:rPr>
          <w:rStyle w:val="FootnoteReference"/>
        </w:rPr>
        <w:footnoteReference w:id="44"/>
      </w:r>
      <w:r w:rsidR="00E16440">
        <w:t xml:space="preserve">, although </w:t>
      </w:r>
      <w:r w:rsidR="005F63B0">
        <w:t xml:space="preserve">it will be important to ensure that </w:t>
      </w:r>
      <w:r w:rsidR="00D03C3B">
        <w:t xml:space="preserve">proposals within the new Class E category contribute in a positive manner to the health, vitality and attractiveness of the town centre they are located within.  This will include </w:t>
      </w:r>
      <w:r w:rsidR="00FC0AF0">
        <w:t xml:space="preserve">the visual appearance of the proposal, its opening hours, plus its contribution to attracting residents and visitors/tourists to the town centre.  </w:t>
      </w:r>
      <w:proofErr w:type="gramStart"/>
      <w:r>
        <w:t>As a consequence</w:t>
      </w:r>
      <w:proofErr w:type="gramEnd"/>
      <w:r>
        <w:t>, the current references to A2 and A3 use in Policy TC4 will need to be replaced with references to Class E.</w:t>
      </w:r>
    </w:p>
    <w:p w14:paraId="36DD18C5" w14:textId="1618473E" w:rsidR="00036818" w:rsidRDefault="00036818" w:rsidP="00036818">
      <w:pPr>
        <w:pStyle w:val="ListBullet"/>
        <w:numPr>
          <w:ilvl w:val="2"/>
          <w:numId w:val="5"/>
        </w:numPr>
      </w:pPr>
      <w:r>
        <w:t xml:space="preserve">TC4 should also be updated and expanded to </w:t>
      </w:r>
      <w:r w:rsidR="00BE2FB4">
        <w:t xml:space="preserve">deal with the prospect of non-Class E proposals in the primary shopping areas. </w:t>
      </w:r>
      <w:r w:rsidR="005E5982">
        <w:t>On this issue, it would appear sensible to continue with the hierarchy based approach in TC4 whereby</w:t>
      </w:r>
      <w:r w:rsidR="00683B9A">
        <w:t xml:space="preserve"> the order of preference is</w:t>
      </w:r>
      <w:r w:rsidR="005E5982">
        <w:t xml:space="preserve">: (A) retail </w:t>
      </w:r>
      <w:r w:rsidR="00B8007A">
        <w:t xml:space="preserve">uses remain the first choice use in primary </w:t>
      </w:r>
      <w:r w:rsidR="000620D6">
        <w:t xml:space="preserve">shopping areas; (B) </w:t>
      </w:r>
      <w:r w:rsidR="00683B9A">
        <w:t xml:space="preserve">second, </w:t>
      </w:r>
      <w:r w:rsidR="000620D6">
        <w:t xml:space="preserve">Class E uses </w:t>
      </w:r>
      <w:r w:rsidR="00683B9A">
        <w:t>are also to be conditionally supported; and (C) third, and finally, other land uses will be assessed in a similar manner to the approach already contained in Policy TC4 in terms of their effect upon the character of the primary shopping area and its role as the preferred location for retail and other Class E uses</w:t>
      </w:r>
      <w:r w:rsidR="00683B9A">
        <w:rPr>
          <w:rStyle w:val="FootnoteReference"/>
        </w:rPr>
        <w:footnoteReference w:id="45"/>
      </w:r>
      <w:r w:rsidR="00683B9A">
        <w:t>.</w:t>
      </w:r>
    </w:p>
    <w:p w14:paraId="68B68A0E" w14:textId="77777777" w:rsidR="00DC615B" w:rsidRDefault="00DC615B" w:rsidP="00DC615B">
      <w:pPr>
        <w:pStyle w:val="ListBullet"/>
        <w:numPr>
          <w:ilvl w:val="0"/>
          <w:numId w:val="0"/>
        </w:numPr>
      </w:pPr>
    </w:p>
    <w:p w14:paraId="5BACC623" w14:textId="1C71CB3A" w:rsidR="00AE091C" w:rsidRDefault="002F3A2E" w:rsidP="00AE091C">
      <w:pPr>
        <w:pStyle w:val="ListBullet"/>
        <w:numPr>
          <w:ilvl w:val="1"/>
          <w:numId w:val="5"/>
        </w:numPr>
      </w:pPr>
      <w:r>
        <w:t xml:space="preserve">The updated version of Policy TC 4 should also deal with change of use and other development proposals </w:t>
      </w:r>
      <w:r w:rsidR="005138A4">
        <w:t xml:space="preserve">within the defined </w:t>
      </w:r>
      <w:r w:rsidR="00AE091C">
        <w:t>town centre</w:t>
      </w:r>
      <w:r w:rsidR="005138A4">
        <w:t xml:space="preserve"> boundaries but outside of the defined primary shopping areas.  </w:t>
      </w:r>
      <w:r w:rsidR="00815AAC">
        <w:t>In line with the general theme contained within the existing version of Policy TC4</w:t>
      </w:r>
      <w:r w:rsidR="00156F4F">
        <w:t xml:space="preserve">, the approach to the acceptability of land uses will be more relaxed than the primary shopping areas although the general themes should stay the same, albeit with references to retail swapped for references to Class E uses.  For example, </w:t>
      </w:r>
      <w:r w:rsidR="003870C9">
        <w:t xml:space="preserve">the updated policy should ensure that proposals: (A) do not undermine the vitality, </w:t>
      </w:r>
      <w:proofErr w:type="gramStart"/>
      <w:r w:rsidR="003870C9">
        <w:t>viability</w:t>
      </w:r>
      <w:proofErr w:type="gramEnd"/>
      <w:r w:rsidR="003870C9">
        <w:t xml:space="preserve"> and character of the town centre; (B) cause unacceptable fragmentation of retail / Class E uses in the town centre; (C) result in over dominance of non-Class E uses; and (D) </w:t>
      </w:r>
      <w:r w:rsidR="00140D4A">
        <w:t>contribute to town centre vitality and provide active ground floor frontages.</w:t>
      </w:r>
    </w:p>
    <w:p w14:paraId="0CD264BA" w14:textId="77777777" w:rsidR="005138A4" w:rsidRDefault="005138A4" w:rsidP="005138A4">
      <w:pPr>
        <w:pStyle w:val="ListBullet"/>
        <w:numPr>
          <w:ilvl w:val="0"/>
          <w:numId w:val="0"/>
        </w:numPr>
        <w:ind w:left="1440"/>
      </w:pPr>
    </w:p>
    <w:p w14:paraId="0A80C64B" w14:textId="1D0D1B22" w:rsidR="005138A4" w:rsidRDefault="00140D4A" w:rsidP="00AE091C">
      <w:pPr>
        <w:pStyle w:val="ListBullet"/>
        <w:numPr>
          <w:ilvl w:val="1"/>
          <w:numId w:val="5"/>
        </w:numPr>
      </w:pPr>
      <w:r>
        <w:t xml:space="preserve">The updated version of Policy TC4 should also deal with proposals within </w:t>
      </w:r>
      <w:r w:rsidR="005138A4">
        <w:t xml:space="preserve">other </w:t>
      </w:r>
      <w:r>
        <w:t xml:space="preserve">‘town </w:t>
      </w:r>
      <w:r w:rsidR="005138A4">
        <w:t>centres</w:t>
      </w:r>
      <w:r>
        <w:t>’ in the defined hierarchy – i.e.</w:t>
      </w:r>
      <w:r w:rsidR="005138A4">
        <w:t xml:space="preserve"> – district</w:t>
      </w:r>
      <w:r>
        <w:t>,</w:t>
      </w:r>
      <w:r w:rsidR="005138A4">
        <w:t xml:space="preserve"> local </w:t>
      </w:r>
      <w:r>
        <w:t>and neighbourhood centres.  As recommended earlier in this section these centres should only posse</w:t>
      </w:r>
      <w:r w:rsidR="002A74BC">
        <w:t>s</w:t>
      </w:r>
      <w:r>
        <w:t>s one boundary definition</w:t>
      </w:r>
      <w:r w:rsidR="002A74BC">
        <w:t xml:space="preserve"> and the general approach to these centres should be the same as outline above for the three main town centres</w:t>
      </w:r>
      <w:r w:rsidR="002A74BC">
        <w:rPr>
          <w:rStyle w:val="FootnoteReference"/>
        </w:rPr>
        <w:footnoteReference w:id="46"/>
      </w:r>
      <w:r w:rsidR="002A74BC">
        <w:t>.</w:t>
      </w:r>
    </w:p>
    <w:p w14:paraId="00B8F369" w14:textId="77777777" w:rsidR="00C64062" w:rsidRDefault="00C64062" w:rsidP="00C64062">
      <w:pPr>
        <w:pStyle w:val="ListBullet"/>
        <w:numPr>
          <w:ilvl w:val="0"/>
          <w:numId w:val="0"/>
        </w:numPr>
        <w:ind w:left="1077" w:hanging="357"/>
      </w:pPr>
    </w:p>
    <w:p w14:paraId="0B204A35" w14:textId="77777777" w:rsidR="0064612A" w:rsidRDefault="00AE091C" w:rsidP="00E12887">
      <w:pPr>
        <w:pStyle w:val="Level1"/>
      </w:pPr>
      <w:r>
        <w:t xml:space="preserve">As noted above, Policy TC3 </w:t>
      </w:r>
      <w:r w:rsidR="00181FCB">
        <w:t xml:space="preserve">provides a bespoke approach to </w:t>
      </w:r>
      <w:r w:rsidR="00FA5C51">
        <w:t>The Willows</w:t>
      </w:r>
      <w:r w:rsidR="00181FCB">
        <w:t xml:space="preserve"> district centre.  This ‘town centre’ is in the formal hierarchy but the existing policy requires retail proposals within the centre to be assessed against the sequential and impact tests.  This approach has a long history and is based upon the considerable influence which The Willows has on local convenience and </w:t>
      </w:r>
      <w:proofErr w:type="gramStart"/>
      <w:r w:rsidR="00181FCB">
        <w:t>comparison goods shopping</w:t>
      </w:r>
      <w:proofErr w:type="gramEnd"/>
      <w:r w:rsidR="00181FCB">
        <w:t xml:space="preserve"> patterns and historical impact that it has had on Torquay town centre over the past two decades.  </w:t>
      </w:r>
    </w:p>
    <w:p w14:paraId="7CB67424" w14:textId="2B91957B" w:rsidR="00640D2E" w:rsidRDefault="00181FCB" w:rsidP="00E12887">
      <w:pPr>
        <w:pStyle w:val="Level1"/>
      </w:pPr>
      <w:r>
        <w:t>In our opinion, this existing approach should remain in place as, whilst the turnover of the centre has decreased in recent years due to the opening of the out of centre ASDA supermarket in Torquay</w:t>
      </w:r>
      <w:r w:rsidR="00F82C4B">
        <w:t>, it now has the largest convenience / comparison turnover of any single retail destination in Torbay which means that it continues to play a disproportionate role in retailing in the local area.</w:t>
      </w:r>
      <w:r w:rsidR="007430D0">
        <w:t xml:space="preserve">  Given the current role and function of The Willows, we would recommend that, in line with the current policy, </w:t>
      </w:r>
      <w:r w:rsidR="007430D0">
        <w:lastRenderedPageBreak/>
        <w:t xml:space="preserve">the sequential approach concentrates upon assessing the suitability and availability of alternatives in the three higher order town centres </w:t>
      </w:r>
      <w:r w:rsidR="00A049C1">
        <w:t xml:space="preserve">for main town centre land uses proposals, </w:t>
      </w:r>
      <w:r w:rsidR="007430D0">
        <w:t xml:space="preserve">and it follows the same approach to </w:t>
      </w:r>
      <w:r w:rsidR="00A049C1">
        <w:t>assessing ‘impact’ as edge or out of centre retail and leisure proposals.</w:t>
      </w:r>
    </w:p>
    <w:p w14:paraId="02B39C9B" w14:textId="3E19FDDB" w:rsidR="00BF2501" w:rsidRDefault="00F82C4B" w:rsidP="00A049C1">
      <w:pPr>
        <w:pStyle w:val="Level1"/>
      </w:pPr>
      <w:r>
        <w:t xml:space="preserve">Finally, the agreed brief for this Study requires us to re-visit the rationale for setting a local </w:t>
      </w:r>
      <w:r w:rsidR="00BF2501">
        <w:t>impact</w:t>
      </w:r>
      <w:r>
        <w:t xml:space="preserve"> assessment</w:t>
      </w:r>
      <w:r w:rsidR="00BF2501">
        <w:t xml:space="preserve"> threshold</w:t>
      </w:r>
      <w:r>
        <w:t>.  At the present time, Policy TC</w:t>
      </w:r>
      <w:r w:rsidR="00A049C1">
        <w:t>3 sets a threshold of 500sq m gross for requiring impact assessments associated with retail development proposals in out of centre locations.  Having considered the existing policy approach, we recommend the following:</w:t>
      </w:r>
    </w:p>
    <w:p w14:paraId="062CA303" w14:textId="425B8D04" w:rsidR="00A049C1" w:rsidRDefault="00FC50D4" w:rsidP="00A049C1">
      <w:pPr>
        <w:pStyle w:val="ListBullet"/>
      </w:pPr>
      <w:r>
        <w:t xml:space="preserve">the impact test should relate to retail and leisure proposals in edge and out of centre locations </w:t>
      </w:r>
      <w:proofErr w:type="gramStart"/>
      <w:r>
        <w:t>in order to</w:t>
      </w:r>
      <w:proofErr w:type="gramEnd"/>
      <w:r>
        <w:t xml:space="preserve"> confirm with the NPPF.</w:t>
      </w:r>
    </w:p>
    <w:p w14:paraId="7B01917F" w14:textId="4D3DA985" w:rsidR="00FC50D4" w:rsidRDefault="00FC50D4" w:rsidP="00A049C1">
      <w:pPr>
        <w:pStyle w:val="ListBullet"/>
      </w:pPr>
      <w:r>
        <w:t xml:space="preserve">the test should continue to deal with both solus and cumulative impact issues and should </w:t>
      </w:r>
      <w:proofErr w:type="gramStart"/>
      <w:r>
        <w:t>take into account</w:t>
      </w:r>
      <w:proofErr w:type="gramEnd"/>
      <w:r>
        <w:t xml:space="preserve"> the impact on all relevant defined ‘town centres’ in the catchment of the proposal.</w:t>
      </w:r>
    </w:p>
    <w:p w14:paraId="7442E4DB" w14:textId="7323A0CB" w:rsidR="00FC50D4" w:rsidRDefault="00FC50D4" w:rsidP="00FC50D4">
      <w:pPr>
        <w:pStyle w:val="ListBullet"/>
      </w:pPr>
      <w:r>
        <w:t xml:space="preserve">the assessment of impact should consider the likely effects </w:t>
      </w:r>
      <w:r w:rsidR="00633674">
        <w:t xml:space="preserve">of the proposal on both town centre vitality and viability </w:t>
      </w:r>
      <w:proofErr w:type="gramStart"/>
      <w:r w:rsidR="00633674">
        <w:t>and also</w:t>
      </w:r>
      <w:proofErr w:type="gramEnd"/>
      <w:r w:rsidR="00633674">
        <w:t xml:space="preserve"> town centre investment.  In relation to the latter, the updated version of TC3 should continue to refer to planned new ‘town centres’, and these new ‘town centres’ should also feature as part of the sequential test.</w:t>
      </w:r>
    </w:p>
    <w:p w14:paraId="20FD8BBC" w14:textId="5BF038A1" w:rsidR="00FC50D4" w:rsidRDefault="00BC4925" w:rsidP="00FC50D4">
      <w:pPr>
        <w:pStyle w:val="ListBullet"/>
      </w:pPr>
      <w:r>
        <w:t xml:space="preserve">The supporting text to the updated version of TC3 should encourage applicants to agree the scope of retail, </w:t>
      </w:r>
      <w:proofErr w:type="gramStart"/>
      <w:r>
        <w:t>leisure</w:t>
      </w:r>
      <w:proofErr w:type="gramEnd"/>
      <w:r>
        <w:t xml:space="preserve"> and main town centre land use assessments with TC prior to the submission of planning applications</w:t>
      </w:r>
      <w:r>
        <w:rPr>
          <w:rStyle w:val="FootnoteReference"/>
        </w:rPr>
        <w:footnoteReference w:id="47"/>
      </w:r>
      <w:r>
        <w:t>.</w:t>
      </w:r>
    </w:p>
    <w:p w14:paraId="36174E7C" w14:textId="05EB75FF" w:rsidR="00A049C1" w:rsidRDefault="00C82AC5" w:rsidP="00FC50D4">
      <w:pPr>
        <w:pStyle w:val="ListBullet"/>
      </w:pPr>
      <w:r>
        <w:t xml:space="preserve">With regards to the current </w:t>
      </w:r>
      <w:proofErr w:type="gramStart"/>
      <w:r>
        <w:t>locally-set</w:t>
      </w:r>
      <w:proofErr w:type="gramEnd"/>
      <w:r>
        <w:t xml:space="preserve"> threshold of </w:t>
      </w:r>
      <w:r w:rsidR="00FC50D4">
        <w:t>500sq m</w:t>
      </w:r>
      <w:r>
        <w:t xml:space="preserve"> (gross) </w:t>
      </w:r>
      <w:r w:rsidR="00E6125E">
        <w:t xml:space="preserve">we have re-visited the previous justification for this threshold and have reached the view that it remains appropriate in the context of local town centre health issues across Torbay along with the scale of existing retail and leisure </w:t>
      </w:r>
      <w:r w:rsidR="00DB5C29">
        <w:t>provision.</w:t>
      </w:r>
      <w:r w:rsidR="00E6125E">
        <w:t xml:space="preserve"> </w:t>
      </w:r>
    </w:p>
    <w:p w14:paraId="642EE921" w14:textId="351A590E" w:rsidR="00A049C1" w:rsidRDefault="00A049C1" w:rsidP="00DB5C29">
      <w:pPr>
        <w:pStyle w:val="Level1"/>
        <w:numPr>
          <w:ilvl w:val="0"/>
          <w:numId w:val="0"/>
        </w:numPr>
        <w:ind w:left="720"/>
      </w:pPr>
    </w:p>
    <w:p w14:paraId="27D0090E" w14:textId="681D44F1" w:rsidR="00E12887" w:rsidRDefault="00E12887" w:rsidP="00A049C1">
      <w:pPr>
        <w:pStyle w:val="ListBullet"/>
        <w:rPr>
          <w:rFonts w:ascii="Open Sans SemiBold" w:eastAsia="Open Sans" w:hAnsi="Open Sans SemiBold" w:cs="Times New Roman"/>
          <w:b/>
          <w:color w:val="000000" w:themeColor="text1"/>
          <w:sz w:val="32"/>
        </w:rPr>
      </w:pPr>
      <w:r>
        <w:br w:type="page"/>
      </w:r>
    </w:p>
    <w:p w14:paraId="45EABB46" w14:textId="25705E3A" w:rsidR="00E12887" w:rsidRPr="00B44051" w:rsidRDefault="00E12887" w:rsidP="00E12887">
      <w:pPr>
        <w:pStyle w:val="ListHeading1"/>
      </w:pPr>
      <w:bookmarkStart w:id="14" w:name="_Toc116897150"/>
      <w:r w:rsidRPr="00B44051">
        <w:lastRenderedPageBreak/>
        <w:t>Summary and Conclusions</w:t>
      </w:r>
      <w:bookmarkEnd w:id="14"/>
    </w:p>
    <w:p w14:paraId="1003191A" w14:textId="77777777" w:rsidR="00B53C9D" w:rsidRDefault="00EA0D71" w:rsidP="005D7FD8">
      <w:pPr>
        <w:pStyle w:val="Level1"/>
      </w:pPr>
      <w:r>
        <w:t xml:space="preserve">This Retail Study report has been prepared by Avison Young for Torbay Council </w:t>
      </w:r>
      <w:proofErr w:type="gramStart"/>
      <w:r>
        <w:t>in order to</w:t>
      </w:r>
      <w:proofErr w:type="gramEnd"/>
      <w:r>
        <w:t xml:space="preserve"> provide up to date evidence on retail and town centre issues for an update to the Torbay Local Plan.  Preparation of the Local Plan Update commenced in 2021 and the Council wishes to understand</w:t>
      </w:r>
      <w:r w:rsidR="00B53C9D">
        <w:t xml:space="preserve"> how its town and district centres are functioning, along with a review of the impact of recent changes in the use classes order and permitted development rights.</w:t>
      </w:r>
    </w:p>
    <w:p w14:paraId="1C82FA79" w14:textId="77777777" w:rsidR="00B53C9D" w:rsidRDefault="00B53C9D" w:rsidP="005D7FD8">
      <w:pPr>
        <w:pStyle w:val="Level1"/>
      </w:pPr>
      <w:r>
        <w:t>This report contains information and analysis in relation to the following areas:</w:t>
      </w:r>
    </w:p>
    <w:p w14:paraId="744E0945" w14:textId="4A306ECA" w:rsidR="0026757C" w:rsidRDefault="0026757C" w:rsidP="0026757C">
      <w:pPr>
        <w:pStyle w:val="ListBullet"/>
      </w:pPr>
      <w:r>
        <w:t>an analysis of recent/current retail trends, including expected change</w:t>
      </w:r>
      <w:r w:rsidR="0064612A">
        <w:t>s</w:t>
      </w:r>
      <w:r>
        <w:t xml:space="preserve"> in retail expenditure and the on-going effects of on-line retailing / the impact of COVID-19 on shopping and leisure patterns.</w:t>
      </w:r>
    </w:p>
    <w:p w14:paraId="70C6A2EF" w14:textId="77777777" w:rsidR="0026757C" w:rsidRDefault="0026757C" w:rsidP="0026757C">
      <w:pPr>
        <w:pStyle w:val="ListBullet"/>
      </w:pPr>
      <w:r>
        <w:t>an assessment of current shopping patterns for food and non-food goods, along with the usage of food and beverage facilities, plus the three main town centres in Torbay.</w:t>
      </w:r>
    </w:p>
    <w:p w14:paraId="0F65A93B" w14:textId="77777777" w:rsidR="0026757C" w:rsidRDefault="0026757C" w:rsidP="0026757C">
      <w:pPr>
        <w:pStyle w:val="ListBullet"/>
      </w:pPr>
      <w:r>
        <w:t xml:space="preserve">in order to inform future </w:t>
      </w:r>
      <w:proofErr w:type="gramStart"/>
      <w:r>
        <w:t>policy-making</w:t>
      </w:r>
      <w:proofErr w:type="gramEnd"/>
      <w:r>
        <w:t>, the provision of focused heath check reviews of the three main town centres in Torbay, along with the three district centres in Torquay and Paignton.</w:t>
      </w:r>
    </w:p>
    <w:p w14:paraId="4A1A0065" w14:textId="77777777" w:rsidR="0026757C" w:rsidRDefault="0026757C" w:rsidP="0026757C">
      <w:pPr>
        <w:pStyle w:val="ListBullet"/>
      </w:pPr>
      <w:r>
        <w:t>an assessment of the ‘need’ for food and non-food retail floorspace across the three main settlements in Torbay.</w:t>
      </w:r>
    </w:p>
    <w:p w14:paraId="628DF2DD" w14:textId="77777777" w:rsidR="0026757C" w:rsidRPr="00733A74" w:rsidRDefault="0026757C" w:rsidP="0026757C">
      <w:pPr>
        <w:pStyle w:val="ListBullet"/>
      </w:pPr>
      <w:r>
        <w:t>advice on the content of retail and town centre planning policies, in relation to proposals within or outside of defined ‘town centres’, including the approach to the new Class E use category and the provision of new local / neighbourhood centres.</w:t>
      </w:r>
    </w:p>
    <w:p w14:paraId="4C07C2ED" w14:textId="3B14539C" w:rsidR="00B53C9D" w:rsidRDefault="00B53C9D" w:rsidP="00B44051">
      <w:pPr>
        <w:pStyle w:val="ListBullet"/>
        <w:numPr>
          <w:ilvl w:val="0"/>
          <w:numId w:val="0"/>
        </w:numPr>
        <w:ind w:left="1077"/>
      </w:pPr>
    </w:p>
    <w:p w14:paraId="78D56097" w14:textId="12F856D7" w:rsidR="0026757C" w:rsidRDefault="0026757C" w:rsidP="005D7FD8">
      <w:pPr>
        <w:pStyle w:val="Level1"/>
      </w:pPr>
      <w:r>
        <w:t>With regards to the assessment of the health of the three main town centres, the following information has been gathered:</w:t>
      </w:r>
    </w:p>
    <w:p w14:paraId="5C282A7B" w14:textId="4A290E7F" w:rsidR="0026757C" w:rsidRDefault="00F22D50" w:rsidP="0026757C">
      <w:pPr>
        <w:pStyle w:val="ListBullet"/>
      </w:pPr>
      <w:r>
        <w:t>Torquay town centre:</w:t>
      </w:r>
    </w:p>
    <w:p w14:paraId="0057B161" w14:textId="77777777" w:rsidR="00F22D50" w:rsidRPr="005A15CE" w:rsidRDefault="00F22D50" w:rsidP="00B44051">
      <w:pPr>
        <w:pStyle w:val="ListBullet"/>
        <w:numPr>
          <w:ilvl w:val="1"/>
          <w:numId w:val="5"/>
        </w:numPr>
      </w:pPr>
      <w:r w:rsidRPr="005A15CE">
        <w:t xml:space="preserve">Continuing the trend seen in previous retail studies, there is a falling number of comparison goods shops in the town centre.  This is also part of a national trend in other town centres across the </w:t>
      </w:r>
      <w:proofErr w:type="gramStart"/>
      <w:r w:rsidRPr="005A15CE">
        <w:t>country, but</w:t>
      </w:r>
      <w:proofErr w:type="gramEnd"/>
      <w:r w:rsidRPr="005A15CE">
        <w:t xml:space="preserve"> is nevertheless a key issue for the Council to be aware of as it plans for the future of Torquay town centre.</w:t>
      </w:r>
    </w:p>
    <w:p w14:paraId="3F3C97CD" w14:textId="77777777" w:rsidR="00F22D50" w:rsidRPr="005A15CE" w:rsidRDefault="00F22D50" w:rsidP="00B44051">
      <w:pPr>
        <w:pStyle w:val="ListBullet"/>
        <w:numPr>
          <w:ilvl w:val="1"/>
          <w:numId w:val="5"/>
        </w:numPr>
      </w:pPr>
      <w:r w:rsidRPr="005A15CE">
        <w:t xml:space="preserve">Again, in line with the national trend, the evidence which has been collected for this study indicates a slight strengthening of the convenience goods shopping provision in the town centre.  It is not significant, but nevertheless helps to address a long-standing qualitative need in the centre and, in turn, broadens the type of provision.  </w:t>
      </w:r>
    </w:p>
    <w:p w14:paraId="12986AD8" w14:textId="3DC2C60C" w:rsidR="00F22D50" w:rsidRPr="005A15CE" w:rsidRDefault="00F22D50" w:rsidP="00B44051">
      <w:pPr>
        <w:pStyle w:val="ListBullet"/>
        <w:numPr>
          <w:ilvl w:val="1"/>
          <w:numId w:val="5"/>
        </w:numPr>
      </w:pPr>
      <w:r w:rsidRPr="005A15CE">
        <w:t xml:space="preserve">It is notable that service uses now </w:t>
      </w:r>
      <w:r w:rsidR="0064612A">
        <w:t xml:space="preserve">are </w:t>
      </w:r>
      <w:r w:rsidRPr="005A15CE">
        <w:t xml:space="preserve">the largest sector in the town centre in terms of the number of units.  A growing number of </w:t>
      </w:r>
      <w:proofErr w:type="gramStart"/>
      <w:r w:rsidRPr="005A15CE">
        <w:t>service</w:t>
      </w:r>
      <w:proofErr w:type="gramEnd"/>
      <w:r w:rsidRPr="005A15CE">
        <w:t xml:space="preserve"> uses in a town centre mirrors the national trend, but this data also is reflective of Torquay town centre’s role.  </w:t>
      </w:r>
    </w:p>
    <w:p w14:paraId="7C479A63" w14:textId="77777777" w:rsidR="00F22D50" w:rsidRPr="005A15CE" w:rsidRDefault="00F22D50" w:rsidP="00B44051">
      <w:pPr>
        <w:pStyle w:val="ListBullet"/>
        <w:numPr>
          <w:ilvl w:val="1"/>
          <w:numId w:val="5"/>
        </w:numPr>
      </w:pPr>
      <w:r w:rsidRPr="005A15CE">
        <w:t xml:space="preserve">A key concern will be the continued loss of retailing market share and turnover in the town centre.  Whilst all town centres are facing similar challenges, this is trend which has continued for some time in Torquay and highlights why the Council will need to consider the main role of the town centre going forwards.  </w:t>
      </w:r>
    </w:p>
    <w:p w14:paraId="61FAB176" w14:textId="77777777" w:rsidR="00F22D50" w:rsidRPr="005A15CE" w:rsidRDefault="00F22D50" w:rsidP="00B44051">
      <w:pPr>
        <w:pStyle w:val="ListBullet"/>
        <w:numPr>
          <w:ilvl w:val="1"/>
          <w:numId w:val="5"/>
        </w:numPr>
      </w:pPr>
      <w:r w:rsidRPr="005A15CE">
        <w:t>As part of this issue is the continued high number / proportion of vacancies in the town centre, which well above the national average.</w:t>
      </w:r>
    </w:p>
    <w:p w14:paraId="241E0DEF" w14:textId="77777777" w:rsidR="00F22D50" w:rsidRDefault="00F22D50" w:rsidP="00B44051">
      <w:pPr>
        <w:pStyle w:val="ListBullet"/>
        <w:numPr>
          <w:ilvl w:val="0"/>
          <w:numId w:val="0"/>
        </w:numPr>
      </w:pPr>
    </w:p>
    <w:p w14:paraId="792EA743" w14:textId="47F948AE" w:rsidR="00F22D50" w:rsidRDefault="00F22D50" w:rsidP="0026757C">
      <w:pPr>
        <w:pStyle w:val="ListBullet"/>
      </w:pPr>
      <w:r>
        <w:t>Paignton town centre:</w:t>
      </w:r>
    </w:p>
    <w:p w14:paraId="0E02555F" w14:textId="77777777" w:rsidR="00F22D50" w:rsidRDefault="00F22D50" w:rsidP="00B44051">
      <w:pPr>
        <w:pStyle w:val="ListBullet"/>
        <w:numPr>
          <w:ilvl w:val="1"/>
          <w:numId w:val="5"/>
        </w:numPr>
      </w:pPr>
      <w:r>
        <w:t xml:space="preserve">Paignton town centre mirrors the trends seen in Torquay town centre, with a growing number of convenience goods and service outlets and a falling number of comparison goods outlets.  However, the latest land use survey of the town centre does indicate that, despite these changes, the proportions of these use are </w:t>
      </w:r>
      <w:proofErr w:type="gramStart"/>
      <w:r>
        <w:t>similar to</w:t>
      </w:r>
      <w:proofErr w:type="gramEnd"/>
      <w:r>
        <w:t xml:space="preserve"> their respective national averages.</w:t>
      </w:r>
    </w:p>
    <w:p w14:paraId="0A91D4D0" w14:textId="77777777" w:rsidR="00F22D50" w:rsidRDefault="00F22D50" w:rsidP="00B44051">
      <w:pPr>
        <w:pStyle w:val="ListBullet"/>
        <w:numPr>
          <w:ilvl w:val="1"/>
          <w:numId w:val="5"/>
        </w:numPr>
      </w:pPr>
      <w:r>
        <w:t>Vacancies have continued to rise and remain slightly above the national average.</w:t>
      </w:r>
    </w:p>
    <w:p w14:paraId="179DE4FD" w14:textId="77777777" w:rsidR="00F22D50" w:rsidRDefault="00F22D50" w:rsidP="00B44051">
      <w:pPr>
        <w:pStyle w:val="ListBullet"/>
        <w:numPr>
          <w:ilvl w:val="1"/>
          <w:numId w:val="5"/>
        </w:numPr>
      </w:pPr>
      <w:r>
        <w:lastRenderedPageBreak/>
        <w:t xml:space="preserve">The market share of the town centre for convenience goods shopping has fallen since the previous retail study, which </w:t>
      </w:r>
      <w:proofErr w:type="gramStart"/>
      <w:r>
        <w:t>is considered to be</w:t>
      </w:r>
      <w:proofErr w:type="gramEnd"/>
      <w:r>
        <w:t xml:space="preserve"> unsurprising given the opening of new out of centre and local / neighbourhood centre stores in the western part of the town.  This has resulted in a fall in convenience goods expenditure being attracted to the town centre.</w:t>
      </w:r>
    </w:p>
    <w:p w14:paraId="1F6684F2" w14:textId="77777777" w:rsidR="00F22D50" w:rsidRPr="005A15CE" w:rsidRDefault="00F22D50" w:rsidP="00B44051">
      <w:pPr>
        <w:pStyle w:val="ListBullet"/>
        <w:numPr>
          <w:ilvl w:val="1"/>
          <w:numId w:val="5"/>
        </w:numPr>
      </w:pPr>
      <w:r>
        <w:t>In relation to comparison goods, there have been changes in the town centre and the picture has been mixed.  However, the turnover of the town centre has, since the previous retail study, increased by around one third.</w:t>
      </w:r>
    </w:p>
    <w:p w14:paraId="5CB0E909" w14:textId="77777777" w:rsidR="00F22D50" w:rsidRDefault="00F22D50" w:rsidP="00B44051">
      <w:pPr>
        <w:pStyle w:val="ListBullet"/>
        <w:numPr>
          <w:ilvl w:val="0"/>
          <w:numId w:val="0"/>
        </w:numPr>
        <w:ind w:left="1077"/>
      </w:pPr>
    </w:p>
    <w:p w14:paraId="775A010F" w14:textId="28C3AC9F" w:rsidR="00F22D50" w:rsidRDefault="00F22D50" w:rsidP="0026757C">
      <w:pPr>
        <w:pStyle w:val="ListBullet"/>
      </w:pPr>
      <w:r>
        <w:t>Brixham town centre:</w:t>
      </w:r>
    </w:p>
    <w:p w14:paraId="22025AA6" w14:textId="77777777" w:rsidR="00F22D50" w:rsidRPr="005A15CE" w:rsidRDefault="00F22D50" w:rsidP="00B44051">
      <w:pPr>
        <w:pStyle w:val="ListBullet"/>
        <w:numPr>
          <w:ilvl w:val="1"/>
          <w:numId w:val="5"/>
        </w:numPr>
      </w:pPr>
      <w:r w:rsidRPr="005A15CE">
        <w:t xml:space="preserve">The town centre has a small </w:t>
      </w:r>
      <w:proofErr w:type="gramStart"/>
      <w:r w:rsidRPr="005A15CE">
        <w:t>comparison goods shopping</w:t>
      </w:r>
      <w:proofErr w:type="gramEnd"/>
      <w:r w:rsidRPr="005A15CE">
        <w:t xml:space="preserve"> catchment which is largely confined to the local area, which is also true for convenience goods shopping.  The centre has a largely top-up food shopping role which has not changed in recent years.</w:t>
      </w:r>
    </w:p>
    <w:p w14:paraId="4F5C5870" w14:textId="77777777" w:rsidR="00F22D50" w:rsidRPr="005A15CE" w:rsidRDefault="00F22D50" w:rsidP="00B44051">
      <w:pPr>
        <w:pStyle w:val="ListBullet"/>
        <w:numPr>
          <w:ilvl w:val="1"/>
          <w:numId w:val="5"/>
        </w:numPr>
      </w:pPr>
      <w:r w:rsidRPr="005A15CE">
        <w:t>The land use profile of the centre has not seen any significant changes in recent years, apart from a fall in the number of comparison goods retail outlets (although the proportion of these uses remains above the national average).</w:t>
      </w:r>
    </w:p>
    <w:p w14:paraId="24B99B21" w14:textId="77777777" w:rsidR="00F22D50" w:rsidRPr="005A15CE" w:rsidRDefault="00F22D50" w:rsidP="00B44051">
      <w:pPr>
        <w:pStyle w:val="ListBullet"/>
        <w:numPr>
          <w:ilvl w:val="1"/>
          <w:numId w:val="5"/>
        </w:numPr>
      </w:pPr>
      <w:r w:rsidRPr="005A15CE">
        <w:t>Vacancies in the town centre have fallen since the previous retail study and are now around half of the national average.</w:t>
      </w:r>
    </w:p>
    <w:p w14:paraId="7F80FDAD" w14:textId="77777777" w:rsidR="00F22D50" w:rsidRPr="005A15CE" w:rsidRDefault="00F22D50" w:rsidP="00B44051">
      <w:pPr>
        <w:pStyle w:val="ListBullet"/>
        <w:numPr>
          <w:ilvl w:val="1"/>
          <w:numId w:val="5"/>
        </w:numPr>
      </w:pPr>
      <w:r w:rsidRPr="005A15CE">
        <w:t>The centre has a small but strong catchment for food and beverage visits from the local community, attracting around two-thirds of all trips from Brixham residents.</w:t>
      </w:r>
    </w:p>
    <w:p w14:paraId="75C20AA7" w14:textId="77777777" w:rsidR="00F22D50" w:rsidRDefault="00F22D50" w:rsidP="00B44051">
      <w:pPr>
        <w:pStyle w:val="ListBullet"/>
        <w:numPr>
          <w:ilvl w:val="0"/>
          <w:numId w:val="0"/>
        </w:numPr>
        <w:ind w:left="1077"/>
      </w:pPr>
    </w:p>
    <w:p w14:paraId="2139C40B" w14:textId="77777777" w:rsidR="0026757C" w:rsidRDefault="0026757C" w:rsidP="005D7FD8">
      <w:pPr>
        <w:pStyle w:val="Level1"/>
      </w:pPr>
      <w:r>
        <w:t>The assessment of quantitative need for convenience and comparison goods floorspace, along with food and beverage floorspace provides the following forecasts:</w:t>
      </w:r>
    </w:p>
    <w:p w14:paraId="73CB4B56" w14:textId="75CE44B9" w:rsidR="00F22D50" w:rsidRPr="005A15CE" w:rsidRDefault="00F22D50" w:rsidP="00F22D50">
      <w:pPr>
        <w:pStyle w:val="Level1"/>
        <w:numPr>
          <w:ilvl w:val="0"/>
          <w:numId w:val="0"/>
        </w:numPr>
        <w:ind w:left="720"/>
        <w:rPr>
          <w:rStyle w:val="Emphasis"/>
        </w:rPr>
      </w:pPr>
      <w:r>
        <w:rPr>
          <w:rStyle w:val="Emphasis"/>
        </w:rPr>
        <w:t xml:space="preserve">Table </w:t>
      </w:r>
      <w:r w:rsidR="0064612A">
        <w:rPr>
          <w:rStyle w:val="Emphasis"/>
        </w:rPr>
        <w:t>7</w:t>
      </w:r>
      <w:r>
        <w:rPr>
          <w:rStyle w:val="Emphasis"/>
        </w:rPr>
        <w:t>.1: quantitative convenience goods floorspace capacity (</w:t>
      </w:r>
      <w:proofErr w:type="spellStart"/>
      <w:r>
        <w:rPr>
          <w:rStyle w:val="Emphasis"/>
        </w:rPr>
        <w:t>sq</w:t>
      </w:r>
      <w:proofErr w:type="spellEnd"/>
      <w:r>
        <w:rPr>
          <w:rStyle w:val="Emphasis"/>
        </w:rPr>
        <w:t xml:space="preserve"> m net sales areas), 2022-2040</w:t>
      </w:r>
    </w:p>
    <w:tbl>
      <w:tblPr>
        <w:tblStyle w:val="TableGrid2"/>
        <w:tblW w:w="9214" w:type="dxa"/>
        <w:tblInd w:w="704" w:type="dxa"/>
        <w:tblLook w:val="04A0" w:firstRow="1" w:lastRow="0" w:firstColumn="1" w:lastColumn="0" w:noHBand="0" w:noVBand="1"/>
      </w:tblPr>
      <w:tblGrid>
        <w:gridCol w:w="1418"/>
        <w:gridCol w:w="1984"/>
        <w:gridCol w:w="1843"/>
        <w:gridCol w:w="1843"/>
        <w:gridCol w:w="2126"/>
      </w:tblGrid>
      <w:tr w:rsidR="00F22D50" w14:paraId="03069C1E" w14:textId="77777777" w:rsidTr="0064612A">
        <w:tc>
          <w:tcPr>
            <w:tcW w:w="1418" w:type="dxa"/>
          </w:tcPr>
          <w:p w14:paraId="59162717" w14:textId="77777777" w:rsidR="00F22D50" w:rsidRDefault="00F22D50" w:rsidP="005A15CE">
            <w:pPr>
              <w:pStyle w:val="Level1"/>
              <w:numPr>
                <w:ilvl w:val="0"/>
                <w:numId w:val="0"/>
              </w:numPr>
            </w:pPr>
          </w:p>
        </w:tc>
        <w:tc>
          <w:tcPr>
            <w:tcW w:w="1984" w:type="dxa"/>
          </w:tcPr>
          <w:p w14:paraId="41E67925" w14:textId="77777777" w:rsidR="00F22D50" w:rsidRPr="0064612A" w:rsidRDefault="00F22D50" w:rsidP="005A15CE">
            <w:pPr>
              <w:pStyle w:val="Level1"/>
              <w:numPr>
                <w:ilvl w:val="0"/>
                <w:numId w:val="0"/>
              </w:numPr>
              <w:jc w:val="center"/>
              <w:rPr>
                <w:b/>
                <w:bCs/>
              </w:rPr>
            </w:pPr>
            <w:r w:rsidRPr="0064612A">
              <w:rPr>
                <w:b/>
                <w:bCs/>
              </w:rPr>
              <w:t>2022</w:t>
            </w:r>
          </w:p>
        </w:tc>
        <w:tc>
          <w:tcPr>
            <w:tcW w:w="1843" w:type="dxa"/>
          </w:tcPr>
          <w:p w14:paraId="41C24779" w14:textId="77777777" w:rsidR="00F22D50" w:rsidRPr="0064612A" w:rsidRDefault="00F22D50" w:rsidP="005A15CE">
            <w:pPr>
              <w:pStyle w:val="Level1"/>
              <w:numPr>
                <w:ilvl w:val="0"/>
                <w:numId w:val="0"/>
              </w:numPr>
              <w:jc w:val="center"/>
              <w:rPr>
                <w:b/>
                <w:bCs/>
              </w:rPr>
            </w:pPr>
            <w:r w:rsidRPr="0064612A">
              <w:rPr>
                <w:b/>
                <w:bCs/>
              </w:rPr>
              <w:t>2027</w:t>
            </w:r>
          </w:p>
        </w:tc>
        <w:tc>
          <w:tcPr>
            <w:tcW w:w="1843" w:type="dxa"/>
          </w:tcPr>
          <w:p w14:paraId="553CCE4A" w14:textId="77777777" w:rsidR="00F22D50" w:rsidRPr="0064612A" w:rsidRDefault="00F22D50" w:rsidP="005A15CE">
            <w:pPr>
              <w:pStyle w:val="Level1"/>
              <w:numPr>
                <w:ilvl w:val="0"/>
                <w:numId w:val="0"/>
              </w:numPr>
              <w:jc w:val="center"/>
              <w:rPr>
                <w:b/>
                <w:bCs/>
              </w:rPr>
            </w:pPr>
            <w:r w:rsidRPr="0064612A">
              <w:rPr>
                <w:b/>
                <w:bCs/>
              </w:rPr>
              <w:t>2032</w:t>
            </w:r>
          </w:p>
        </w:tc>
        <w:tc>
          <w:tcPr>
            <w:tcW w:w="2126" w:type="dxa"/>
          </w:tcPr>
          <w:p w14:paraId="18C2C4DA" w14:textId="77777777" w:rsidR="00F22D50" w:rsidRPr="0064612A" w:rsidRDefault="00F22D50" w:rsidP="005A15CE">
            <w:pPr>
              <w:pStyle w:val="Level1"/>
              <w:numPr>
                <w:ilvl w:val="0"/>
                <w:numId w:val="0"/>
              </w:numPr>
              <w:jc w:val="center"/>
              <w:rPr>
                <w:b/>
                <w:bCs/>
              </w:rPr>
            </w:pPr>
            <w:r w:rsidRPr="0064612A">
              <w:rPr>
                <w:b/>
                <w:bCs/>
              </w:rPr>
              <w:t>2040</w:t>
            </w:r>
          </w:p>
        </w:tc>
      </w:tr>
      <w:tr w:rsidR="00F22D50" w14:paraId="1AB9DCC2" w14:textId="77777777" w:rsidTr="0064612A">
        <w:tc>
          <w:tcPr>
            <w:tcW w:w="1418" w:type="dxa"/>
          </w:tcPr>
          <w:p w14:paraId="2F9FD1DD" w14:textId="77777777" w:rsidR="00F22D50" w:rsidRDefault="00F22D50" w:rsidP="005A15CE">
            <w:pPr>
              <w:pStyle w:val="Level1"/>
              <w:numPr>
                <w:ilvl w:val="0"/>
                <w:numId w:val="0"/>
              </w:numPr>
            </w:pPr>
            <w:r>
              <w:t>Torquay</w:t>
            </w:r>
          </w:p>
        </w:tc>
        <w:tc>
          <w:tcPr>
            <w:tcW w:w="1984" w:type="dxa"/>
          </w:tcPr>
          <w:p w14:paraId="2142D026" w14:textId="77777777" w:rsidR="00F22D50" w:rsidRDefault="00F22D50" w:rsidP="005A15CE">
            <w:pPr>
              <w:pStyle w:val="Level1"/>
              <w:numPr>
                <w:ilvl w:val="0"/>
                <w:numId w:val="0"/>
              </w:numPr>
              <w:jc w:val="center"/>
            </w:pPr>
            <w:r>
              <w:t>2,232</w:t>
            </w:r>
          </w:p>
        </w:tc>
        <w:tc>
          <w:tcPr>
            <w:tcW w:w="1843" w:type="dxa"/>
          </w:tcPr>
          <w:p w14:paraId="1B380983" w14:textId="77777777" w:rsidR="00F22D50" w:rsidRDefault="00F22D50" w:rsidP="005A15CE">
            <w:pPr>
              <w:pStyle w:val="Level1"/>
              <w:numPr>
                <w:ilvl w:val="0"/>
                <w:numId w:val="0"/>
              </w:numPr>
              <w:jc w:val="center"/>
            </w:pPr>
            <w:r>
              <w:t>1,984</w:t>
            </w:r>
          </w:p>
        </w:tc>
        <w:tc>
          <w:tcPr>
            <w:tcW w:w="1843" w:type="dxa"/>
          </w:tcPr>
          <w:p w14:paraId="4FD1B9E9" w14:textId="77777777" w:rsidR="00F22D50" w:rsidRDefault="00F22D50" w:rsidP="005A15CE">
            <w:pPr>
              <w:pStyle w:val="Level1"/>
              <w:numPr>
                <w:ilvl w:val="0"/>
                <w:numId w:val="0"/>
              </w:numPr>
              <w:jc w:val="center"/>
            </w:pPr>
            <w:r>
              <w:t>2,386</w:t>
            </w:r>
          </w:p>
        </w:tc>
        <w:tc>
          <w:tcPr>
            <w:tcW w:w="2126" w:type="dxa"/>
          </w:tcPr>
          <w:p w14:paraId="3BD5F8E2" w14:textId="77777777" w:rsidR="00F22D50" w:rsidRDefault="00F22D50" w:rsidP="005A15CE">
            <w:pPr>
              <w:pStyle w:val="Level1"/>
              <w:numPr>
                <w:ilvl w:val="0"/>
                <w:numId w:val="0"/>
              </w:numPr>
              <w:jc w:val="center"/>
            </w:pPr>
            <w:r>
              <w:t>2,990</w:t>
            </w:r>
          </w:p>
        </w:tc>
      </w:tr>
      <w:tr w:rsidR="00F22D50" w14:paraId="0F6FF97E" w14:textId="77777777" w:rsidTr="0064612A">
        <w:tc>
          <w:tcPr>
            <w:tcW w:w="1418" w:type="dxa"/>
          </w:tcPr>
          <w:p w14:paraId="6756AC1B" w14:textId="77777777" w:rsidR="00F22D50" w:rsidRDefault="00F22D50" w:rsidP="005A15CE">
            <w:pPr>
              <w:pStyle w:val="Level1"/>
              <w:numPr>
                <w:ilvl w:val="0"/>
                <w:numId w:val="0"/>
              </w:numPr>
            </w:pPr>
            <w:r>
              <w:t>Paignton</w:t>
            </w:r>
          </w:p>
        </w:tc>
        <w:tc>
          <w:tcPr>
            <w:tcW w:w="1984" w:type="dxa"/>
          </w:tcPr>
          <w:p w14:paraId="03157967" w14:textId="77777777" w:rsidR="00F22D50" w:rsidRDefault="00F22D50" w:rsidP="005A15CE">
            <w:pPr>
              <w:pStyle w:val="Level1"/>
              <w:numPr>
                <w:ilvl w:val="0"/>
                <w:numId w:val="0"/>
              </w:numPr>
              <w:jc w:val="center"/>
            </w:pPr>
            <w:r>
              <w:t>312</w:t>
            </w:r>
          </w:p>
        </w:tc>
        <w:tc>
          <w:tcPr>
            <w:tcW w:w="1843" w:type="dxa"/>
          </w:tcPr>
          <w:p w14:paraId="69DF25FA" w14:textId="77777777" w:rsidR="00F22D50" w:rsidRDefault="00F22D50" w:rsidP="005A15CE">
            <w:pPr>
              <w:pStyle w:val="Level1"/>
              <w:numPr>
                <w:ilvl w:val="0"/>
                <w:numId w:val="0"/>
              </w:numPr>
              <w:jc w:val="center"/>
            </w:pPr>
            <w:r>
              <w:t>319</w:t>
            </w:r>
          </w:p>
        </w:tc>
        <w:tc>
          <w:tcPr>
            <w:tcW w:w="1843" w:type="dxa"/>
          </w:tcPr>
          <w:p w14:paraId="30C0E58E" w14:textId="77777777" w:rsidR="00F22D50" w:rsidRDefault="00F22D50" w:rsidP="005A15CE">
            <w:pPr>
              <w:pStyle w:val="Level1"/>
              <w:numPr>
                <w:ilvl w:val="0"/>
                <w:numId w:val="0"/>
              </w:numPr>
              <w:jc w:val="center"/>
            </w:pPr>
            <w:r>
              <w:t>672</w:t>
            </w:r>
          </w:p>
        </w:tc>
        <w:tc>
          <w:tcPr>
            <w:tcW w:w="2126" w:type="dxa"/>
          </w:tcPr>
          <w:p w14:paraId="73333B1F" w14:textId="77777777" w:rsidR="00F22D50" w:rsidRDefault="00F22D50" w:rsidP="005A15CE">
            <w:pPr>
              <w:pStyle w:val="Level1"/>
              <w:numPr>
                <w:ilvl w:val="0"/>
                <w:numId w:val="0"/>
              </w:numPr>
              <w:jc w:val="center"/>
            </w:pPr>
            <w:r>
              <w:t>1,202</w:t>
            </w:r>
          </w:p>
        </w:tc>
      </w:tr>
      <w:tr w:rsidR="00F22D50" w14:paraId="6770C33E" w14:textId="77777777" w:rsidTr="0064612A">
        <w:tc>
          <w:tcPr>
            <w:tcW w:w="1418" w:type="dxa"/>
          </w:tcPr>
          <w:p w14:paraId="55C31989" w14:textId="77777777" w:rsidR="00F22D50" w:rsidRDefault="00F22D50" w:rsidP="005A15CE">
            <w:pPr>
              <w:pStyle w:val="Level1"/>
              <w:numPr>
                <w:ilvl w:val="0"/>
                <w:numId w:val="0"/>
              </w:numPr>
            </w:pPr>
            <w:r>
              <w:t>Brixham</w:t>
            </w:r>
          </w:p>
        </w:tc>
        <w:tc>
          <w:tcPr>
            <w:tcW w:w="1984" w:type="dxa"/>
          </w:tcPr>
          <w:p w14:paraId="38B7708A" w14:textId="77777777" w:rsidR="00F22D50" w:rsidRDefault="00F22D50" w:rsidP="005A15CE">
            <w:pPr>
              <w:pStyle w:val="Level1"/>
              <w:numPr>
                <w:ilvl w:val="0"/>
                <w:numId w:val="0"/>
              </w:numPr>
              <w:jc w:val="center"/>
            </w:pPr>
            <w:r>
              <w:t>404</w:t>
            </w:r>
          </w:p>
        </w:tc>
        <w:tc>
          <w:tcPr>
            <w:tcW w:w="1843" w:type="dxa"/>
          </w:tcPr>
          <w:p w14:paraId="70653AD1" w14:textId="77777777" w:rsidR="00F22D50" w:rsidRDefault="00F22D50" w:rsidP="005A15CE">
            <w:pPr>
              <w:pStyle w:val="Level1"/>
              <w:numPr>
                <w:ilvl w:val="0"/>
                <w:numId w:val="0"/>
              </w:numPr>
              <w:jc w:val="center"/>
            </w:pPr>
            <w:r>
              <w:t>383</w:t>
            </w:r>
          </w:p>
        </w:tc>
        <w:tc>
          <w:tcPr>
            <w:tcW w:w="1843" w:type="dxa"/>
          </w:tcPr>
          <w:p w14:paraId="768E5836" w14:textId="77777777" w:rsidR="00F22D50" w:rsidRDefault="00F22D50" w:rsidP="005A15CE">
            <w:pPr>
              <w:pStyle w:val="Level1"/>
              <w:numPr>
                <w:ilvl w:val="0"/>
                <w:numId w:val="0"/>
              </w:numPr>
              <w:jc w:val="center"/>
            </w:pPr>
            <w:r>
              <w:t>422</w:t>
            </w:r>
          </w:p>
        </w:tc>
        <w:tc>
          <w:tcPr>
            <w:tcW w:w="2126" w:type="dxa"/>
          </w:tcPr>
          <w:p w14:paraId="4DDB0C39" w14:textId="77777777" w:rsidR="00F22D50" w:rsidRDefault="00F22D50" w:rsidP="005A15CE">
            <w:pPr>
              <w:pStyle w:val="Level1"/>
              <w:numPr>
                <w:ilvl w:val="0"/>
                <w:numId w:val="0"/>
              </w:numPr>
              <w:jc w:val="center"/>
            </w:pPr>
            <w:r>
              <w:t>481</w:t>
            </w:r>
          </w:p>
        </w:tc>
      </w:tr>
    </w:tbl>
    <w:p w14:paraId="6BFF07E0" w14:textId="77777777" w:rsidR="00F22D50" w:rsidRDefault="00F22D50" w:rsidP="00F22D50">
      <w:pPr>
        <w:pStyle w:val="Level1"/>
        <w:numPr>
          <w:ilvl w:val="0"/>
          <w:numId w:val="0"/>
        </w:numPr>
        <w:ind w:left="720"/>
        <w:rPr>
          <w:sz w:val="16"/>
          <w:szCs w:val="16"/>
        </w:rPr>
      </w:pPr>
      <w:r>
        <w:rPr>
          <w:sz w:val="16"/>
          <w:szCs w:val="16"/>
        </w:rPr>
        <w:t>Notes: all floorspace figures are cumulative and are given in net sales area.</w:t>
      </w:r>
    </w:p>
    <w:p w14:paraId="31DDFADC" w14:textId="0562FF78" w:rsidR="00F22D50" w:rsidRDefault="00F22D50" w:rsidP="00F22D50">
      <w:pPr>
        <w:pStyle w:val="Level1"/>
      </w:pPr>
      <w:r>
        <w:t xml:space="preserve">Table </w:t>
      </w:r>
      <w:r w:rsidR="0064612A">
        <w:t>7</w:t>
      </w:r>
      <w:r>
        <w:t>.2 below provides similar summary information from our comparison goods quantitative assessment.</w:t>
      </w:r>
    </w:p>
    <w:p w14:paraId="2BEDA5B6" w14:textId="4FB68A5B" w:rsidR="00F22D50" w:rsidRPr="0010169C" w:rsidRDefault="00F22D50" w:rsidP="00F22D50">
      <w:pPr>
        <w:pStyle w:val="Level1"/>
        <w:numPr>
          <w:ilvl w:val="0"/>
          <w:numId w:val="0"/>
        </w:numPr>
        <w:ind w:left="720"/>
        <w:rPr>
          <w:rStyle w:val="Emphasis"/>
        </w:rPr>
      </w:pPr>
      <w:r>
        <w:rPr>
          <w:rStyle w:val="Emphasis"/>
        </w:rPr>
        <w:t xml:space="preserve">Table </w:t>
      </w:r>
      <w:r w:rsidR="0064612A">
        <w:rPr>
          <w:rStyle w:val="Emphasis"/>
        </w:rPr>
        <w:t>7</w:t>
      </w:r>
      <w:r>
        <w:rPr>
          <w:rStyle w:val="Emphasis"/>
        </w:rPr>
        <w:t>.2: quantitative comparison goods floorspace capacity (</w:t>
      </w:r>
      <w:proofErr w:type="spellStart"/>
      <w:r>
        <w:rPr>
          <w:rStyle w:val="Emphasis"/>
        </w:rPr>
        <w:t>sq</w:t>
      </w:r>
      <w:proofErr w:type="spellEnd"/>
      <w:r>
        <w:rPr>
          <w:rStyle w:val="Emphasis"/>
        </w:rPr>
        <w:t xml:space="preserve"> m net sales areas), 2022-2040</w:t>
      </w:r>
    </w:p>
    <w:tbl>
      <w:tblPr>
        <w:tblStyle w:val="TableGrid2"/>
        <w:tblW w:w="10194" w:type="dxa"/>
        <w:tblInd w:w="704" w:type="dxa"/>
        <w:tblLook w:val="04A0" w:firstRow="1" w:lastRow="0" w:firstColumn="1" w:lastColumn="0" w:noHBand="0" w:noVBand="1"/>
      </w:tblPr>
      <w:tblGrid>
        <w:gridCol w:w="2038"/>
        <w:gridCol w:w="2039"/>
        <w:gridCol w:w="2039"/>
        <w:gridCol w:w="2039"/>
        <w:gridCol w:w="2039"/>
      </w:tblGrid>
      <w:tr w:rsidR="00F22D50" w14:paraId="600DCE16" w14:textId="77777777" w:rsidTr="0064612A">
        <w:tc>
          <w:tcPr>
            <w:tcW w:w="2038" w:type="dxa"/>
          </w:tcPr>
          <w:p w14:paraId="56FAFE26" w14:textId="77777777" w:rsidR="00F22D50" w:rsidRDefault="00F22D50" w:rsidP="005A15CE">
            <w:pPr>
              <w:pStyle w:val="Level1"/>
              <w:numPr>
                <w:ilvl w:val="0"/>
                <w:numId w:val="0"/>
              </w:numPr>
            </w:pPr>
          </w:p>
        </w:tc>
        <w:tc>
          <w:tcPr>
            <w:tcW w:w="2039" w:type="dxa"/>
          </w:tcPr>
          <w:p w14:paraId="75F4D922" w14:textId="77777777" w:rsidR="00F22D50" w:rsidRPr="0064612A" w:rsidRDefault="00F22D50" w:rsidP="005A15CE">
            <w:pPr>
              <w:pStyle w:val="Level1"/>
              <w:numPr>
                <w:ilvl w:val="0"/>
                <w:numId w:val="0"/>
              </w:numPr>
              <w:ind w:right="7"/>
              <w:jc w:val="center"/>
              <w:rPr>
                <w:b/>
                <w:bCs/>
              </w:rPr>
            </w:pPr>
            <w:r w:rsidRPr="0064612A">
              <w:rPr>
                <w:b/>
                <w:bCs/>
              </w:rPr>
              <w:t>2022</w:t>
            </w:r>
          </w:p>
        </w:tc>
        <w:tc>
          <w:tcPr>
            <w:tcW w:w="2039" w:type="dxa"/>
          </w:tcPr>
          <w:p w14:paraId="4D3AEBAE" w14:textId="77777777" w:rsidR="00F22D50" w:rsidRPr="0064612A" w:rsidRDefault="00F22D50" w:rsidP="005A15CE">
            <w:pPr>
              <w:pStyle w:val="Level1"/>
              <w:numPr>
                <w:ilvl w:val="0"/>
                <w:numId w:val="0"/>
              </w:numPr>
              <w:ind w:right="7"/>
              <w:jc w:val="center"/>
              <w:rPr>
                <w:b/>
                <w:bCs/>
              </w:rPr>
            </w:pPr>
            <w:r w:rsidRPr="0064612A">
              <w:rPr>
                <w:b/>
                <w:bCs/>
              </w:rPr>
              <w:t>2027</w:t>
            </w:r>
          </w:p>
        </w:tc>
        <w:tc>
          <w:tcPr>
            <w:tcW w:w="2039" w:type="dxa"/>
          </w:tcPr>
          <w:p w14:paraId="687055A3" w14:textId="77777777" w:rsidR="00F22D50" w:rsidRPr="0064612A" w:rsidRDefault="00F22D50" w:rsidP="005A15CE">
            <w:pPr>
              <w:pStyle w:val="Level1"/>
              <w:numPr>
                <w:ilvl w:val="0"/>
                <w:numId w:val="0"/>
              </w:numPr>
              <w:ind w:right="7"/>
              <w:jc w:val="center"/>
              <w:rPr>
                <w:b/>
                <w:bCs/>
              </w:rPr>
            </w:pPr>
            <w:r w:rsidRPr="0064612A">
              <w:rPr>
                <w:b/>
                <w:bCs/>
              </w:rPr>
              <w:t>2032</w:t>
            </w:r>
          </w:p>
        </w:tc>
        <w:tc>
          <w:tcPr>
            <w:tcW w:w="2039" w:type="dxa"/>
          </w:tcPr>
          <w:p w14:paraId="38924FD7" w14:textId="77777777" w:rsidR="00F22D50" w:rsidRPr="0064612A" w:rsidRDefault="00F22D50" w:rsidP="005A15CE">
            <w:pPr>
              <w:pStyle w:val="Level1"/>
              <w:numPr>
                <w:ilvl w:val="0"/>
                <w:numId w:val="0"/>
              </w:numPr>
              <w:ind w:right="7"/>
              <w:jc w:val="center"/>
              <w:rPr>
                <w:b/>
                <w:bCs/>
              </w:rPr>
            </w:pPr>
            <w:r w:rsidRPr="0064612A">
              <w:rPr>
                <w:b/>
                <w:bCs/>
              </w:rPr>
              <w:t>2040</w:t>
            </w:r>
          </w:p>
        </w:tc>
      </w:tr>
      <w:tr w:rsidR="00F22D50" w14:paraId="0ECD76BA" w14:textId="77777777" w:rsidTr="0064612A">
        <w:tc>
          <w:tcPr>
            <w:tcW w:w="2038" w:type="dxa"/>
          </w:tcPr>
          <w:p w14:paraId="0CA7F9D0" w14:textId="77777777" w:rsidR="00F22D50" w:rsidRDefault="00F22D50" w:rsidP="005A15CE">
            <w:pPr>
              <w:pStyle w:val="Level1"/>
              <w:numPr>
                <w:ilvl w:val="0"/>
                <w:numId w:val="0"/>
              </w:numPr>
            </w:pPr>
            <w:r>
              <w:t>Torquay</w:t>
            </w:r>
          </w:p>
        </w:tc>
        <w:tc>
          <w:tcPr>
            <w:tcW w:w="2039" w:type="dxa"/>
          </w:tcPr>
          <w:p w14:paraId="23274F8B" w14:textId="77777777" w:rsidR="00F22D50" w:rsidRDefault="00F22D50" w:rsidP="005A15CE">
            <w:pPr>
              <w:pStyle w:val="Level1"/>
              <w:numPr>
                <w:ilvl w:val="0"/>
                <w:numId w:val="0"/>
              </w:numPr>
              <w:ind w:right="7"/>
              <w:jc w:val="center"/>
            </w:pPr>
            <w:r>
              <w:t>0 – 1,409</w:t>
            </w:r>
          </w:p>
        </w:tc>
        <w:tc>
          <w:tcPr>
            <w:tcW w:w="2039" w:type="dxa"/>
          </w:tcPr>
          <w:p w14:paraId="36235D11" w14:textId="77777777" w:rsidR="00F22D50" w:rsidRDefault="00F22D50" w:rsidP="005A15CE">
            <w:pPr>
              <w:pStyle w:val="Level1"/>
              <w:numPr>
                <w:ilvl w:val="0"/>
                <w:numId w:val="0"/>
              </w:numPr>
              <w:ind w:right="7"/>
              <w:jc w:val="center"/>
            </w:pPr>
            <w:r>
              <w:t>0 – 1,098</w:t>
            </w:r>
          </w:p>
        </w:tc>
        <w:tc>
          <w:tcPr>
            <w:tcW w:w="2039" w:type="dxa"/>
          </w:tcPr>
          <w:p w14:paraId="05B6194A" w14:textId="77777777" w:rsidR="00F22D50" w:rsidRDefault="00F22D50" w:rsidP="005A15CE">
            <w:pPr>
              <w:pStyle w:val="Level1"/>
              <w:numPr>
                <w:ilvl w:val="0"/>
                <w:numId w:val="0"/>
              </w:numPr>
              <w:ind w:right="7"/>
              <w:jc w:val="center"/>
            </w:pPr>
            <w:r>
              <w:t>0 – 2,142</w:t>
            </w:r>
          </w:p>
        </w:tc>
        <w:tc>
          <w:tcPr>
            <w:tcW w:w="2039" w:type="dxa"/>
          </w:tcPr>
          <w:p w14:paraId="35F4E3A1" w14:textId="77777777" w:rsidR="00F22D50" w:rsidRDefault="00F22D50" w:rsidP="005A15CE">
            <w:pPr>
              <w:pStyle w:val="Level1"/>
              <w:numPr>
                <w:ilvl w:val="0"/>
                <w:numId w:val="0"/>
              </w:numPr>
              <w:ind w:right="7"/>
              <w:jc w:val="center"/>
            </w:pPr>
            <w:r>
              <w:t>0 – 3,331</w:t>
            </w:r>
          </w:p>
        </w:tc>
      </w:tr>
      <w:tr w:rsidR="00F22D50" w14:paraId="7BBDB4D8" w14:textId="77777777" w:rsidTr="0064612A">
        <w:tc>
          <w:tcPr>
            <w:tcW w:w="2038" w:type="dxa"/>
          </w:tcPr>
          <w:p w14:paraId="7B506BDF" w14:textId="77777777" w:rsidR="00F22D50" w:rsidRDefault="00F22D50" w:rsidP="005A15CE">
            <w:pPr>
              <w:pStyle w:val="Level1"/>
              <w:numPr>
                <w:ilvl w:val="0"/>
                <w:numId w:val="0"/>
              </w:numPr>
            </w:pPr>
            <w:r>
              <w:t>Paignton</w:t>
            </w:r>
          </w:p>
        </w:tc>
        <w:tc>
          <w:tcPr>
            <w:tcW w:w="2039" w:type="dxa"/>
          </w:tcPr>
          <w:p w14:paraId="574753F4" w14:textId="77777777" w:rsidR="00F22D50" w:rsidRDefault="00F22D50" w:rsidP="005A15CE">
            <w:pPr>
              <w:pStyle w:val="Level1"/>
              <w:numPr>
                <w:ilvl w:val="0"/>
                <w:numId w:val="0"/>
              </w:numPr>
              <w:ind w:right="7"/>
              <w:jc w:val="center"/>
            </w:pPr>
            <w:r>
              <w:t>550 - 4,169</w:t>
            </w:r>
          </w:p>
        </w:tc>
        <w:tc>
          <w:tcPr>
            <w:tcW w:w="2039" w:type="dxa"/>
          </w:tcPr>
          <w:p w14:paraId="666CA0EA" w14:textId="77777777" w:rsidR="00F22D50" w:rsidRDefault="00F22D50" w:rsidP="005A15CE">
            <w:pPr>
              <w:pStyle w:val="Level1"/>
              <w:numPr>
                <w:ilvl w:val="0"/>
                <w:numId w:val="0"/>
              </w:numPr>
              <w:ind w:right="7"/>
              <w:jc w:val="center"/>
            </w:pPr>
            <w:r>
              <w:t>413 - 4,033</w:t>
            </w:r>
          </w:p>
        </w:tc>
        <w:tc>
          <w:tcPr>
            <w:tcW w:w="2039" w:type="dxa"/>
          </w:tcPr>
          <w:p w14:paraId="706612B6" w14:textId="77777777" w:rsidR="00F22D50" w:rsidRDefault="00F22D50" w:rsidP="005A15CE">
            <w:pPr>
              <w:pStyle w:val="Level1"/>
              <w:numPr>
                <w:ilvl w:val="0"/>
                <w:numId w:val="0"/>
              </w:numPr>
              <w:ind w:right="7"/>
              <w:jc w:val="center"/>
            </w:pPr>
            <w:r>
              <w:t>568 - 4,187</w:t>
            </w:r>
          </w:p>
        </w:tc>
        <w:tc>
          <w:tcPr>
            <w:tcW w:w="2039" w:type="dxa"/>
          </w:tcPr>
          <w:p w14:paraId="16E8CAED" w14:textId="77777777" w:rsidR="00F22D50" w:rsidRDefault="00F22D50" w:rsidP="005A15CE">
            <w:pPr>
              <w:pStyle w:val="Level1"/>
              <w:numPr>
                <w:ilvl w:val="0"/>
                <w:numId w:val="0"/>
              </w:numPr>
              <w:ind w:right="7"/>
              <w:jc w:val="center"/>
            </w:pPr>
            <w:r>
              <w:t>707 - 4,326</w:t>
            </w:r>
          </w:p>
        </w:tc>
      </w:tr>
      <w:tr w:rsidR="00F22D50" w14:paraId="4A405E90" w14:textId="77777777" w:rsidTr="0064612A">
        <w:tc>
          <w:tcPr>
            <w:tcW w:w="2038" w:type="dxa"/>
          </w:tcPr>
          <w:p w14:paraId="37CFBF00" w14:textId="77777777" w:rsidR="00F22D50" w:rsidRDefault="00F22D50" w:rsidP="005A15CE">
            <w:pPr>
              <w:pStyle w:val="Level1"/>
              <w:numPr>
                <w:ilvl w:val="0"/>
                <w:numId w:val="0"/>
              </w:numPr>
            </w:pPr>
            <w:r>
              <w:t>Brixham</w:t>
            </w:r>
          </w:p>
        </w:tc>
        <w:tc>
          <w:tcPr>
            <w:tcW w:w="2039" w:type="dxa"/>
          </w:tcPr>
          <w:p w14:paraId="37DF38A5" w14:textId="77777777" w:rsidR="00F22D50" w:rsidRDefault="00F22D50" w:rsidP="005A15CE">
            <w:pPr>
              <w:pStyle w:val="Level1"/>
              <w:numPr>
                <w:ilvl w:val="0"/>
                <w:numId w:val="0"/>
              </w:numPr>
              <w:ind w:right="7"/>
              <w:jc w:val="center"/>
            </w:pPr>
            <w:r>
              <w:t>0 - 910</w:t>
            </w:r>
          </w:p>
        </w:tc>
        <w:tc>
          <w:tcPr>
            <w:tcW w:w="2039" w:type="dxa"/>
          </w:tcPr>
          <w:p w14:paraId="098CDD06" w14:textId="77777777" w:rsidR="00F22D50" w:rsidRDefault="00F22D50" w:rsidP="005A15CE">
            <w:pPr>
              <w:pStyle w:val="Level1"/>
              <w:numPr>
                <w:ilvl w:val="0"/>
                <w:numId w:val="0"/>
              </w:numPr>
              <w:ind w:right="7"/>
              <w:jc w:val="center"/>
            </w:pPr>
            <w:r>
              <w:t>0 - 874</w:t>
            </w:r>
          </w:p>
        </w:tc>
        <w:tc>
          <w:tcPr>
            <w:tcW w:w="2039" w:type="dxa"/>
          </w:tcPr>
          <w:p w14:paraId="7C07E2CD" w14:textId="77777777" w:rsidR="00F22D50" w:rsidRDefault="00F22D50" w:rsidP="005A15CE">
            <w:pPr>
              <w:pStyle w:val="Level1"/>
              <w:numPr>
                <w:ilvl w:val="0"/>
                <w:numId w:val="0"/>
              </w:numPr>
              <w:ind w:right="7"/>
              <w:jc w:val="center"/>
            </w:pPr>
            <w:r>
              <w:t>0 - 887</w:t>
            </w:r>
          </w:p>
        </w:tc>
        <w:tc>
          <w:tcPr>
            <w:tcW w:w="2039" w:type="dxa"/>
          </w:tcPr>
          <w:p w14:paraId="5594D872" w14:textId="77777777" w:rsidR="00F22D50" w:rsidRDefault="00F22D50" w:rsidP="005A15CE">
            <w:pPr>
              <w:pStyle w:val="Level1"/>
              <w:numPr>
                <w:ilvl w:val="0"/>
                <w:numId w:val="0"/>
              </w:numPr>
              <w:ind w:right="7"/>
              <w:jc w:val="center"/>
            </w:pPr>
            <w:r>
              <w:t>0 - 890</w:t>
            </w:r>
          </w:p>
        </w:tc>
      </w:tr>
    </w:tbl>
    <w:p w14:paraId="2278894A" w14:textId="3E5493BB" w:rsidR="00F22D50" w:rsidRDefault="00F22D50" w:rsidP="00F22D50">
      <w:pPr>
        <w:pStyle w:val="Level1"/>
        <w:numPr>
          <w:ilvl w:val="0"/>
          <w:numId w:val="0"/>
        </w:numPr>
        <w:ind w:left="720"/>
        <w:rPr>
          <w:sz w:val="16"/>
          <w:szCs w:val="16"/>
        </w:rPr>
      </w:pPr>
      <w:r>
        <w:rPr>
          <w:sz w:val="16"/>
          <w:szCs w:val="16"/>
        </w:rPr>
        <w:t>Notes: all floorspace figures are cumulative and are given in net sales area.</w:t>
      </w:r>
    </w:p>
    <w:p w14:paraId="3489F6C9" w14:textId="77777777" w:rsidR="0064612A" w:rsidRDefault="0064612A" w:rsidP="00B44051">
      <w:pPr>
        <w:pStyle w:val="ListBullet"/>
        <w:numPr>
          <w:ilvl w:val="0"/>
          <w:numId w:val="0"/>
        </w:numPr>
        <w:rPr>
          <w:rStyle w:val="Emphasis"/>
        </w:rPr>
      </w:pPr>
    </w:p>
    <w:p w14:paraId="7DBB3C69" w14:textId="77777777" w:rsidR="0064612A" w:rsidRDefault="0064612A" w:rsidP="00B44051">
      <w:pPr>
        <w:pStyle w:val="ListBullet"/>
        <w:numPr>
          <w:ilvl w:val="0"/>
          <w:numId w:val="0"/>
        </w:numPr>
        <w:rPr>
          <w:rStyle w:val="Emphasis"/>
        </w:rPr>
      </w:pPr>
    </w:p>
    <w:p w14:paraId="4DB4413A" w14:textId="2BCD4ACC" w:rsidR="00F22D50" w:rsidRPr="00B44051" w:rsidRDefault="00F22D50" w:rsidP="0064612A">
      <w:pPr>
        <w:pStyle w:val="ListBullet"/>
        <w:numPr>
          <w:ilvl w:val="0"/>
          <w:numId w:val="0"/>
        </w:numPr>
        <w:ind w:firstLine="720"/>
        <w:rPr>
          <w:rStyle w:val="Emphasis"/>
        </w:rPr>
      </w:pPr>
      <w:r>
        <w:rPr>
          <w:rStyle w:val="Emphasis"/>
        </w:rPr>
        <w:t>Table 6.3: quantitative capacity for food and beverage floorspace, 2022-2040</w:t>
      </w:r>
    </w:p>
    <w:tbl>
      <w:tblPr>
        <w:tblStyle w:val="TableGrid2"/>
        <w:tblW w:w="0" w:type="auto"/>
        <w:tblInd w:w="704" w:type="dxa"/>
        <w:tblLook w:val="04A0" w:firstRow="1" w:lastRow="0" w:firstColumn="1" w:lastColumn="0" w:noHBand="0" w:noVBand="1"/>
      </w:tblPr>
      <w:tblGrid>
        <w:gridCol w:w="2038"/>
        <w:gridCol w:w="2039"/>
        <w:gridCol w:w="2039"/>
        <w:gridCol w:w="2039"/>
      </w:tblGrid>
      <w:tr w:rsidR="00F22D50" w14:paraId="0ED95D43" w14:textId="77777777" w:rsidTr="0064612A">
        <w:tc>
          <w:tcPr>
            <w:tcW w:w="2038" w:type="dxa"/>
          </w:tcPr>
          <w:p w14:paraId="6B91EB5E" w14:textId="77777777" w:rsidR="00F22D50" w:rsidRDefault="00F22D50" w:rsidP="005A15CE">
            <w:pPr>
              <w:pStyle w:val="Level1"/>
              <w:numPr>
                <w:ilvl w:val="0"/>
                <w:numId w:val="0"/>
              </w:numPr>
            </w:pPr>
          </w:p>
        </w:tc>
        <w:tc>
          <w:tcPr>
            <w:tcW w:w="2039" w:type="dxa"/>
          </w:tcPr>
          <w:p w14:paraId="57FF5ECC" w14:textId="77777777" w:rsidR="00F22D50" w:rsidRPr="0064612A" w:rsidRDefault="00F22D50" w:rsidP="005A15CE">
            <w:pPr>
              <w:pStyle w:val="Level1"/>
              <w:numPr>
                <w:ilvl w:val="0"/>
                <w:numId w:val="0"/>
              </w:numPr>
              <w:jc w:val="center"/>
              <w:rPr>
                <w:b/>
                <w:bCs/>
              </w:rPr>
            </w:pPr>
            <w:r w:rsidRPr="0064612A">
              <w:rPr>
                <w:b/>
                <w:bCs/>
              </w:rPr>
              <w:t>2022</w:t>
            </w:r>
          </w:p>
        </w:tc>
        <w:tc>
          <w:tcPr>
            <w:tcW w:w="2039" w:type="dxa"/>
          </w:tcPr>
          <w:p w14:paraId="7AE49671" w14:textId="77777777" w:rsidR="00F22D50" w:rsidRPr="0064612A" w:rsidRDefault="00F22D50" w:rsidP="005A15CE">
            <w:pPr>
              <w:pStyle w:val="Level1"/>
              <w:numPr>
                <w:ilvl w:val="0"/>
                <w:numId w:val="0"/>
              </w:numPr>
              <w:jc w:val="center"/>
              <w:rPr>
                <w:b/>
                <w:bCs/>
              </w:rPr>
            </w:pPr>
            <w:r w:rsidRPr="0064612A">
              <w:rPr>
                <w:b/>
                <w:bCs/>
              </w:rPr>
              <w:t>2032</w:t>
            </w:r>
          </w:p>
        </w:tc>
        <w:tc>
          <w:tcPr>
            <w:tcW w:w="2039" w:type="dxa"/>
          </w:tcPr>
          <w:p w14:paraId="2E6C6131" w14:textId="77777777" w:rsidR="00F22D50" w:rsidRPr="0064612A" w:rsidRDefault="00F22D50" w:rsidP="005A15CE">
            <w:pPr>
              <w:pStyle w:val="Level1"/>
              <w:numPr>
                <w:ilvl w:val="0"/>
                <w:numId w:val="0"/>
              </w:numPr>
              <w:jc w:val="center"/>
              <w:rPr>
                <w:b/>
                <w:bCs/>
              </w:rPr>
            </w:pPr>
            <w:r w:rsidRPr="0064612A">
              <w:rPr>
                <w:b/>
                <w:bCs/>
              </w:rPr>
              <w:t>2040</w:t>
            </w:r>
          </w:p>
        </w:tc>
      </w:tr>
      <w:tr w:rsidR="00F22D50" w14:paraId="04B3308B" w14:textId="77777777" w:rsidTr="0064612A">
        <w:tc>
          <w:tcPr>
            <w:tcW w:w="2038" w:type="dxa"/>
          </w:tcPr>
          <w:p w14:paraId="43DB7941" w14:textId="77777777" w:rsidR="00F22D50" w:rsidRDefault="00F22D50" w:rsidP="005A15CE">
            <w:pPr>
              <w:pStyle w:val="Level1"/>
              <w:numPr>
                <w:ilvl w:val="0"/>
                <w:numId w:val="0"/>
              </w:numPr>
            </w:pPr>
            <w:r>
              <w:t>Torquay</w:t>
            </w:r>
          </w:p>
        </w:tc>
        <w:tc>
          <w:tcPr>
            <w:tcW w:w="2039" w:type="dxa"/>
          </w:tcPr>
          <w:p w14:paraId="55C78901" w14:textId="77777777" w:rsidR="00F22D50" w:rsidRDefault="00F22D50" w:rsidP="005A15CE">
            <w:pPr>
              <w:pStyle w:val="Level1"/>
              <w:numPr>
                <w:ilvl w:val="0"/>
                <w:numId w:val="0"/>
              </w:numPr>
              <w:jc w:val="center"/>
            </w:pPr>
            <w:r>
              <w:t>1,463sq m</w:t>
            </w:r>
          </w:p>
        </w:tc>
        <w:tc>
          <w:tcPr>
            <w:tcW w:w="2039" w:type="dxa"/>
          </w:tcPr>
          <w:p w14:paraId="62DFD5C2" w14:textId="77777777" w:rsidR="00F22D50" w:rsidRDefault="00F22D50" w:rsidP="005A15CE">
            <w:pPr>
              <w:pStyle w:val="Level1"/>
              <w:numPr>
                <w:ilvl w:val="0"/>
                <w:numId w:val="0"/>
              </w:numPr>
              <w:jc w:val="center"/>
            </w:pPr>
            <w:r>
              <w:t>3,129sq m</w:t>
            </w:r>
          </w:p>
        </w:tc>
        <w:tc>
          <w:tcPr>
            <w:tcW w:w="2039" w:type="dxa"/>
          </w:tcPr>
          <w:p w14:paraId="401870FB" w14:textId="77777777" w:rsidR="00F22D50" w:rsidRDefault="00F22D50" w:rsidP="005A15CE">
            <w:pPr>
              <w:pStyle w:val="Level1"/>
              <w:numPr>
                <w:ilvl w:val="0"/>
                <w:numId w:val="0"/>
              </w:numPr>
              <w:jc w:val="center"/>
            </w:pPr>
            <w:r>
              <w:t>2,615sq m</w:t>
            </w:r>
          </w:p>
        </w:tc>
      </w:tr>
      <w:tr w:rsidR="00F22D50" w14:paraId="3EAEAED4" w14:textId="77777777" w:rsidTr="0064612A">
        <w:tc>
          <w:tcPr>
            <w:tcW w:w="2038" w:type="dxa"/>
          </w:tcPr>
          <w:p w14:paraId="6959F26D" w14:textId="77777777" w:rsidR="00F22D50" w:rsidRDefault="00F22D50" w:rsidP="005A15CE">
            <w:pPr>
              <w:pStyle w:val="Level1"/>
              <w:numPr>
                <w:ilvl w:val="0"/>
                <w:numId w:val="0"/>
              </w:numPr>
            </w:pPr>
            <w:r>
              <w:t>Paignton</w:t>
            </w:r>
          </w:p>
        </w:tc>
        <w:tc>
          <w:tcPr>
            <w:tcW w:w="2039" w:type="dxa"/>
          </w:tcPr>
          <w:p w14:paraId="3AB626B3" w14:textId="77777777" w:rsidR="00F22D50" w:rsidRDefault="00F22D50" w:rsidP="005A15CE">
            <w:pPr>
              <w:pStyle w:val="Level1"/>
              <w:numPr>
                <w:ilvl w:val="0"/>
                <w:numId w:val="0"/>
              </w:numPr>
              <w:jc w:val="center"/>
            </w:pPr>
            <w:r>
              <w:t>518sq m</w:t>
            </w:r>
          </w:p>
        </w:tc>
        <w:tc>
          <w:tcPr>
            <w:tcW w:w="2039" w:type="dxa"/>
          </w:tcPr>
          <w:p w14:paraId="78F77877" w14:textId="77777777" w:rsidR="00F22D50" w:rsidRDefault="00F22D50" w:rsidP="005A15CE">
            <w:pPr>
              <w:pStyle w:val="Level1"/>
              <w:numPr>
                <w:ilvl w:val="0"/>
                <w:numId w:val="0"/>
              </w:numPr>
              <w:jc w:val="center"/>
            </w:pPr>
            <w:r>
              <w:t>1,108sq m</w:t>
            </w:r>
          </w:p>
        </w:tc>
        <w:tc>
          <w:tcPr>
            <w:tcW w:w="2039" w:type="dxa"/>
          </w:tcPr>
          <w:p w14:paraId="48D56C75" w14:textId="77777777" w:rsidR="00F22D50" w:rsidRDefault="00F22D50" w:rsidP="005A15CE">
            <w:pPr>
              <w:pStyle w:val="Level1"/>
              <w:numPr>
                <w:ilvl w:val="0"/>
                <w:numId w:val="0"/>
              </w:numPr>
              <w:jc w:val="center"/>
            </w:pPr>
            <w:r>
              <w:t>926sq m</w:t>
            </w:r>
          </w:p>
        </w:tc>
      </w:tr>
      <w:tr w:rsidR="00F22D50" w14:paraId="50FEABF7" w14:textId="77777777" w:rsidTr="0064612A">
        <w:tc>
          <w:tcPr>
            <w:tcW w:w="2038" w:type="dxa"/>
          </w:tcPr>
          <w:p w14:paraId="4E75CB30" w14:textId="77777777" w:rsidR="00F22D50" w:rsidRDefault="00F22D50" w:rsidP="005A15CE">
            <w:pPr>
              <w:pStyle w:val="Level1"/>
              <w:numPr>
                <w:ilvl w:val="0"/>
                <w:numId w:val="0"/>
              </w:numPr>
            </w:pPr>
            <w:r>
              <w:t>Brixham</w:t>
            </w:r>
          </w:p>
        </w:tc>
        <w:tc>
          <w:tcPr>
            <w:tcW w:w="2039" w:type="dxa"/>
          </w:tcPr>
          <w:p w14:paraId="1800D7EB" w14:textId="77777777" w:rsidR="00F22D50" w:rsidRDefault="00F22D50" w:rsidP="005A15CE">
            <w:pPr>
              <w:pStyle w:val="Level1"/>
              <w:numPr>
                <w:ilvl w:val="0"/>
                <w:numId w:val="0"/>
              </w:numPr>
              <w:jc w:val="center"/>
            </w:pPr>
            <w:r>
              <w:t>259sq m</w:t>
            </w:r>
          </w:p>
        </w:tc>
        <w:tc>
          <w:tcPr>
            <w:tcW w:w="2039" w:type="dxa"/>
          </w:tcPr>
          <w:p w14:paraId="7367FFED" w14:textId="77777777" w:rsidR="00F22D50" w:rsidRDefault="00F22D50" w:rsidP="005A15CE">
            <w:pPr>
              <w:pStyle w:val="Level1"/>
              <w:numPr>
                <w:ilvl w:val="0"/>
                <w:numId w:val="0"/>
              </w:numPr>
              <w:jc w:val="center"/>
            </w:pPr>
            <w:r>
              <w:t>553sq m</w:t>
            </w:r>
          </w:p>
        </w:tc>
        <w:tc>
          <w:tcPr>
            <w:tcW w:w="2039" w:type="dxa"/>
          </w:tcPr>
          <w:p w14:paraId="77D211B8" w14:textId="77777777" w:rsidR="00F22D50" w:rsidRDefault="00F22D50" w:rsidP="005A15CE">
            <w:pPr>
              <w:pStyle w:val="Level1"/>
              <w:numPr>
                <w:ilvl w:val="0"/>
                <w:numId w:val="0"/>
              </w:numPr>
              <w:jc w:val="center"/>
            </w:pPr>
            <w:r>
              <w:t>463sq m</w:t>
            </w:r>
          </w:p>
        </w:tc>
      </w:tr>
    </w:tbl>
    <w:p w14:paraId="130BEBFC" w14:textId="13386761" w:rsidR="0026757C" w:rsidRDefault="0026757C" w:rsidP="00B44051">
      <w:pPr>
        <w:pStyle w:val="Level1"/>
        <w:numPr>
          <w:ilvl w:val="0"/>
          <w:numId w:val="0"/>
        </w:numPr>
        <w:ind w:left="720"/>
      </w:pPr>
    </w:p>
    <w:p w14:paraId="150C6C72" w14:textId="5C0B134F" w:rsidR="0026757C" w:rsidRDefault="0026757C" w:rsidP="00B44051">
      <w:pPr>
        <w:pStyle w:val="Level1"/>
        <w:numPr>
          <w:ilvl w:val="0"/>
          <w:numId w:val="0"/>
        </w:numPr>
        <w:ind w:left="720"/>
      </w:pPr>
    </w:p>
    <w:p w14:paraId="69F1ABF9" w14:textId="03B97F6A" w:rsidR="0026757C" w:rsidRDefault="0026757C" w:rsidP="005D7FD8">
      <w:pPr>
        <w:pStyle w:val="Level1"/>
      </w:pPr>
      <w:r>
        <w:t>With regards to planning policy issues, the following recommendations have been made</w:t>
      </w:r>
      <w:r w:rsidR="00862746">
        <w:t xml:space="preserve"> regarding the defined areas in each town centre</w:t>
      </w:r>
      <w:r>
        <w:t>:</w:t>
      </w:r>
    </w:p>
    <w:p w14:paraId="0CF6A2CE" w14:textId="77777777" w:rsidR="00862746" w:rsidRDefault="00862746" w:rsidP="00862746">
      <w:pPr>
        <w:pStyle w:val="ListBullet"/>
      </w:pPr>
      <w:r w:rsidRPr="00F72A75">
        <w:rPr>
          <w:u w:val="single"/>
        </w:rPr>
        <w:t>Torquay</w:t>
      </w:r>
      <w:r w:rsidRPr="00FE3D7A">
        <w:t xml:space="preserve">.  </w:t>
      </w:r>
      <w:r>
        <w:t xml:space="preserve">We consider that Torquay’s town centre boundary remains reflective of the concentration of ‘main centre land uses’ across the different character areas of the centre, ranging from the concentration of retail / shopping uses on Union Street, heading southwards along Fleet Street towards the seafront / harbour.  In relation to the primary shopping area, this is currently tightly </w:t>
      </w:r>
      <w:proofErr w:type="gramStart"/>
      <w:r>
        <w:t>drawn</w:t>
      </w:r>
      <w:proofErr w:type="gramEnd"/>
      <w:r>
        <w:t xml:space="preserve"> and it is notable that there are also, beyond the existing defined area, a large number of retail uses along Fleet Street.  However, given the evolving function of the town centre, national trends in retail and service uses, along with the need to attract a wider mix of uses to underpin the health of Torquay town centre, we do not recommend any changes to the existing primary shopping area boundary. </w:t>
      </w:r>
    </w:p>
    <w:p w14:paraId="6CD064BE" w14:textId="77777777" w:rsidR="00862746" w:rsidRPr="00FE3D7A" w:rsidRDefault="00862746" w:rsidP="00862746">
      <w:pPr>
        <w:pStyle w:val="ListBullet"/>
        <w:numPr>
          <w:ilvl w:val="0"/>
          <w:numId w:val="0"/>
        </w:numPr>
        <w:ind w:left="1077"/>
      </w:pPr>
    </w:p>
    <w:p w14:paraId="11B5B7CD" w14:textId="77777777" w:rsidR="00862746" w:rsidRDefault="00862746" w:rsidP="00862746">
      <w:pPr>
        <w:pStyle w:val="ListBullet"/>
      </w:pPr>
      <w:r w:rsidRPr="000F54EF">
        <w:rPr>
          <w:u w:val="single"/>
        </w:rPr>
        <w:t>Paignton</w:t>
      </w:r>
      <w:r w:rsidRPr="00FE3D7A">
        <w:t xml:space="preserve">. </w:t>
      </w:r>
      <w:r>
        <w:t xml:space="preserve">We do not recommend any </w:t>
      </w:r>
      <w:r w:rsidRPr="00FE3D7A">
        <w:t xml:space="preserve">change to </w:t>
      </w:r>
      <w:r>
        <w:t xml:space="preserve">the defined </w:t>
      </w:r>
      <w:r w:rsidRPr="00FE3D7A">
        <w:t>town centre boundary</w:t>
      </w:r>
      <w:r>
        <w:t xml:space="preserve"> which, in our opinion, remains appropriate in terms of the extent of the collection and extent of ‘main town centre uses’.  However, we do recommend that TC consider a </w:t>
      </w:r>
      <w:r w:rsidRPr="00FE3D7A">
        <w:t xml:space="preserve">reduced </w:t>
      </w:r>
      <w:r>
        <w:t xml:space="preserve">primary shopping area in Paignton, which removes the following parts of the existing defined area: </w:t>
      </w:r>
      <w:r w:rsidRPr="00FE3D7A">
        <w:t>Torbay Road, Victoria Square, Palace Avenue and Crossways shopping centre.</w:t>
      </w:r>
      <w:r>
        <w:t xml:space="preserve">  In our opinion, whilst these areas clearly remain part of Paignton’s town centre, they have, or are, moving away from a primary shopping / retail role and, instead, into a wider set of land uses which </w:t>
      </w:r>
      <w:proofErr w:type="gramStart"/>
      <w:r>
        <w:t>are able to</w:t>
      </w:r>
      <w:proofErr w:type="gramEnd"/>
      <w:r>
        <w:t xml:space="preserve"> maintain and enhance the health of Paignton town centre.</w:t>
      </w:r>
    </w:p>
    <w:p w14:paraId="0358E0CF" w14:textId="77777777" w:rsidR="00862746" w:rsidRPr="00FE3D7A" w:rsidRDefault="00862746" w:rsidP="00862746">
      <w:pPr>
        <w:pStyle w:val="ListBullet"/>
        <w:numPr>
          <w:ilvl w:val="0"/>
          <w:numId w:val="0"/>
        </w:numPr>
      </w:pPr>
    </w:p>
    <w:p w14:paraId="3C087B13" w14:textId="262D7D0D" w:rsidR="00A44BDB" w:rsidRDefault="00862746" w:rsidP="005B12B9">
      <w:pPr>
        <w:pStyle w:val="ListBullet"/>
      </w:pPr>
      <w:r w:rsidRPr="000F54EF">
        <w:rPr>
          <w:u w:val="single"/>
        </w:rPr>
        <w:t>Brixham</w:t>
      </w:r>
      <w:r w:rsidRPr="00FE3D7A">
        <w:t xml:space="preserve">.  </w:t>
      </w:r>
      <w:r>
        <w:t xml:space="preserve">We do not recommend any </w:t>
      </w:r>
      <w:r w:rsidRPr="00FE3D7A">
        <w:t xml:space="preserve">changes </w:t>
      </w:r>
      <w:r>
        <w:t xml:space="preserve">to </w:t>
      </w:r>
      <w:r w:rsidRPr="00FE3D7A">
        <w:t>the existing primary shopping area and town centre boundaries in Brixham</w:t>
      </w:r>
      <w:r>
        <w:t>.  B</w:t>
      </w:r>
      <w:r w:rsidRPr="00FE3D7A">
        <w:t>ased upon the current land use data, both provide an accurate reflection of their respective roles and functions.</w:t>
      </w:r>
    </w:p>
    <w:p w14:paraId="68C54066" w14:textId="77777777" w:rsidR="00862746" w:rsidRDefault="00862746" w:rsidP="00B44051">
      <w:pPr>
        <w:pStyle w:val="ListBullet"/>
        <w:numPr>
          <w:ilvl w:val="0"/>
          <w:numId w:val="0"/>
        </w:numPr>
        <w:ind w:left="1077"/>
      </w:pPr>
    </w:p>
    <w:p w14:paraId="0BDCEC19" w14:textId="77777777" w:rsidR="00862746" w:rsidRDefault="00862746" w:rsidP="00862746">
      <w:pPr>
        <w:pStyle w:val="Level1"/>
      </w:pPr>
      <w:r>
        <w:t>With regards to the content of retail and town centre policies in the development plan, the following recommendations have been made:</w:t>
      </w:r>
    </w:p>
    <w:p w14:paraId="5BBA284C" w14:textId="587871D7" w:rsidR="00A44BDB" w:rsidRDefault="00A44BDB" w:rsidP="00862746">
      <w:pPr>
        <w:pStyle w:val="ListBullet"/>
      </w:pPr>
      <w:r>
        <w:t>We do not consider that any changes are required in relation to the main strategic town centres policy (TC1)</w:t>
      </w:r>
      <w:r w:rsidR="00D957ED">
        <w:t>.</w:t>
      </w:r>
    </w:p>
    <w:p w14:paraId="4E7B488F" w14:textId="25D8F994" w:rsidR="00A44BDB" w:rsidRDefault="00A44BDB" w:rsidP="00862746">
      <w:pPr>
        <w:pStyle w:val="ListBullet"/>
      </w:pPr>
      <w:r>
        <w:t xml:space="preserve">Policy TC2 should be amended slightly </w:t>
      </w:r>
      <w:proofErr w:type="gramStart"/>
      <w:r>
        <w:t>in order to</w:t>
      </w:r>
      <w:proofErr w:type="gramEnd"/>
      <w:r>
        <w:t xml:space="preserve"> ensure that the health of neighbourhood centres is protected via the ‘impact’ test, and that the range of appropriate land uses in all levels of the centre health includes all main town centre uses</w:t>
      </w:r>
      <w:r w:rsidR="00D957ED">
        <w:t>.</w:t>
      </w:r>
    </w:p>
    <w:p w14:paraId="7FB4ECEB" w14:textId="77777777" w:rsidR="005B12B9" w:rsidRDefault="00A44BDB" w:rsidP="00862746">
      <w:pPr>
        <w:pStyle w:val="ListBullet"/>
      </w:pPr>
      <w:r>
        <w:t xml:space="preserve">We have recommended that </w:t>
      </w:r>
      <w:r w:rsidR="005B12B9">
        <w:t xml:space="preserve">updates are made to Policy TC3 in relation to the land uses which are to be considered as part of the impact test (retail and leisure) </w:t>
      </w:r>
      <w:proofErr w:type="gramStart"/>
      <w:r w:rsidR="005B12B9">
        <w:t>and also</w:t>
      </w:r>
      <w:proofErr w:type="gramEnd"/>
      <w:r w:rsidR="005B12B9">
        <w:t xml:space="preserve"> that the sequential test should apply to all main town centre uses.</w:t>
      </w:r>
    </w:p>
    <w:p w14:paraId="2B2B2742" w14:textId="77777777" w:rsidR="00D957ED" w:rsidRDefault="005B12B9" w:rsidP="00862746">
      <w:pPr>
        <w:pStyle w:val="ListBullet"/>
      </w:pPr>
      <w:r>
        <w:t xml:space="preserve">Policy TC4 should be updated </w:t>
      </w:r>
      <w:proofErr w:type="gramStart"/>
      <w:r>
        <w:t>in light of</w:t>
      </w:r>
      <w:proofErr w:type="gramEnd"/>
      <w:r>
        <w:t xml:space="preserve">: (A) changes to the use classes order; and (B) recommended changes to the town centre boundaries and frontages in Torbay.  </w:t>
      </w:r>
    </w:p>
    <w:p w14:paraId="429D94D2" w14:textId="3450C7B1" w:rsidR="00687FE0" w:rsidRDefault="00D957ED" w:rsidP="00862746">
      <w:pPr>
        <w:pStyle w:val="ListBullet"/>
      </w:pPr>
      <w:r>
        <w:lastRenderedPageBreak/>
        <w:t>No changes have been recommended in relation to the existing policy approach to development proposals at The Willows district centre in Torquay.</w:t>
      </w:r>
    </w:p>
    <w:p w14:paraId="7DB13E0D" w14:textId="770C6148" w:rsidR="00D957ED" w:rsidRPr="00F22ABC" w:rsidRDefault="00D957ED" w:rsidP="00B44051">
      <w:pPr>
        <w:pStyle w:val="ListBullet"/>
      </w:pPr>
      <w:r>
        <w:t>Finally, small minor refinements have been recommended in relation to the current locally-set ‘impact’ assessment test, in relation to the locations and uses which should be subject to the impact test</w:t>
      </w:r>
      <w:r w:rsidR="0075705E">
        <w:t>.</w:t>
      </w:r>
    </w:p>
    <w:p w14:paraId="32630712" w14:textId="77777777" w:rsidR="004C405F" w:rsidRDefault="004C405F" w:rsidP="00DA734C">
      <w:pPr>
        <w:pStyle w:val="BodyText"/>
      </w:pPr>
    </w:p>
    <w:p w14:paraId="1C12FBA8" w14:textId="77777777" w:rsidR="00DA734C" w:rsidRPr="00DA734C" w:rsidRDefault="00DA734C" w:rsidP="00DA734C">
      <w:pPr>
        <w:pStyle w:val="BodyText"/>
      </w:pPr>
    </w:p>
    <w:p w14:paraId="1F4D25C3" w14:textId="77777777" w:rsidR="0067541F" w:rsidRDefault="0067541F" w:rsidP="006857B6">
      <w:pPr>
        <w:pStyle w:val="BodyText"/>
        <w:sectPr w:rsidR="0067541F" w:rsidSect="00A049C1">
          <w:headerReference w:type="first" r:id="rId16"/>
          <w:pgSz w:w="11906" w:h="16838" w:code="9"/>
          <w:pgMar w:top="851" w:right="851" w:bottom="1276" w:left="851" w:header="567" w:footer="567" w:gutter="284"/>
          <w:cols w:space="708"/>
          <w:docGrid w:linePitch="360"/>
        </w:sectPr>
      </w:pPr>
    </w:p>
    <w:p w14:paraId="6DAE797C" w14:textId="25CCCA04" w:rsidR="00421BD2" w:rsidRDefault="001004B5" w:rsidP="000E6198">
      <w:pPr>
        <w:pStyle w:val="Appendix"/>
      </w:pPr>
      <w:r w:rsidRPr="001004B5">
        <w:lastRenderedPageBreak/>
        <w:br/>
      </w:r>
      <w:bookmarkStart w:id="15" w:name="_Toc113450257"/>
      <w:r w:rsidR="00DE1D77">
        <w:t>2022 Household Survey Area</w:t>
      </w:r>
      <w:bookmarkEnd w:id="15"/>
    </w:p>
    <w:p w14:paraId="1022FE12" w14:textId="33ECC185" w:rsidR="00DE1D77" w:rsidRDefault="00DE1D77" w:rsidP="00DE1D77">
      <w:pPr>
        <w:pStyle w:val="Appendix"/>
      </w:pPr>
      <w:r w:rsidRPr="001004B5">
        <w:lastRenderedPageBreak/>
        <w:br/>
      </w:r>
      <w:bookmarkStart w:id="16" w:name="_Toc113450258"/>
      <w:r>
        <w:t>Policies Map for Torquay Town Centre</w:t>
      </w:r>
      <w:bookmarkEnd w:id="16"/>
    </w:p>
    <w:p w14:paraId="59778D78" w14:textId="77777777" w:rsidR="00543065" w:rsidRDefault="00543065" w:rsidP="00543065">
      <w:pPr>
        <w:pStyle w:val="BodyText"/>
      </w:pPr>
    </w:p>
    <w:p w14:paraId="111DDC42" w14:textId="0B079566" w:rsidR="00DE1D77" w:rsidRDefault="00DE1D77" w:rsidP="00DE1D77">
      <w:pPr>
        <w:pStyle w:val="Appendix"/>
      </w:pPr>
      <w:r w:rsidRPr="001004B5">
        <w:lastRenderedPageBreak/>
        <w:br/>
      </w:r>
      <w:bookmarkStart w:id="17" w:name="_Toc113450259"/>
      <w:r>
        <w:t>Torbay Town Centre Boundary</w:t>
      </w:r>
      <w:bookmarkEnd w:id="17"/>
    </w:p>
    <w:p w14:paraId="10402B24" w14:textId="77777777" w:rsidR="00DE1D77" w:rsidRPr="00DE1D77" w:rsidRDefault="00DE1D77" w:rsidP="00DE1D77">
      <w:pPr>
        <w:pStyle w:val="BodyText"/>
      </w:pPr>
    </w:p>
    <w:p w14:paraId="08C3C917" w14:textId="396FA7AF" w:rsidR="00DE1D77" w:rsidRDefault="00DE1D77" w:rsidP="00DE1D77">
      <w:pPr>
        <w:pStyle w:val="Appendix"/>
      </w:pPr>
      <w:r w:rsidRPr="001004B5">
        <w:lastRenderedPageBreak/>
        <w:br/>
      </w:r>
      <w:bookmarkStart w:id="18" w:name="_Toc113450260"/>
      <w:r>
        <w:t>Torquay Primary Shopping Area Boundary</w:t>
      </w:r>
      <w:bookmarkEnd w:id="18"/>
    </w:p>
    <w:p w14:paraId="0799D888" w14:textId="77777777" w:rsidR="004C405F" w:rsidRDefault="004C405F" w:rsidP="006857B6">
      <w:pPr>
        <w:pStyle w:val="BodyText"/>
      </w:pPr>
    </w:p>
    <w:p w14:paraId="113A2520" w14:textId="497E1201" w:rsidR="00DE1D77" w:rsidRDefault="00DE1D77" w:rsidP="00DE1D77">
      <w:pPr>
        <w:pStyle w:val="Appendix"/>
      </w:pPr>
      <w:r w:rsidRPr="001004B5">
        <w:lastRenderedPageBreak/>
        <w:br/>
      </w:r>
      <w:bookmarkStart w:id="19" w:name="_Toc113450261"/>
      <w:r>
        <w:t>Torquay Town Centre Primary and Secondary Retail Frontages</w:t>
      </w:r>
      <w:bookmarkEnd w:id="19"/>
    </w:p>
    <w:p w14:paraId="329D3C0E" w14:textId="77777777" w:rsidR="00DE1D77" w:rsidRDefault="00DE1D77" w:rsidP="006857B6">
      <w:pPr>
        <w:pStyle w:val="BodyText"/>
      </w:pPr>
    </w:p>
    <w:p w14:paraId="5515C13F" w14:textId="4D0EE6AD" w:rsidR="00DE1D77" w:rsidRDefault="00DE1D77" w:rsidP="00DE1D77">
      <w:pPr>
        <w:pStyle w:val="Appendix"/>
      </w:pPr>
      <w:r w:rsidRPr="001004B5">
        <w:lastRenderedPageBreak/>
        <w:br/>
      </w:r>
      <w:bookmarkStart w:id="20" w:name="_Toc113450262"/>
      <w:r w:rsidR="00B12891">
        <w:t>Policies Map for Paignton Town Centre</w:t>
      </w:r>
      <w:bookmarkEnd w:id="20"/>
    </w:p>
    <w:p w14:paraId="6F971A9F" w14:textId="77777777" w:rsidR="00DE1D77" w:rsidRDefault="00DE1D77" w:rsidP="006857B6">
      <w:pPr>
        <w:pStyle w:val="BodyText"/>
      </w:pPr>
    </w:p>
    <w:p w14:paraId="12E53A21" w14:textId="17207EB5" w:rsidR="00DE1D77" w:rsidRDefault="00DE1D77" w:rsidP="00DE1D77">
      <w:pPr>
        <w:pStyle w:val="Appendix"/>
      </w:pPr>
      <w:r w:rsidRPr="001004B5">
        <w:lastRenderedPageBreak/>
        <w:br/>
      </w:r>
      <w:bookmarkStart w:id="21" w:name="_Toc113450263"/>
      <w:r w:rsidR="00B12891">
        <w:t>Paignton Town Centre Boundary</w:t>
      </w:r>
      <w:bookmarkEnd w:id="21"/>
    </w:p>
    <w:p w14:paraId="1374FC06" w14:textId="77777777" w:rsidR="00DE1D77" w:rsidRDefault="00DE1D77" w:rsidP="006857B6">
      <w:pPr>
        <w:pStyle w:val="BodyText"/>
      </w:pPr>
    </w:p>
    <w:p w14:paraId="09F53937" w14:textId="76989D69" w:rsidR="00DE1D77" w:rsidRDefault="00DE1D77" w:rsidP="00DE1D77">
      <w:pPr>
        <w:pStyle w:val="Appendix"/>
      </w:pPr>
      <w:r w:rsidRPr="001004B5">
        <w:lastRenderedPageBreak/>
        <w:br/>
      </w:r>
      <w:bookmarkStart w:id="22" w:name="_Toc113450264"/>
      <w:r w:rsidR="00B12891">
        <w:t>Paignton Primary Shopping Area Boundary</w:t>
      </w:r>
      <w:bookmarkEnd w:id="22"/>
    </w:p>
    <w:p w14:paraId="7DE4D2E8" w14:textId="77777777" w:rsidR="00DE1D77" w:rsidRDefault="00DE1D77" w:rsidP="006857B6">
      <w:pPr>
        <w:pStyle w:val="BodyText"/>
      </w:pPr>
    </w:p>
    <w:p w14:paraId="4E7C07BD" w14:textId="62C77C27" w:rsidR="00DE1D77" w:rsidRDefault="00DE1D77" w:rsidP="00DE1D77">
      <w:pPr>
        <w:pStyle w:val="Appendix"/>
      </w:pPr>
      <w:r w:rsidRPr="001004B5">
        <w:lastRenderedPageBreak/>
        <w:br/>
      </w:r>
      <w:bookmarkStart w:id="23" w:name="_Toc113450265"/>
      <w:r w:rsidR="00B12891">
        <w:t>Paignton Town Centre Primary and Secondary Retail Frontages</w:t>
      </w:r>
      <w:bookmarkEnd w:id="23"/>
    </w:p>
    <w:p w14:paraId="003D427D" w14:textId="77777777" w:rsidR="00DE1D77" w:rsidRDefault="00DE1D77" w:rsidP="006857B6">
      <w:pPr>
        <w:pStyle w:val="BodyText"/>
      </w:pPr>
    </w:p>
    <w:p w14:paraId="492C74B9" w14:textId="7E10BF27" w:rsidR="00DE1D77" w:rsidRDefault="00DE1D77" w:rsidP="00DE1D77">
      <w:pPr>
        <w:pStyle w:val="Appendix"/>
      </w:pPr>
      <w:r w:rsidRPr="001004B5">
        <w:lastRenderedPageBreak/>
        <w:br/>
      </w:r>
      <w:bookmarkStart w:id="24" w:name="_Toc113450266"/>
      <w:r w:rsidR="000658AA">
        <w:t>Brixham Town Centre Policies Map</w:t>
      </w:r>
      <w:bookmarkEnd w:id="24"/>
    </w:p>
    <w:p w14:paraId="205207D3" w14:textId="77777777" w:rsidR="00DE1D77" w:rsidRDefault="00DE1D77" w:rsidP="006857B6">
      <w:pPr>
        <w:pStyle w:val="BodyText"/>
      </w:pPr>
    </w:p>
    <w:p w14:paraId="0602DC4F" w14:textId="10E2E9C2" w:rsidR="00DE1D77" w:rsidRDefault="00DE1D77" w:rsidP="00DE1D77">
      <w:pPr>
        <w:pStyle w:val="Appendix"/>
      </w:pPr>
      <w:r w:rsidRPr="001004B5">
        <w:lastRenderedPageBreak/>
        <w:br/>
      </w:r>
      <w:bookmarkStart w:id="25" w:name="_Toc113450267"/>
      <w:r w:rsidR="000658AA">
        <w:t>Brixham Town Centre Boundary</w:t>
      </w:r>
      <w:bookmarkEnd w:id="25"/>
    </w:p>
    <w:p w14:paraId="764634D2" w14:textId="77777777" w:rsidR="00DE1D77" w:rsidRDefault="00DE1D77" w:rsidP="006857B6">
      <w:pPr>
        <w:pStyle w:val="BodyText"/>
      </w:pPr>
    </w:p>
    <w:p w14:paraId="7E654EED" w14:textId="0E3DA1B5" w:rsidR="00DE1D77" w:rsidRDefault="00DE1D77" w:rsidP="00DE1D77">
      <w:pPr>
        <w:pStyle w:val="Appendix"/>
      </w:pPr>
      <w:r w:rsidRPr="001004B5">
        <w:lastRenderedPageBreak/>
        <w:br/>
      </w:r>
      <w:bookmarkStart w:id="26" w:name="_Toc113450268"/>
      <w:r w:rsidR="000658AA">
        <w:t>Brixham Primary Shopping Area Boundary</w:t>
      </w:r>
      <w:bookmarkEnd w:id="26"/>
    </w:p>
    <w:p w14:paraId="17625000" w14:textId="77777777" w:rsidR="00DE1D77" w:rsidRDefault="00DE1D77" w:rsidP="006857B6">
      <w:pPr>
        <w:pStyle w:val="BodyText"/>
      </w:pPr>
    </w:p>
    <w:p w14:paraId="31A3C546" w14:textId="24D8798C" w:rsidR="00DE1D77" w:rsidRDefault="00DE1D77" w:rsidP="00DE1D77">
      <w:pPr>
        <w:pStyle w:val="Appendix"/>
      </w:pPr>
      <w:r w:rsidRPr="001004B5">
        <w:lastRenderedPageBreak/>
        <w:br/>
      </w:r>
      <w:bookmarkStart w:id="27" w:name="_Toc113450269"/>
      <w:r w:rsidR="000658AA">
        <w:t>Brixham Town Centre Primary and Secondary Retail Frontages</w:t>
      </w:r>
      <w:bookmarkEnd w:id="27"/>
    </w:p>
    <w:p w14:paraId="74D6F39B" w14:textId="77777777" w:rsidR="00DE1D77" w:rsidRDefault="00DE1D77" w:rsidP="006857B6">
      <w:pPr>
        <w:pStyle w:val="BodyText"/>
      </w:pPr>
    </w:p>
    <w:p w14:paraId="754C6616" w14:textId="41A57917" w:rsidR="00DE1D77" w:rsidRDefault="00DE1D77" w:rsidP="00DE1D77">
      <w:pPr>
        <w:pStyle w:val="Appendix"/>
      </w:pPr>
      <w:r w:rsidRPr="001004B5">
        <w:lastRenderedPageBreak/>
        <w:br/>
      </w:r>
      <w:bookmarkStart w:id="28" w:name="_Toc113450270"/>
      <w:r w:rsidR="000658AA">
        <w:t>The Willows District Centre</w:t>
      </w:r>
      <w:bookmarkEnd w:id="28"/>
    </w:p>
    <w:p w14:paraId="18029628" w14:textId="77777777" w:rsidR="00DE1D77" w:rsidRDefault="00DE1D77" w:rsidP="006857B6">
      <w:pPr>
        <w:pStyle w:val="BodyText"/>
      </w:pPr>
    </w:p>
    <w:p w14:paraId="36472E36" w14:textId="09A5C908" w:rsidR="00DE1D77" w:rsidRDefault="00DE1D77" w:rsidP="00DE1D77">
      <w:pPr>
        <w:pStyle w:val="Appendix"/>
      </w:pPr>
      <w:r w:rsidRPr="001004B5">
        <w:lastRenderedPageBreak/>
        <w:br/>
      </w:r>
      <w:bookmarkStart w:id="29" w:name="_Toc113450271"/>
      <w:r w:rsidR="000658AA">
        <w:t>St Marychurch District Centre</w:t>
      </w:r>
      <w:bookmarkEnd w:id="29"/>
    </w:p>
    <w:p w14:paraId="331DCF2F" w14:textId="77777777" w:rsidR="00DE1D77" w:rsidRDefault="00DE1D77" w:rsidP="006857B6">
      <w:pPr>
        <w:pStyle w:val="BodyText"/>
      </w:pPr>
    </w:p>
    <w:p w14:paraId="19A21ECF" w14:textId="33CD95C0" w:rsidR="00DE1D77" w:rsidRDefault="00DE1D77" w:rsidP="00DE1D77">
      <w:pPr>
        <w:pStyle w:val="Appendix"/>
      </w:pPr>
      <w:r w:rsidRPr="001004B5">
        <w:lastRenderedPageBreak/>
        <w:br/>
      </w:r>
      <w:bookmarkStart w:id="30" w:name="_Toc113450272"/>
      <w:r w:rsidR="000658AA">
        <w:t>Preston District Centre</w:t>
      </w:r>
      <w:bookmarkEnd w:id="30"/>
    </w:p>
    <w:p w14:paraId="088193D6" w14:textId="77777777" w:rsidR="00DE1D77" w:rsidRDefault="00DE1D77" w:rsidP="006857B6">
      <w:pPr>
        <w:pStyle w:val="BodyText"/>
      </w:pPr>
    </w:p>
    <w:p w14:paraId="6E112E04" w14:textId="4F55D856" w:rsidR="00DE1D77" w:rsidRDefault="00DE1D77" w:rsidP="00DE1D77">
      <w:pPr>
        <w:pStyle w:val="Appendix"/>
      </w:pPr>
      <w:r w:rsidRPr="001004B5">
        <w:lastRenderedPageBreak/>
        <w:br/>
      </w:r>
      <w:bookmarkStart w:id="31" w:name="_Toc113450273"/>
      <w:r w:rsidR="000658AA">
        <w:t>Quantitative Need Assessment</w:t>
      </w:r>
      <w:bookmarkEnd w:id="31"/>
    </w:p>
    <w:p w14:paraId="463ABEDE" w14:textId="77777777" w:rsidR="00DE1D77" w:rsidRDefault="00DE1D77" w:rsidP="006857B6">
      <w:pPr>
        <w:pStyle w:val="BodyText"/>
      </w:pPr>
    </w:p>
    <w:p w14:paraId="56B915CD" w14:textId="77777777" w:rsidR="00DE1D77" w:rsidRDefault="00DE1D77" w:rsidP="00DE1D77">
      <w:pPr>
        <w:pStyle w:val="Appendix"/>
      </w:pPr>
      <w:r w:rsidRPr="001004B5">
        <w:lastRenderedPageBreak/>
        <w:br/>
      </w:r>
      <w:bookmarkStart w:id="32" w:name="_Toc113450274"/>
      <w:proofErr w:type="gramStart"/>
      <w:r>
        <w:t>Sub heading</w:t>
      </w:r>
      <w:bookmarkEnd w:id="32"/>
      <w:proofErr w:type="gramEnd"/>
    </w:p>
    <w:p w14:paraId="191C822C" w14:textId="77777777" w:rsidR="00DE1D77" w:rsidRDefault="00DE1D77" w:rsidP="006857B6">
      <w:pPr>
        <w:pStyle w:val="BodyText"/>
      </w:pPr>
    </w:p>
    <w:p w14:paraId="75BA8E39" w14:textId="77777777" w:rsidR="00DE1D77" w:rsidRDefault="00DE1D77" w:rsidP="00DE1D77">
      <w:pPr>
        <w:pStyle w:val="Appendix"/>
      </w:pPr>
      <w:r w:rsidRPr="001004B5">
        <w:lastRenderedPageBreak/>
        <w:br/>
      </w:r>
      <w:bookmarkStart w:id="33" w:name="_Toc113450275"/>
      <w:proofErr w:type="gramStart"/>
      <w:r>
        <w:t>Sub heading</w:t>
      </w:r>
      <w:bookmarkEnd w:id="33"/>
      <w:proofErr w:type="gramEnd"/>
    </w:p>
    <w:p w14:paraId="55FAE22B" w14:textId="77777777" w:rsidR="00DE1D77" w:rsidRDefault="00DE1D77" w:rsidP="006857B6">
      <w:pPr>
        <w:pStyle w:val="BodyText"/>
      </w:pPr>
    </w:p>
    <w:p w14:paraId="14C36CA8" w14:textId="77777777" w:rsidR="00DE1D77" w:rsidRDefault="00DE1D77" w:rsidP="00DE1D77">
      <w:pPr>
        <w:pStyle w:val="Appendix"/>
      </w:pPr>
      <w:r w:rsidRPr="001004B5">
        <w:lastRenderedPageBreak/>
        <w:br/>
      </w:r>
      <w:bookmarkStart w:id="34" w:name="_Toc113450276"/>
      <w:proofErr w:type="gramStart"/>
      <w:r>
        <w:t>Sub heading</w:t>
      </w:r>
      <w:bookmarkEnd w:id="34"/>
      <w:proofErr w:type="gramEnd"/>
    </w:p>
    <w:p w14:paraId="2A1D2F8A" w14:textId="77777777" w:rsidR="00DE1D77" w:rsidRDefault="00DE1D77" w:rsidP="006857B6">
      <w:pPr>
        <w:pStyle w:val="BodyText"/>
      </w:pPr>
    </w:p>
    <w:p w14:paraId="762A4471" w14:textId="77777777" w:rsidR="00DE1D77" w:rsidRDefault="00DE1D77" w:rsidP="00DE1D77">
      <w:pPr>
        <w:pStyle w:val="Appendix"/>
      </w:pPr>
      <w:r w:rsidRPr="001004B5">
        <w:lastRenderedPageBreak/>
        <w:br/>
      </w:r>
      <w:bookmarkStart w:id="35" w:name="_Toc113450277"/>
      <w:proofErr w:type="gramStart"/>
      <w:r>
        <w:t>Sub heading</w:t>
      </w:r>
      <w:bookmarkEnd w:id="35"/>
      <w:proofErr w:type="gramEnd"/>
    </w:p>
    <w:p w14:paraId="5A7B2582" w14:textId="5BDF8C7B" w:rsidR="00DE1D77" w:rsidRDefault="00DE1D77" w:rsidP="006857B6">
      <w:pPr>
        <w:pStyle w:val="BodyText"/>
        <w:sectPr w:rsidR="00DE1D77" w:rsidSect="00E53B10">
          <w:headerReference w:type="even" r:id="rId17"/>
          <w:headerReference w:type="default" r:id="rId18"/>
          <w:footerReference w:type="even" r:id="rId19"/>
          <w:footerReference w:type="default" r:id="rId20"/>
          <w:headerReference w:type="first" r:id="rId21"/>
          <w:footerReference w:type="first" r:id="rId22"/>
          <w:pgSz w:w="11906" w:h="16838" w:code="9"/>
          <w:pgMar w:top="1701" w:right="851" w:bottom="1134" w:left="851" w:header="567" w:footer="567" w:gutter="284"/>
          <w:pgNumType w:start="1"/>
          <w:cols w:space="708"/>
          <w:docGrid w:linePitch="360"/>
        </w:sectPr>
      </w:pPr>
    </w:p>
    <w:p w14:paraId="415AE22A" w14:textId="77777777" w:rsidR="006857B6" w:rsidRPr="00D734A2" w:rsidRDefault="006857B6" w:rsidP="00D734A2">
      <w:pPr>
        <w:pStyle w:val="NoSpacing"/>
        <w:spacing w:after="240"/>
        <w:rPr>
          <w:rFonts w:asciiTheme="majorHAnsi" w:hAnsiTheme="majorHAnsi"/>
          <w:sz w:val="36"/>
          <w:szCs w:val="40"/>
        </w:rPr>
      </w:pPr>
      <w:r w:rsidRPr="00D734A2">
        <w:rPr>
          <w:rFonts w:asciiTheme="majorHAnsi" w:hAnsiTheme="majorHAnsi"/>
          <w:sz w:val="36"/>
          <w:szCs w:val="40"/>
        </w:rPr>
        <w:lastRenderedPageBreak/>
        <w:t>Contact details</w:t>
      </w:r>
    </w:p>
    <w:p w14:paraId="56A33B59" w14:textId="77777777" w:rsidR="006857B6" w:rsidRPr="00D734A2" w:rsidRDefault="006857B6" w:rsidP="00D734A2">
      <w:pPr>
        <w:pStyle w:val="NoSpacing"/>
        <w:spacing w:after="240"/>
        <w:rPr>
          <w:b/>
          <w:bCs/>
          <w:color w:val="55489D" w:themeColor="accent1"/>
          <w:sz w:val="22"/>
          <w:szCs w:val="24"/>
        </w:rPr>
      </w:pPr>
      <w:r w:rsidRPr="00D734A2">
        <w:rPr>
          <w:b/>
          <w:bCs/>
          <w:color w:val="55489D" w:themeColor="accent1"/>
          <w:sz w:val="22"/>
          <w:szCs w:val="24"/>
        </w:rPr>
        <w:t>Enquiries</w:t>
      </w:r>
    </w:p>
    <w:sdt>
      <w:sdtPr>
        <w:alias w:val="UserProfile.Name"/>
        <w:tag w:val="{&quot;templafy&quot;:{&quot;id&quot;:&quot;f4b3bd74-7b95-45a3-abb8-3a8bbeaa3a7d&quot;}}"/>
        <w:id w:val="-279102704"/>
        <w:placeholder>
          <w:docPart w:val="4A0CF61889F74837AB6693F0F10C5763"/>
        </w:placeholder>
      </w:sdtPr>
      <w:sdtContent>
        <w:p w14:paraId="4F28BA38" w14:textId="77777777" w:rsidR="00EB5B43" w:rsidRDefault="001241F3">
          <w:pPr>
            <w:pStyle w:val="NoSpacing"/>
          </w:pPr>
          <w:r>
            <w:t>Matthew Morris</w:t>
          </w:r>
        </w:p>
      </w:sdtContent>
    </w:sdt>
    <w:sdt>
      <w:sdtPr>
        <w:alias w:val="UserProfile.PhoneNumber"/>
        <w:tag w:val="{&quot;templafy&quot;:{&quot;id&quot;:&quot;04122b9b-4a16-4ba5-90c9-41a6db424c4d&quot;}}"/>
        <w:id w:val="1286775925"/>
        <w:placeholder>
          <w:docPart w:val="4A0CF61889F74837AB6693F0F10C5763"/>
        </w:placeholder>
      </w:sdtPr>
      <w:sdtContent>
        <w:p w14:paraId="687CDDF8" w14:textId="77777777" w:rsidR="00EB5B43" w:rsidRDefault="001241F3">
          <w:pPr>
            <w:pStyle w:val="NoSpacing"/>
          </w:pPr>
          <w:r>
            <w:t xml:space="preserve"> </w:t>
          </w:r>
        </w:p>
      </w:sdtContent>
    </w:sdt>
    <w:sdt>
      <w:sdtPr>
        <w:alias w:val="UserProfile.Mail"/>
        <w:tag w:val="{&quot;templafy&quot;:{&quot;id&quot;:&quot;4dd1d4fd-df05-4227-b83a-07c3a7509d40&quot;}}"/>
        <w:id w:val="1491984831"/>
        <w:placeholder>
          <w:docPart w:val="4A0CF61889F74837AB6693F0F10C5763"/>
        </w:placeholder>
      </w:sdtPr>
      <w:sdtContent>
        <w:p w14:paraId="195C54F4" w14:textId="77777777" w:rsidR="00EB5B43" w:rsidRDefault="001241F3">
          <w:pPr>
            <w:pStyle w:val="NoSpacing"/>
          </w:pPr>
          <w:r>
            <w:t>matthew.morris@avisonyoung.com</w:t>
          </w:r>
        </w:p>
      </w:sdtContent>
    </w:sdt>
    <w:p w14:paraId="0633D0A9" w14:textId="77777777" w:rsidR="006857B6" w:rsidRPr="00D734A2" w:rsidRDefault="006857B6" w:rsidP="00D734A2">
      <w:pPr>
        <w:pStyle w:val="NoSpacing"/>
        <w:spacing w:before="240"/>
        <w:rPr>
          <w:b/>
          <w:bCs/>
        </w:rPr>
      </w:pPr>
      <w:r w:rsidRPr="00D734A2">
        <w:rPr>
          <w:b/>
          <w:bCs/>
        </w:rPr>
        <w:t>Visit us online</w:t>
      </w:r>
    </w:p>
    <w:sdt>
      <w:sdtPr>
        <w:alias w:val="UserProfile.OfficeCity.Domain"/>
        <w:tag w:val="{&quot;templafy&quot;:{&quot;id&quot;:&quot;8f8378f7-a613-4ba3-8f72-a543bf5efcca&quot;}}"/>
        <w:id w:val="1712457949"/>
        <w:placeholder>
          <w:docPart w:val="4A0CF61889F74837AB6693F0F10C5763"/>
        </w:placeholder>
        <w:temporary/>
        <w15:appearance w15:val="hidden"/>
      </w:sdtPr>
      <w:sdtContent>
        <w:p w14:paraId="0CD8A9D5" w14:textId="77777777" w:rsidR="00EB5B43" w:rsidRDefault="001241F3">
          <w:pPr>
            <w:pStyle w:val="NoSpacing"/>
            <w:spacing w:after="240"/>
          </w:pPr>
          <w:r>
            <w:t>avisonyoung.com</w:t>
          </w:r>
        </w:p>
        <w:bookmarkStart w:id="36" w:name="_UM_U_054261" w:displacedByCustomXml="next"/>
        <w:bookmarkEnd w:id="36" w:displacedByCustomXml="next"/>
        <w:bookmarkStart w:id="37" w:name="_UM_R_044825" w:displacedByCustomXml="next"/>
        <w:bookmarkEnd w:id="37" w:displacedByCustomXml="next"/>
      </w:sdtContent>
    </w:sdt>
    <w:sectPr w:rsidR="00EB5B43" w:rsidSect="00B21FFD">
      <w:headerReference w:type="even" r:id="rId23"/>
      <w:headerReference w:type="default" r:id="rId24"/>
      <w:footerReference w:type="even" r:id="rId25"/>
      <w:footerReference w:type="default" r:id="rId26"/>
      <w:headerReference w:type="first" r:id="rId27"/>
      <w:footerReference w:type="first" r:id="rId28"/>
      <w:pgSz w:w="11906" w:h="16838" w:code="9"/>
      <w:pgMar w:top="851" w:right="851" w:bottom="1134" w:left="851"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0CA2" w14:textId="77777777" w:rsidR="00F43309" w:rsidRDefault="00F43309" w:rsidP="0039189B">
      <w:r>
        <w:separator/>
      </w:r>
    </w:p>
  </w:endnote>
  <w:endnote w:type="continuationSeparator" w:id="0">
    <w:p w14:paraId="192DDA5A" w14:textId="77777777" w:rsidR="00F43309" w:rsidRDefault="00F43309" w:rsidP="0039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SemiBold">
    <w:altName w:val="Segoe UI"/>
    <w:charset w:val="00"/>
    <w:family w:val="swiss"/>
    <w:pitch w:val="variable"/>
    <w:sig w:usb0="E00002EF" w:usb1="4000205B" w:usb2="00000028" w:usb3="00000000" w:csb0="0000019F" w:csb1="00000000"/>
  </w:font>
  <w:font w:name="GeoSlab703 Md BT">
    <w:altName w:val="Cambria"/>
    <w:charset w:val="00"/>
    <w:family w:val="roman"/>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BCB7" w14:textId="1CC0B8F7" w:rsidR="001A3485" w:rsidRPr="001C249F" w:rsidRDefault="00D064CE" w:rsidP="002E72B0">
    <w:pPr>
      <w:pBdr>
        <w:top w:val="single" w:sz="4" w:space="6" w:color="BDC3C7"/>
      </w:pBdr>
      <w:tabs>
        <w:tab w:val="right" w:pos="10206"/>
      </w:tabs>
      <w:rPr>
        <w:rFonts w:eastAsia="Century Gothic" w:cs="Times New Roman"/>
        <w:bCs/>
        <w:color w:val="253746"/>
        <w:sz w:val="16"/>
      </w:rPr>
    </w:pPr>
    <w:r>
      <w:rPr>
        <w:rFonts w:eastAsia="Century Gothic" w:cs="Times New Roman"/>
        <w:bCs/>
        <w:color w:val="67737E"/>
        <w:sz w:val="16"/>
      </w:rPr>
      <w:t>October</w:t>
    </w:r>
    <w:r w:rsidR="0049309F">
      <w:rPr>
        <w:rFonts w:eastAsia="Century Gothic" w:cs="Times New Roman"/>
        <w:bCs/>
        <w:color w:val="67737E"/>
        <w:sz w:val="16"/>
      </w:rPr>
      <w:t xml:space="preserve"> </w:t>
    </w:r>
    <w:r w:rsidR="00142BF7">
      <w:rPr>
        <w:rFonts w:eastAsia="Century Gothic" w:cs="Times New Roman"/>
        <w:bCs/>
        <w:color w:val="67737E"/>
        <w:sz w:val="16"/>
      </w:rPr>
      <w:t>2022</w:t>
    </w:r>
    <w:r w:rsidR="001A3485" w:rsidRPr="001C249F">
      <w:rPr>
        <w:rFonts w:eastAsia="Century Gothic" w:cs="Times New Roman"/>
        <w:bCs/>
        <w:color w:val="253746"/>
        <w:sz w:val="16"/>
      </w:rPr>
      <w:t xml:space="preserve"> </w:t>
    </w:r>
    <w:r w:rsidR="001A3485" w:rsidRPr="001C249F">
      <w:rPr>
        <w:rFonts w:eastAsia="Century Gothic" w:cs="Times New Roman"/>
        <w:bCs/>
        <w:color w:val="253746"/>
        <w:sz w:val="16"/>
      </w:rPr>
      <w:tab/>
      <w:t xml:space="preserve">Page </w:t>
    </w:r>
    <w:r w:rsidR="001A3485" w:rsidRPr="001C249F">
      <w:rPr>
        <w:rFonts w:eastAsia="Century Gothic" w:cs="Times New Roman"/>
        <w:bCs/>
        <w:color w:val="67737E"/>
        <w:sz w:val="16"/>
      </w:rPr>
      <w:fldChar w:fldCharType="begin"/>
    </w:r>
    <w:r w:rsidR="001A3485" w:rsidRPr="001C249F">
      <w:rPr>
        <w:rFonts w:eastAsia="Century Gothic" w:cs="Times New Roman"/>
        <w:bCs/>
        <w:color w:val="67737E"/>
        <w:sz w:val="16"/>
      </w:rPr>
      <w:instrText xml:space="preserve"> PAGE   \* MERGEFORMAT </w:instrText>
    </w:r>
    <w:r w:rsidR="001A3485" w:rsidRPr="001C249F">
      <w:rPr>
        <w:rFonts w:eastAsia="Century Gothic" w:cs="Times New Roman"/>
        <w:bCs/>
        <w:color w:val="67737E"/>
        <w:sz w:val="16"/>
      </w:rPr>
      <w:fldChar w:fldCharType="separate"/>
    </w:r>
    <w:r w:rsidR="003E07E2" w:rsidRPr="001C249F">
      <w:rPr>
        <w:rFonts w:eastAsia="Century Gothic" w:cs="Times New Roman"/>
        <w:bCs/>
        <w:color w:val="67737E"/>
        <w:sz w:val="16"/>
      </w:rPr>
      <w:t>2</w:t>
    </w:r>
    <w:r w:rsidR="001A3485" w:rsidRPr="001C249F">
      <w:rPr>
        <w:rFonts w:eastAsia="Century Gothic" w:cs="Times New Roman"/>
        <w:bCs/>
        <w:color w:val="67737E"/>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7C43" w14:textId="77777777" w:rsidR="004A2AC7" w:rsidRDefault="004A2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AF61" w14:textId="77777777" w:rsidR="004A2AC7" w:rsidRPr="00616AD9" w:rsidRDefault="004A2AC7" w:rsidP="00616A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3E40" w14:textId="77777777" w:rsidR="002E72B0" w:rsidRPr="002E72B0" w:rsidRDefault="002E72B0" w:rsidP="002E72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72A0" w14:textId="77777777" w:rsidR="004A2AC7" w:rsidRDefault="004A2AC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58" w:type="dxa"/>
      <w:tblInd w:w="108" w:type="dxa"/>
      <w:tblBorders>
        <w:top w:val="single" w:sz="4" w:space="0" w:color="C8C9C4" w:themeColor="background2"/>
      </w:tblBorders>
      <w:tblLook w:val="04A0" w:firstRow="1" w:lastRow="0" w:firstColumn="1" w:lastColumn="0" w:noHBand="0" w:noVBand="1"/>
    </w:tblPr>
    <w:tblGrid>
      <w:gridCol w:w="10258"/>
    </w:tblGrid>
    <w:tr w:rsidR="004C405F" w14:paraId="7587DE23" w14:textId="77777777">
      <w:tc>
        <w:tcPr>
          <w:tcW w:w="10258" w:type="dxa"/>
        </w:tcPr>
        <w:p w14:paraId="6A90CECF" w14:textId="77777777" w:rsidR="004C405F" w:rsidRDefault="00F57A5D">
          <w:pPr>
            <w:spacing w:before="80" w:after="60"/>
            <w:ind w:left="-85"/>
            <w:rPr>
              <w:rFonts w:eastAsia="Century Gothic" w:cs="Times New Roman"/>
              <w:b/>
              <w:sz w:val="14"/>
              <w:szCs w:val="14"/>
            </w:rPr>
          </w:pPr>
          <w:r>
            <w:rPr>
              <w:rFonts w:eastAsia="Century Gothic" w:cs="Times New Roman"/>
              <w:b/>
              <w:sz w:val="14"/>
              <w:szCs w:val="14"/>
            </w:rPr>
            <w:t>Avison Young</w:t>
          </w:r>
        </w:p>
        <w:sdt>
          <w:sdtPr>
            <w:rPr>
              <w:rFonts w:eastAsia="Century Gothic" w:cs="Times New Roman"/>
              <w:sz w:val="13"/>
              <w:szCs w:val="13"/>
            </w:rPr>
            <w:alias w:val="UserProfile.OfficeCity.Address"/>
            <w:tag w:val="{&quot;templafy&quot;:{&quot;id&quot;:&quot;3e430f68-8f49-4773-91f4-8a2342455040&quot;}}"/>
            <w:id w:val="-565025908"/>
            <w:placeholder>
              <w:docPart w:val="FF26CDCFDD3C42C9ACFC027155D16ACE"/>
            </w:placeholder>
          </w:sdtPr>
          <w:sdtContent>
            <w:p w14:paraId="505AC692" w14:textId="77777777" w:rsidR="00EB5B43" w:rsidRDefault="001241F3">
              <w:pPr>
                <w:ind w:left="-85"/>
                <w:rPr>
                  <w:rFonts w:eastAsia="Century Gothic" w:cs="Times New Roman"/>
                  <w:sz w:val="13"/>
                  <w:szCs w:val="13"/>
                </w:rPr>
              </w:pPr>
              <w:r>
                <w:rPr>
                  <w:rFonts w:eastAsia="Century Gothic" w:cs="Times New Roman"/>
                  <w:sz w:val="13"/>
                  <w:szCs w:val="13"/>
                </w:rPr>
                <w:t>St Catherine's Court, Berkeley Place, Bristol BS8 1BQ</w:t>
              </w:r>
            </w:p>
          </w:sdtContent>
        </w:sdt>
        <w:p w14:paraId="4580B40B" w14:textId="77777777" w:rsidR="004C405F" w:rsidRPr="007A6616" w:rsidRDefault="007A6616">
          <w:pPr>
            <w:spacing w:before="60"/>
            <w:ind w:left="-85"/>
            <w:rPr>
              <w:rFonts w:eastAsia="Century Gothic" w:cs="Times New Roman"/>
              <w:color w:val="7D7370"/>
              <w:sz w:val="12"/>
              <w:szCs w:val="12"/>
            </w:rPr>
          </w:pPr>
          <w:r w:rsidRPr="007A6616">
            <w:rPr>
              <w:rFonts w:eastAsia="Century Gothic" w:cs="Times New Roman"/>
              <w:color w:val="7D7370"/>
              <w:sz w:val="12"/>
              <w:szCs w:val="12"/>
            </w:rPr>
            <w:t xml:space="preserve">Copyright </w:t>
          </w:r>
          <w:r w:rsidR="00F57A5D" w:rsidRPr="007A6616">
            <w:rPr>
              <w:rFonts w:eastAsia="Century Gothic" w:cs="Times New Roman"/>
              <w:color w:val="7D7370"/>
              <w:sz w:val="12"/>
              <w:szCs w:val="12"/>
            </w:rPr>
            <w:t xml:space="preserve">© </w:t>
          </w:r>
          <w:r>
            <w:rPr>
              <w:rFonts w:eastAsia="Century Gothic" w:cs="Times New Roman"/>
              <w:color w:val="7D7370"/>
              <w:sz w:val="12"/>
              <w:szCs w:val="12"/>
            </w:rPr>
            <w:t>2022</w:t>
          </w:r>
          <w:r w:rsidRPr="007A6616">
            <w:rPr>
              <w:rFonts w:cs="Open Sans"/>
              <w:color w:val="7D7370"/>
              <w:sz w:val="12"/>
              <w:szCs w:val="12"/>
              <w:shd w:val="clear" w:color="auto" w:fill="FFFFFF"/>
            </w:rPr>
            <w:t>. Avison Young.</w:t>
          </w:r>
          <w:r w:rsidRPr="007A6616">
            <w:rPr>
              <w:rStyle w:val="aas"/>
              <w:rFonts w:cs="Open Sans"/>
              <w:color w:val="7D7370"/>
              <w:sz w:val="12"/>
              <w:szCs w:val="12"/>
              <w:shd w:val="clear" w:color="auto" w:fill="FFFFFF"/>
            </w:rPr>
            <w:t>  </w:t>
          </w:r>
          <w:r w:rsidRPr="007A6616">
            <w:rPr>
              <w:rFonts w:cs="Open Sans"/>
              <w:color w:val="7D7370"/>
              <w:sz w:val="12"/>
              <w:szCs w:val="12"/>
              <w:shd w:val="clear" w:color="auto" w:fill="FFFFFF"/>
            </w:rPr>
            <w:t>Information contained in this report was obtained from sources deemed reliable and, while thought to be correct, have not been verified.</w:t>
          </w:r>
          <w:r w:rsidRPr="007A6616">
            <w:rPr>
              <w:rStyle w:val="aas"/>
              <w:rFonts w:cs="Open Sans"/>
              <w:color w:val="7D7370"/>
              <w:sz w:val="12"/>
              <w:szCs w:val="12"/>
              <w:shd w:val="clear" w:color="auto" w:fill="FFFFFF"/>
            </w:rPr>
            <w:t>  </w:t>
          </w:r>
          <w:r w:rsidRPr="007A6616">
            <w:rPr>
              <w:rFonts w:cs="Open Sans"/>
              <w:color w:val="7D7370"/>
              <w:sz w:val="12"/>
              <w:szCs w:val="12"/>
              <w:shd w:val="clear" w:color="auto" w:fill="FFFFFF"/>
            </w:rPr>
            <w:t>Avison Young does not guarantee the accuracy or completeness of the information presented, nor assumes any responsibility or liability for any errors or omissions therein. All opinions expressed and data provided herein are subject to change without notice. This report cannot be reproduced, in part or in full, in any format, without the prior written consent of Avison Young.</w:t>
          </w:r>
          <w:r w:rsidRPr="007A6616">
            <w:rPr>
              <w:rStyle w:val="aas"/>
              <w:rFonts w:cs="Open Sans"/>
              <w:color w:val="7D7370"/>
              <w:sz w:val="12"/>
              <w:szCs w:val="12"/>
              <w:shd w:val="clear" w:color="auto" w:fill="FFFFFF"/>
            </w:rPr>
            <w:t> </w:t>
          </w:r>
        </w:p>
      </w:tc>
    </w:tr>
  </w:tbl>
  <w:p w14:paraId="7861E43D" w14:textId="77777777" w:rsidR="004C405F" w:rsidRDefault="004C405F">
    <w:pPr>
      <w:pStyle w:val="Footer"/>
      <w:rPr>
        <w:sz w:val="1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3788" w14:textId="77777777" w:rsidR="004A2AC7" w:rsidRPr="002E72B0" w:rsidRDefault="004A2AC7" w:rsidP="002E7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444E" w14:textId="77777777" w:rsidR="00F43309" w:rsidRDefault="00F43309" w:rsidP="0039189B">
      <w:r>
        <w:separator/>
      </w:r>
    </w:p>
  </w:footnote>
  <w:footnote w:type="continuationSeparator" w:id="0">
    <w:p w14:paraId="28F05D77" w14:textId="77777777" w:rsidR="00F43309" w:rsidRDefault="00F43309" w:rsidP="0039189B">
      <w:r>
        <w:continuationSeparator/>
      </w:r>
    </w:p>
  </w:footnote>
  <w:footnote w:id="1">
    <w:p w14:paraId="02FAC9CB" w14:textId="3B6523E5" w:rsidR="00DA21E1" w:rsidRPr="00B44051" w:rsidRDefault="00DA21E1">
      <w:pPr>
        <w:pStyle w:val="FootnoteText"/>
        <w:rPr>
          <w:sz w:val="16"/>
          <w:szCs w:val="16"/>
        </w:rPr>
      </w:pPr>
      <w:r w:rsidRPr="00B44051">
        <w:rPr>
          <w:rStyle w:val="FootnoteReference"/>
          <w:sz w:val="16"/>
          <w:szCs w:val="16"/>
        </w:rPr>
        <w:footnoteRef/>
      </w:r>
      <w:r w:rsidRPr="00B44051">
        <w:rPr>
          <w:sz w:val="16"/>
          <w:szCs w:val="16"/>
        </w:rPr>
        <w:t xml:space="preserve"> </w:t>
      </w:r>
      <w:hyperlink r:id="rId1" w:history="1">
        <w:r w:rsidRPr="00B44051">
          <w:rPr>
            <w:rStyle w:val="Hyperlink"/>
            <w:color w:val="0000FF"/>
            <w:sz w:val="16"/>
            <w:szCs w:val="16"/>
          </w:rPr>
          <w:t xml:space="preserve">(Public </w:t>
        </w:r>
        <w:proofErr w:type="gramStart"/>
        <w:r w:rsidRPr="00B44051">
          <w:rPr>
            <w:rStyle w:val="Hyperlink"/>
            <w:color w:val="0000FF"/>
            <w:sz w:val="16"/>
            <w:szCs w:val="16"/>
          </w:rPr>
          <w:t>Pack)Item</w:t>
        </w:r>
        <w:proofErr w:type="gramEnd"/>
        <w:r w:rsidRPr="00B44051">
          <w:rPr>
            <w:rStyle w:val="Hyperlink"/>
            <w:color w:val="0000FF"/>
            <w:sz w:val="16"/>
            <w:szCs w:val="16"/>
          </w:rPr>
          <w:t xml:space="preserve"> 8 Local Plan Review (Local Development Scheme) - Local Plan Working Party Recommendations Agenda Supplement for Cabinet, 17/11/2020 17:30 (torbay.gov.uk)</w:t>
        </w:r>
      </w:hyperlink>
    </w:p>
  </w:footnote>
  <w:footnote w:id="2">
    <w:p w14:paraId="0035698F" w14:textId="3B7C0E99" w:rsidR="00511712" w:rsidRPr="00511712" w:rsidRDefault="00511712">
      <w:pPr>
        <w:pStyle w:val="FootnoteText"/>
        <w:rPr>
          <w:sz w:val="16"/>
          <w:szCs w:val="16"/>
        </w:rPr>
      </w:pPr>
      <w:r w:rsidRPr="00511712">
        <w:rPr>
          <w:rStyle w:val="FootnoteReference"/>
          <w:sz w:val="16"/>
          <w:szCs w:val="16"/>
        </w:rPr>
        <w:footnoteRef/>
      </w:r>
      <w:r w:rsidRPr="00511712">
        <w:rPr>
          <w:sz w:val="16"/>
          <w:szCs w:val="16"/>
        </w:rPr>
        <w:t xml:space="preserve"> prior to the 2011 and 2013 retail studies, retail studies were also undertaken in 2006 and 2008</w:t>
      </w:r>
    </w:p>
  </w:footnote>
  <w:footnote w:id="3">
    <w:p w14:paraId="7B555741" w14:textId="27D7476D" w:rsidR="00F77E70" w:rsidRPr="00F77E70" w:rsidRDefault="00F77E70">
      <w:pPr>
        <w:pStyle w:val="FootnoteText"/>
        <w:rPr>
          <w:sz w:val="16"/>
          <w:szCs w:val="16"/>
        </w:rPr>
      </w:pPr>
      <w:r w:rsidRPr="00F77E70">
        <w:rPr>
          <w:rStyle w:val="FootnoteReference"/>
          <w:sz w:val="16"/>
          <w:szCs w:val="16"/>
        </w:rPr>
        <w:footnoteRef/>
      </w:r>
      <w:r w:rsidRPr="00F77E70">
        <w:rPr>
          <w:sz w:val="16"/>
          <w:szCs w:val="16"/>
        </w:rPr>
        <w:t xml:space="preserve"> including planned new centres such as White Rock, Great Parks and Edginswell</w:t>
      </w:r>
    </w:p>
  </w:footnote>
  <w:footnote w:id="4">
    <w:p w14:paraId="275FF312" w14:textId="4CEA267E" w:rsidR="00F27B7E" w:rsidRPr="005D6B5C" w:rsidRDefault="00F27B7E">
      <w:pPr>
        <w:pStyle w:val="FootnoteText"/>
        <w:rPr>
          <w:sz w:val="16"/>
          <w:szCs w:val="16"/>
        </w:rPr>
      </w:pPr>
      <w:r w:rsidRPr="005D6B5C">
        <w:rPr>
          <w:rStyle w:val="FootnoteReference"/>
          <w:sz w:val="16"/>
          <w:szCs w:val="16"/>
        </w:rPr>
        <w:footnoteRef/>
      </w:r>
      <w:r w:rsidRPr="005D6B5C">
        <w:rPr>
          <w:sz w:val="16"/>
          <w:szCs w:val="16"/>
        </w:rPr>
        <w:t xml:space="preserve"> The Middle </w:t>
      </w:r>
      <w:proofErr w:type="gramStart"/>
      <w:r w:rsidRPr="005D6B5C">
        <w:rPr>
          <w:sz w:val="16"/>
          <w:szCs w:val="16"/>
        </w:rPr>
        <w:t>Street car</w:t>
      </w:r>
      <w:proofErr w:type="gramEnd"/>
      <w:r w:rsidRPr="005D6B5C">
        <w:rPr>
          <w:sz w:val="16"/>
          <w:szCs w:val="16"/>
        </w:rPr>
        <w:t xml:space="preserve"> park has previously been promoted by Tesco for redevelopment to provide a new foodstore for Brixham town centre, along with other smaller-scale main town centre uses and replacement car parking provision.  This scheme has now been abandoned.</w:t>
      </w:r>
    </w:p>
  </w:footnote>
  <w:footnote w:id="5">
    <w:p w14:paraId="27E416EE" w14:textId="6288E48F" w:rsidR="005D6B5C" w:rsidRDefault="005D6B5C">
      <w:pPr>
        <w:pStyle w:val="FootnoteText"/>
      </w:pPr>
      <w:r w:rsidRPr="005D6B5C">
        <w:rPr>
          <w:rStyle w:val="FootnoteReference"/>
          <w:sz w:val="16"/>
          <w:szCs w:val="16"/>
        </w:rPr>
        <w:footnoteRef/>
      </w:r>
      <w:r w:rsidRPr="005D6B5C">
        <w:rPr>
          <w:sz w:val="16"/>
          <w:szCs w:val="16"/>
        </w:rPr>
        <w:t xml:space="preserve"> therefore, it is up to the decision-maker decide what is appropriate in individual cases, based upon the relevant circumstances.</w:t>
      </w:r>
    </w:p>
  </w:footnote>
  <w:footnote w:id="6">
    <w:p w14:paraId="6BC0251B" w14:textId="77777777" w:rsidR="00E12887" w:rsidRPr="009963EC" w:rsidRDefault="00E12887" w:rsidP="00E12887">
      <w:pPr>
        <w:pStyle w:val="FootnoteText"/>
        <w:rPr>
          <w:sz w:val="16"/>
          <w:szCs w:val="16"/>
        </w:rPr>
      </w:pPr>
      <w:r w:rsidRPr="009963EC">
        <w:rPr>
          <w:rStyle w:val="FootnoteReference"/>
          <w:sz w:val="16"/>
          <w:szCs w:val="16"/>
        </w:rPr>
        <w:footnoteRef/>
      </w:r>
      <w:r w:rsidRPr="009963EC">
        <w:rPr>
          <w:sz w:val="16"/>
          <w:szCs w:val="16"/>
        </w:rPr>
        <w:t xml:space="preserve"> Not involving vehicles or firearms</w:t>
      </w:r>
    </w:p>
  </w:footnote>
  <w:footnote w:id="7">
    <w:p w14:paraId="455C6928" w14:textId="77777777" w:rsidR="00E12887" w:rsidRPr="00E13489" w:rsidRDefault="00E12887" w:rsidP="00E12887">
      <w:pPr>
        <w:pStyle w:val="FootnoteText"/>
        <w:rPr>
          <w:sz w:val="16"/>
          <w:szCs w:val="16"/>
        </w:rPr>
      </w:pPr>
      <w:r w:rsidRPr="00E13489">
        <w:rPr>
          <w:rStyle w:val="FootnoteReference"/>
          <w:sz w:val="16"/>
          <w:szCs w:val="16"/>
        </w:rPr>
        <w:footnoteRef/>
      </w:r>
      <w:r w:rsidRPr="00E13489">
        <w:rPr>
          <w:sz w:val="16"/>
          <w:szCs w:val="16"/>
        </w:rPr>
        <w:t xml:space="preserve"> involving the change of use of part or </w:t>
      </w:r>
      <w:proofErr w:type="gramStart"/>
      <w:r w:rsidRPr="00E13489">
        <w:rPr>
          <w:sz w:val="16"/>
          <w:szCs w:val="16"/>
        </w:rPr>
        <w:t>all of</w:t>
      </w:r>
      <w:proofErr w:type="gramEnd"/>
      <w:r w:rsidRPr="00E13489">
        <w:rPr>
          <w:sz w:val="16"/>
          <w:szCs w:val="16"/>
        </w:rPr>
        <w:t xml:space="preserve"> the ground floor of the building</w:t>
      </w:r>
    </w:p>
  </w:footnote>
  <w:footnote w:id="8">
    <w:p w14:paraId="053AF030" w14:textId="77777777" w:rsidR="00E12887" w:rsidRDefault="00E12887" w:rsidP="00E12887">
      <w:pPr>
        <w:pStyle w:val="FootnoteText"/>
      </w:pPr>
      <w:r w:rsidRPr="00E13489">
        <w:rPr>
          <w:rStyle w:val="FootnoteReference"/>
          <w:sz w:val="16"/>
          <w:szCs w:val="16"/>
        </w:rPr>
        <w:footnoteRef/>
      </w:r>
      <w:r w:rsidRPr="00E13489">
        <w:rPr>
          <w:sz w:val="16"/>
          <w:szCs w:val="16"/>
        </w:rPr>
        <w:t xml:space="preserve"> up until 31</w:t>
      </w:r>
      <w:r w:rsidRPr="00E13489">
        <w:rPr>
          <w:sz w:val="16"/>
          <w:szCs w:val="16"/>
          <w:vertAlign w:val="superscript"/>
        </w:rPr>
        <w:t>st</w:t>
      </w:r>
      <w:r w:rsidRPr="00E13489">
        <w:rPr>
          <w:sz w:val="16"/>
          <w:szCs w:val="16"/>
        </w:rPr>
        <w:t xml:space="preserve"> July 2021 the ‘impact on the high street’ </w:t>
      </w:r>
      <w:r>
        <w:rPr>
          <w:sz w:val="16"/>
          <w:szCs w:val="16"/>
        </w:rPr>
        <w:t xml:space="preserve">was a </w:t>
      </w:r>
      <w:r w:rsidRPr="00E13489">
        <w:rPr>
          <w:sz w:val="16"/>
          <w:szCs w:val="16"/>
        </w:rPr>
        <w:t xml:space="preserve">test </w:t>
      </w:r>
      <w:r>
        <w:rPr>
          <w:sz w:val="16"/>
          <w:szCs w:val="16"/>
        </w:rPr>
        <w:t xml:space="preserve">for prior approval </w:t>
      </w:r>
      <w:r w:rsidRPr="00E13489">
        <w:rPr>
          <w:sz w:val="16"/>
          <w:szCs w:val="16"/>
        </w:rPr>
        <w:t>for uses outside of Class E</w:t>
      </w:r>
    </w:p>
  </w:footnote>
  <w:footnote w:id="9">
    <w:p w14:paraId="5D7DD64F" w14:textId="0F30EA08" w:rsidR="001A784C" w:rsidRPr="00060C8E" w:rsidRDefault="001A784C" w:rsidP="001A784C">
      <w:pPr>
        <w:pStyle w:val="FootnoteText"/>
        <w:rPr>
          <w:sz w:val="16"/>
          <w:szCs w:val="16"/>
        </w:rPr>
      </w:pPr>
      <w:r w:rsidRPr="00060C8E">
        <w:rPr>
          <w:rStyle w:val="FootnoteReference"/>
          <w:sz w:val="16"/>
          <w:szCs w:val="16"/>
        </w:rPr>
        <w:footnoteRef/>
      </w:r>
      <w:r w:rsidRPr="00060C8E">
        <w:rPr>
          <w:sz w:val="16"/>
          <w:szCs w:val="16"/>
        </w:rPr>
        <w:t xml:space="preserve"> </w:t>
      </w:r>
      <w:r w:rsidR="00851399">
        <w:rPr>
          <w:sz w:val="16"/>
          <w:szCs w:val="16"/>
        </w:rPr>
        <w:t>October</w:t>
      </w:r>
      <w:r w:rsidRPr="00060C8E">
        <w:rPr>
          <w:sz w:val="16"/>
          <w:szCs w:val="16"/>
        </w:rPr>
        <w:t xml:space="preserve"> 201</w:t>
      </w:r>
      <w:r w:rsidR="00851399">
        <w:rPr>
          <w:sz w:val="16"/>
          <w:szCs w:val="16"/>
        </w:rPr>
        <w:t>3</w:t>
      </w:r>
    </w:p>
  </w:footnote>
  <w:footnote w:id="10">
    <w:p w14:paraId="3F936B18" w14:textId="77777777" w:rsidR="001A784C" w:rsidRDefault="001A784C" w:rsidP="001A784C">
      <w:pPr>
        <w:pStyle w:val="FootnoteText"/>
      </w:pPr>
      <w:r w:rsidRPr="00060C8E">
        <w:rPr>
          <w:rStyle w:val="FootnoteReference"/>
          <w:sz w:val="16"/>
          <w:szCs w:val="16"/>
        </w:rPr>
        <w:footnoteRef/>
      </w:r>
      <w:r w:rsidRPr="00060C8E">
        <w:rPr>
          <w:sz w:val="16"/>
          <w:szCs w:val="16"/>
        </w:rPr>
        <w:t xml:space="preserve"> January 2022</w:t>
      </w:r>
    </w:p>
  </w:footnote>
  <w:footnote w:id="11">
    <w:p w14:paraId="5A60732F" w14:textId="6640C883" w:rsidR="00CB6071" w:rsidRPr="00285131" w:rsidRDefault="00CB6071">
      <w:pPr>
        <w:pStyle w:val="FootnoteText"/>
        <w:rPr>
          <w:sz w:val="16"/>
          <w:szCs w:val="16"/>
        </w:rPr>
      </w:pPr>
      <w:r w:rsidRPr="00285131">
        <w:rPr>
          <w:rStyle w:val="FootnoteReference"/>
          <w:sz w:val="16"/>
          <w:szCs w:val="16"/>
        </w:rPr>
        <w:footnoteRef/>
      </w:r>
      <w:r w:rsidRPr="00285131">
        <w:rPr>
          <w:sz w:val="16"/>
          <w:szCs w:val="16"/>
        </w:rPr>
        <w:t xml:space="preserve"> </w:t>
      </w:r>
      <w:r w:rsidR="006F79C4" w:rsidRPr="00285131">
        <w:rPr>
          <w:sz w:val="16"/>
          <w:szCs w:val="16"/>
        </w:rPr>
        <w:t xml:space="preserve">the survey was structed to ask survey respondents in a particular zone about their nearest main town centre.  For example, </w:t>
      </w:r>
      <w:r w:rsidR="00683C90" w:rsidRPr="00285131">
        <w:rPr>
          <w:sz w:val="16"/>
          <w:szCs w:val="16"/>
        </w:rPr>
        <w:t>residents of Zone 5 (which covers the Torquay urban area) were asked about Torquay town centre; residents of Zone 3 (which covers the Brixham urban area) were asked questions about Brixham town centre.</w:t>
      </w:r>
    </w:p>
  </w:footnote>
  <w:footnote w:id="12">
    <w:p w14:paraId="096AC104" w14:textId="74F6AD7F" w:rsidR="00910180" w:rsidRPr="00285131" w:rsidRDefault="00910180">
      <w:pPr>
        <w:pStyle w:val="FootnoteText"/>
        <w:rPr>
          <w:sz w:val="16"/>
          <w:szCs w:val="16"/>
        </w:rPr>
      </w:pPr>
      <w:r w:rsidRPr="00285131">
        <w:rPr>
          <w:rStyle w:val="FootnoteReference"/>
          <w:sz w:val="16"/>
          <w:szCs w:val="16"/>
        </w:rPr>
        <w:footnoteRef/>
      </w:r>
      <w:r w:rsidRPr="00285131">
        <w:rPr>
          <w:sz w:val="16"/>
          <w:szCs w:val="16"/>
        </w:rPr>
        <w:t xml:space="preserve"> </w:t>
      </w:r>
      <w:proofErr w:type="gramStart"/>
      <w:r w:rsidRPr="00285131">
        <w:rPr>
          <w:sz w:val="16"/>
          <w:szCs w:val="16"/>
        </w:rPr>
        <w:t>i.e.</w:t>
      </w:r>
      <w:proofErr w:type="gramEnd"/>
      <w:r w:rsidRPr="00285131">
        <w:rPr>
          <w:sz w:val="16"/>
          <w:szCs w:val="16"/>
        </w:rPr>
        <w:t xml:space="preserve"> </w:t>
      </w:r>
      <w:r w:rsidR="00270CB6" w:rsidRPr="00285131">
        <w:rPr>
          <w:sz w:val="16"/>
          <w:szCs w:val="16"/>
        </w:rPr>
        <w:t>those residents of Zone 4 who do not visit Paignton town centre</w:t>
      </w:r>
    </w:p>
  </w:footnote>
  <w:footnote w:id="13">
    <w:p w14:paraId="506AF551" w14:textId="22E15C97" w:rsidR="00107030" w:rsidRPr="00B44051" w:rsidRDefault="00107030">
      <w:pPr>
        <w:pStyle w:val="FootnoteText"/>
        <w:rPr>
          <w:sz w:val="16"/>
          <w:szCs w:val="16"/>
        </w:rPr>
      </w:pPr>
      <w:r w:rsidRPr="00B44051">
        <w:rPr>
          <w:rStyle w:val="FootnoteReference"/>
          <w:sz w:val="16"/>
          <w:szCs w:val="16"/>
        </w:rPr>
        <w:footnoteRef/>
      </w:r>
      <w:r w:rsidRPr="00B44051">
        <w:rPr>
          <w:sz w:val="16"/>
          <w:szCs w:val="16"/>
        </w:rPr>
        <w:t xml:space="preserve"> Appendix II</w:t>
      </w:r>
    </w:p>
  </w:footnote>
  <w:footnote w:id="14">
    <w:p w14:paraId="4032C4B4" w14:textId="770E4558" w:rsidR="00285131" w:rsidRPr="00B44051" w:rsidRDefault="00285131">
      <w:pPr>
        <w:pStyle w:val="FootnoteText"/>
        <w:rPr>
          <w:sz w:val="16"/>
          <w:szCs w:val="16"/>
        </w:rPr>
      </w:pPr>
      <w:r w:rsidRPr="00B44051">
        <w:rPr>
          <w:rStyle w:val="FootnoteReference"/>
          <w:sz w:val="16"/>
          <w:szCs w:val="16"/>
        </w:rPr>
        <w:footnoteRef/>
      </w:r>
      <w:r w:rsidRPr="00B44051">
        <w:rPr>
          <w:sz w:val="16"/>
          <w:szCs w:val="16"/>
        </w:rPr>
        <w:t xml:space="preserve"> Appendix III</w:t>
      </w:r>
    </w:p>
  </w:footnote>
  <w:footnote w:id="15">
    <w:p w14:paraId="6918D3F2" w14:textId="016BC98D" w:rsidR="00641C6A" w:rsidRPr="00B44051" w:rsidRDefault="00641C6A">
      <w:pPr>
        <w:pStyle w:val="FootnoteText"/>
        <w:rPr>
          <w:sz w:val="16"/>
          <w:szCs w:val="16"/>
        </w:rPr>
      </w:pPr>
      <w:r w:rsidRPr="00285131">
        <w:rPr>
          <w:rStyle w:val="FootnoteReference"/>
          <w:sz w:val="16"/>
          <w:szCs w:val="16"/>
        </w:rPr>
        <w:footnoteRef/>
      </w:r>
      <w:r w:rsidRPr="00285131">
        <w:rPr>
          <w:sz w:val="16"/>
          <w:szCs w:val="16"/>
        </w:rPr>
        <w:t xml:space="preserve"> including the Union Square Shopping Centre</w:t>
      </w:r>
    </w:p>
  </w:footnote>
  <w:footnote w:id="16">
    <w:p w14:paraId="40AD0489" w14:textId="6FCB0B90" w:rsidR="00285131" w:rsidRPr="00B44051" w:rsidRDefault="00285131">
      <w:pPr>
        <w:pStyle w:val="FootnoteText"/>
        <w:rPr>
          <w:sz w:val="16"/>
          <w:szCs w:val="16"/>
        </w:rPr>
      </w:pPr>
      <w:r w:rsidRPr="00B44051">
        <w:rPr>
          <w:rStyle w:val="FootnoteReference"/>
          <w:sz w:val="16"/>
          <w:szCs w:val="16"/>
        </w:rPr>
        <w:footnoteRef/>
      </w:r>
      <w:r w:rsidRPr="00B44051">
        <w:rPr>
          <w:sz w:val="16"/>
          <w:szCs w:val="16"/>
        </w:rPr>
        <w:t xml:space="preserve"> Appendix IV</w:t>
      </w:r>
    </w:p>
  </w:footnote>
  <w:footnote w:id="17">
    <w:p w14:paraId="5006DB3E" w14:textId="21368535" w:rsidR="00285131" w:rsidRPr="00B44051" w:rsidRDefault="00285131">
      <w:pPr>
        <w:pStyle w:val="FootnoteText"/>
        <w:rPr>
          <w:sz w:val="16"/>
          <w:szCs w:val="16"/>
        </w:rPr>
      </w:pPr>
      <w:r w:rsidRPr="00B44051">
        <w:rPr>
          <w:rStyle w:val="FootnoteReference"/>
          <w:sz w:val="16"/>
          <w:szCs w:val="16"/>
        </w:rPr>
        <w:footnoteRef/>
      </w:r>
      <w:r w:rsidRPr="00B44051">
        <w:rPr>
          <w:sz w:val="16"/>
          <w:szCs w:val="16"/>
        </w:rPr>
        <w:t xml:space="preserve"> Appendix V</w:t>
      </w:r>
    </w:p>
  </w:footnote>
  <w:footnote w:id="18">
    <w:p w14:paraId="4C9D898B" w14:textId="26BD725C" w:rsidR="00285131" w:rsidRDefault="00285131">
      <w:pPr>
        <w:pStyle w:val="FootnoteText"/>
      </w:pPr>
      <w:r w:rsidRPr="00B44051">
        <w:rPr>
          <w:rStyle w:val="FootnoteReference"/>
          <w:sz w:val="16"/>
          <w:szCs w:val="16"/>
        </w:rPr>
        <w:footnoteRef/>
      </w:r>
      <w:r w:rsidRPr="00B44051">
        <w:rPr>
          <w:sz w:val="16"/>
          <w:szCs w:val="16"/>
        </w:rPr>
        <w:t xml:space="preserve"> Appendix V</w:t>
      </w:r>
    </w:p>
  </w:footnote>
  <w:footnote w:id="19">
    <w:p w14:paraId="5F7D1D12" w14:textId="451DA185" w:rsidR="000E06CC" w:rsidRPr="00DF6EA7" w:rsidRDefault="000E06CC">
      <w:pPr>
        <w:pStyle w:val="FootnoteText"/>
        <w:rPr>
          <w:sz w:val="16"/>
          <w:szCs w:val="16"/>
        </w:rPr>
      </w:pPr>
      <w:r w:rsidRPr="00DF6EA7">
        <w:rPr>
          <w:rStyle w:val="FootnoteReference"/>
          <w:sz w:val="16"/>
          <w:szCs w:val="16"/>
        </w:rPr>
        <w:footnoteRef/>
      </w:r>
      <w:r w:rsidRPr="00DF6EA7">
        <w:rPr>
          <w:sz w:val="16"/>
          <w:szCs w:val="16"/>
        </w:rPr>
        <w:t xml:space="preserve"> see Table B on page 36 of the 2013 retail study</w:t>
      </w:r>
    </w:p>
  </w:footnote>
  <w:footnote w:id="20">
    <w:p w14:paraId="1E64FF84" w14:textId="3B0A05C1" w:rsidR="00AD0781" w:rsidRDefault="00AD0781">
      <w:pPr>
        <w:pStyle w:val="FootnoteText"/>
      </w:pPr>
      <w:r w:rsidRPr="00DF6EA7">
        <w:rPr>
          <w:rStyle w:val="FootnoteReference"/>
          <w:sz w:val="16"/>
          <w:szCs w:val="16"/>
        </w:rPr>
        <w:footnoteRef/>
      </w:r>
      <w:r w:rsidRPr="00DF6EA7">
        <w:rPr>
          <w:sz w:val="16"/>
          <w:szCs w:val="16"/>
        </w:rPr>
        <w:t xml:space="preserve"> Table B, page 36, 2013 retail study</w:t>
      </w:r>
    </w:p>
  </w:footnote>
  <w:footnote w:id="21">
    <w:p w14:paraId="3066B31F" w14:textId="208F497F" w:rsidR="00BA39AA" w:rsidRPr="00A71E60" w:rsidRDefault="00BA39AA">
      <w:pPr>
        <w:pStyle w:val="FootnoteText"/>
        <w:rPr>
          <w:sz w:val="16"/>
          <w:szCs w:val="16"/>
        </w:rPr>
      </w:pPr>
      <w:r w:rsidRPr="00A71E60">
        <w:rPr>
          <w:rStyle w:val="FootnoteReference"/>
          <w:sz w:val="16"/>
          <w:szCs w:val="16"/>
        </w:rPr>
        <w:footnoteRef/>
      </w:r>
      <w:r w:rsidRPr="00A71E60">
        <w:rPr>
          <w:sz w:val="16"/>
          <w:szCs w:val="16"/>
        </w:rPr>
        <w:t xml:space="preserve"> the other two being around 40% usage</w:t>
      </w:r>
    </w:p>
  </w:footnote>
  <w:footnote w:id="22">
    <w:p w14:paraId="43E1B047" w14:textId="663C550A" w:rsidR="004D40DB" w:rsidRPr="00742C35" w:rsidRDefault="004D40DB">
      <w:pPr>
        <w:pStyle w:val="FootnoteText"/>
        <w:rPr>
          <w:sz w:val="16"/>
          <w:szCs w:val="16"/>
        </w:rPr>
      </w:pPr>
      <w:r w:rsidRPr="00742C35">
        <w:rPr>
          <w:rStyle w:val="FootnoteReference"/>
          <w:sz w:val="16"/>
          <w:szCs w:val="16"/>
        </w:rPr>
        <w:footnoteRef/>
      </w:r>
      <w:r w:rsidRPr="00742C35">
        <w:rPr>
          <w:sz w:val="16"/>
          <w:szCs w:val="16"/>
        </w:rPr>
        <w:t xml:space="preserve"> Appendix VI</w:t>
      </w:r>
    </w:p>
  </w:footnote>
  <w:footnote w:id="23">
    <w:p w14:paraId="6890BCB3" w14:textId="5BCBB69E" w:rsidR="00A66780" w:rsidRPr="00B41CD4" w:rsidRDefault="00A66780">
      <w:pPr>
        <w:pStyle w:val="FootnoteText"/>
        <w:rPr>
          <w:sz w:val="16"/>
          <w:szCs w:val="16"/>
        </w:rPr>
      </w:pPr>
      <w:r w:rsidRPr="00B41CD4">
        <w:rPr>
          <w:rStyle w:val="FootnoteReference"/>
          <w:sz w:val="16"/>
          <w:szCs w:val="16"/>
        </w:rPr>
        <w:footnoteRef/>
      </w:r>
      <w:r w:rsidRPr="00B41CD4">
        <w:rPr>
          <w:sz w:val="16"/>
          <w:szCs w:val="16"/>
        </w:rPr>
        <w:t xml:space="preserve"> which can be compared with 21% for Torquay and 61% for Brixh</w:t>
      </w:r>
      <w:r w:rsidR="00467C55" w:rsidRPr="00B41CD4">
        <w:rPr>
          <w:sz w:val="16"/>
          <w:szCs w:val="16"/>
        </w:rPr>
        <w:t>a</w:t>
      </w:r>
      <w:r w:rsidRPr="00B41CD4">
        <w:rPr>
          <w:sz w:val="16"/>
          <w:szCs w:val="16"/>
        </w:rPr>
        <w:t>m</w:t>
      </w:r>
    </w:p>
  </w:footnote>
  <w:footnote w:id="24">
    <w:p w14:paraId="3FA56777" w14:textId="1AC6CC04" w:rsidR="00547149" w:rsidRPr="00E54A5C" w:rsidRDefault="00547149">
      <w:pPr>
        <w:pStyle w:val="FootnoteText"/>
        <w:rPr>
          <w:sz w:val="16"/>
          <w:szCs w:val="16"/>
        </w:rPr>
      </w:pPr>
      <w:r w:rsidRPr="00E54A5C">
        <w:rPr>
          <w:rStyle w:val="FootnoteReference"/>
          <w:sz w:val="16"/>
          <w:szCs w:val="16"/>
        </w:rPr>
        <w:footnoteRef/>
      </w:r>
      <w:r w:rsidRPr="00E54A5C">
        <w:rPr>
          <w:sz w:val="16"/>
          <w:szCs w:val="16"/>
        </w:rPr>
        <w:t xml:space="preserve"> apart from its eastern end, close to the harbour area</w:t>
      </w:r>
    </w:p>
  </w:footnote>
  <w:footnote w:id="25">
    <w:p w14:paraId="3857DEB2" w14:textId="006255E2" w:rsidR="00A72CB6" w:rsidRPr="00A72CB6" w:rsidRDefault="00A72CB6">
      <w:pPr>
        <w:pStyle w:val="FootnoteText"/>
        <w:rPr>
          <w:sz w:val="16"/>
          <w:szCs w:val="16"/>
        </w:rPr>
      </w:pPr>
      <w:r w:rsidRPr="00A72CB6">
        <w:rPr>
          <w:rStyle w:val="FootnoteReference"/>
          <w:sz w:val="16"/>
          <w:szCs w:val="16"/>
        </w:rPr>
        <w:footnoteRef/>
      </w:r>
      <w:r w:rsidRPr="00A72CB6">
        <w:rPr>
          <w:sz w:val="16"/>
          <w:szCs w:val="16"/>
        </w:rPr>
        <w:t xml:space="preserve"> which is around half the national average</w:t>
      </w:r>
    </w:p>
  </w:footnote>
  <w:footnote w:id="26">
    <w:p w14:paraId="44B7A3EB" w14:textId="5307D7BC" w:rsidR="00014317" w:rsidRPr="00640B40" w:rsidRDefault="00014317">
      <w:pPr>
        <w:pStyle w:val="FootnoteText"/>
        <w:rPr>
          <w:sz w:val="16"/>
          <w:szCs w:val="16"/>
        </w:rPr>
      </w:pPr>
      <w:r w:rsidRPr="00640B40">
        <w:rPr>
          <w:rStyle w:val="FootnoteReference"/>
          <w:sz w:val="16"/>
          <w:szCs w:val="16"/>
        </w:rPr>
        <w:footnoteRef/>
      </w:r>
      <w:r w:rsidRPr="00640B40">
        <w:rPr>
          <w:sz w:val="16"/>
          <w:szCs w:val="16"/>
        </w:rPr>
        <w:t xml:space="preserve"> annotated as TC2.4.3</w:t>
      </w:r>
    </w:p>
  </w:footnote>
  <w:footnote w:id="27">
    <w:p w14:paraId="23D40025" w14:textId="07CCDF89" w:rsidR="00516D6A" w:rsidRPr="00851307" w:rsidRDefault="00516D6A">
      <w:pPr>
        <w:pStyle w:val="FootnoteText"/>
        <w:rPr>
          <w:sz w:val="16"/>
          <w:szCs w:val="16"/>
        </w:rPr>
      </w:pPr>
      <w:r w:rsidRPr="00851307">
        <w:rPr>
          <w:rStyle w:val="FootnoteReference"/>
          <w:sz w:val="16"/>
          <w:szCs w:val="16"/>
        </w:rPr>
        <w:footnoteRef/>
      </w:r>
      <w:r w:rsidRPr="00851307">
        <w:rPr>
          <w:sz w:val="16"/>
          <w:szCs w:val="16"/>
        </w:rPr>
        <w:t xml:space="preserve"> See Appendix XV</w:t>
      </w:r>
    </w:p>
  </w:footnote>
  <w:footnote w:id="28">
    <w:p w14:paraId="5915D33D" w14:textId="02093477" w:rsidR="007910D0" w:rsidRPr="00B44051" w:rsidRDefault="007910D0">
      <w:pPr>
        <w:pStyle w:val="FootnoteText"/>
        <w:rPr>
          <w:sz w:val="16"/>
          <w:szCs w:val="16"/>
        </w:rPr>
      </w:pPr>
      <w:r w:rsidRPr="00B44051">
        <w:rPr>
          <w:rStyle w:val="FootnoteReference"/>
          <w:sz w:val="16"/>
          <w:szCs w:val="16"/>
        </w:rPr>
        <w:footnoteRef/>
      </w:r>
      <w:r w:rsidRPr="00B44051">
        <w:rPr>
          <w:sz w:val="16"/>
          <w:szCs w:val="16"/>
        </w:rPr>
        <w:t xml:space="preserve"> </w:t>
      </w:r>
      <w:proofErr w:type="gramStart"/>
      <w:r w:rsidRPr="00B44051">
        <w:rPr>
          <w:sz w:val="16"/>
          <w:szCs w:val="16"/>
        </w:rPr>
        <w:t>i.e.</w:t>
      </w:r>
      <w:proofErr w:type="gramEnd"/>
      <w:r w:rsidRPr="00B44051">
        <w:rPr>
          <w:sz w:val="16"/>
          <w:szCs w:val="16"/>
        </w:rPr>
        <w:t xml:space="preserve"> the original percentage figures from the household survey results have been re-calcul</w:t>
      </w:r>
      <w:r w:rsidR="00BA2F65" w:rsidRPr="00B44051">
        <w:rPr>
          <w:sz w:val="16"/>
          <w:szCs w:val="16"/>
        </w:rPr>
        <w:t>ated in order to provide new percentage figures existing physical stores which exclude the influence of ‘don’t know’, internet/on-line, and ‘don’t do’ responses.</w:t>
      </w:r>
    </w:p>
  </w:footnote>
  <w:footnote w:id="29">
    <w:p w14:paraId="60AC9281" w14:textId="5D629DE3" w:rsidR="00DC19DC" w:rsidRPr="00DC19DC" w:rsidRDefault="00DC19DC">
      <w:pPr>
        <w:pStyle w:val="FootnoteText"/>
        <w:rPr>
          <w:sz w:val="16"/>
          <w:szCs w:val="16"/>
        </w:rPr>
      </w:pPr>
      <w:r w:rsidRPr="00DC19DC">
        <w:rPr>
          <w:rStyle w:val="FootnoteReference"/>
          <w:sz w:val="16"/>
          <w:szCs w:val="16"/>
        </w:rPr>
        <w:footnoteRef/>
      </w:r>
      <w:r w:rsidRPr="00DC19DC">
        <w:rPr>
          <w:sz w:val="16"/>
          <w:szCs w:val="16"/>
        </w:rPr>
        <w:t xml:space="preserve"> our emphasis</w:t>
      </w:r>
    </w:p>
  </w:footnote>
  <w:footnote w:id="30">
    <w:p w14:paraId="6E89E1D4" w14:textId="77777777" w:rsidR="00C12F2C" w:rsidRPr="003F5A85" w:rsidRDefault="00C12F2C" w:rsidP="00C12F2C">
      <w:pPr>
        <w:pStyle w:val="FootnoteText"/>
        <w:rPr>
          <w:sz w:val="16"/>
          <w:szCs w:val="16"/>
        </w:rPr>
      </w:pPr>
      <w:r w:rsidRPr="003F5A85">
        <w:rPr>
          <w:rStyle w:val="FootnoteReference"/>
          <w:sz w:val="16"/>
          <w:szCs w:val="16"/>
        </w:rPr>
        <w:footnoteRef/>
      </w:r>
      <w:r w:rsidRPr="003F5A85">
        <w:rPr>
          <w:sz w:val="16"/>
          <w:szCs w:val="16"/>
        </w:rPr>
        <w:t xml:space="preserve"> February 2022</w:t>
      </w:r>
    </w:p>
  </w:footnote>
  <w:footnote w:id="31">
    <w:p w14:paraId="3AA965F8" w14:textId="77777777" w:rsidR="00C12F2C" w:rsidRDefault="00C12F2C" w:rsidP="00C12F2C">
      <w:pPr>
        <w:pStyle w:val="FootnoteText"/>
      </w:pPr>
      <w:r w:rsidRPr="00227A9D">
        <w:rPr>
          <w:rStyle w:val="FootnoteReference"/>
          <w:sz w:val="16"/>
          <w:szCs w:val="16"/>
        </w:rPr>
        <w:footnoteRef/>
      </w:r>
      <w:r w:rsidRPr="00227A9D">
        <w:rPr>
          <w:sz w:val="16"/>
          <w:szCs w:val="16"/>
        </w:rPr>
        <w:t xml:space="preserve"> Retail Rankings, 2021 edition</w:t>
      </w:r>
      <w:r>
        <w:rPr>
          <w:sz w:val="16"/>
          <w:szCs w:val="16"/>
        </w:rPr>
        <w:t xml:space="preserve"> and research from GlobalData provided in 2021.</w:t>
      </w:r>
    </w:p>
  </w:footnote>
  <w:footnote w:id="32">
    <w:p w14:paraId="0FB9C0ED" w14:textId="77777777" w:rsidR="00C12F2C" w:rsidRPr="002D5951" w:rsidRDefault="00C12F2C" w:rsidP="00C12F2C">
      <w:pPr>
        <w:pStyle w:val="FootnoteText"/>
        <w:rPr>
          <w:sz w:val="16"/>
          <w:szCs w:val="16"/>
        </w:rPr>
      </w:pPr>
      <w:r w:rsidRPr="002D5951">
        <w:rPr>
          <w:rStyle w:val="FootnoteReference"/>
          <w:sz w:val="16"/>
          <w:szCs w:val="16"/>
        </w:rPr>
        <w:footnoteRef/>
      </w:r>
      <w:r w:rsidRPr="002D5951">
        <w:rPr>
          <w:sz w:val="16"/>
          <w:szCs w:val="16"/>
        </w:rPr>
        <w:t xml:space="preserve"> for example, the actual comparison goods turnover of all stores in Sevenoaks </w:t>
      </w:r>
      <w:proofErr w:type="gramStart"/>
      <w:r w:rsidRPr="002D5951">
        <w:rPr>
          <w:sz w:val="16"/>
          <w:szCs w:val="16"/>
        </w:rPr>
        <w:t>at</w:t>
      </w:r>
      <w:proofErr w:type="gramEnd"/>
      <w:r w:rsidRPr="002D5951">
        <w:rPr>
          <w:sz w:val="16"/>
          <w:szCs w:val="16"/>
        </w:rPr>
        <w:t xml:space="preserve"> 2016 was £253m and this, therefore, was assumed to also be the benchmark turnover of those stores at the same year.</w:t>
      </w:r>
    </w:p>
  </w:footnote>
  <w:footnote w:id="33">
    <w:p w14:paraId="28D7AB6D" w14:textId="6BFCEFBC" w:rsidR="00BA2F65" w:rsidRPr="00B44051" w:rsidRDefault="00BA2F65">
      <w:pPr>
        <w:pStyle w:val="FootnoteText"/>
        <w:rPr>
          <w:sz w:val="16"/>
          <w:szCs w:val="16"/>
        </w:rPr>
      </w:pPr>
      <w:r w:rsidRPr="00B44051">
        <w:rPr>
          <w:rStyle w:val="FootnoteReference"/>
          <w:sz w:val="16"/>
          <w:szCs w:val="16"/>
        </w:rPr>
        <w:footnoteRef/>
      </w:r>
      <w:r w:rsidRPr="00B44051">
        <w:rPr>
          <w:sz w:val="16"/>
          <w:szCs w:val="16"/>
        </w:rPr>
        <w:t xml:space="preserve"> </w:t>
      </w:r>
      <w:proofErr w:type="gramStart"/>
      <w:r w:rsidRPr="00B44051">
        <w:rPr>
          <w:sz w:val="16"/>
          <w:szCs w:val="16"/>
        </w:rPr>
        <w:t>In order to</w:t>
      </w:r>
      <w:proofErr w:type="gramEnd"/>
      <w:r w:rsidRPr="00B44051">
        <w:rPr>
          <w:sz w:val="16"/>
          <w:szCs w:val="16"/>
        </w:rPr>
        <w:t xml:space="preserve"> arrive at an indicative floorspace capacity figure the residual retail expenditure total is divided by the chosen indicative sales density to provide a floorspace equivalent.</w:t>
      </w:r>
    </w:p>
  </w:footnote>
  <w:footnote w:id="34">
    <w:p w14:paraId="265C7AF8" w14:textId="01C13F74" w:rsidR="00684149" w:rsidRPr="00B52460" w:rsidRDefault="00684149">
      <w:pPr>
        <w:pStyle w:val="FootnoteText"/>
        <w:rPr>
          <w:sz w:val="16"/>
          <w:szCs w:val="16"/>
        </w:rPr>
      </w:pPr>
      <w:r w:rsidRPr="00B52460">
        <w:rPr>
          <w:rStyle w:val="FootnoteReference"/>
          <w:sz w:val="16"/>
          <w:szCs w:val="16"/>
        </w:rPr>
        <w:footnoteRef/>
      </w:r>
      <w:r w:rsidRPr="00B52460">
        <w:rPr>
          <w:sz w:val="16"/>
          <w:szCs w:val="16"/>
        </w:rPr>
        <w:t xml:space="preserve"> </w:t>
      </w:r>
      <w:proofErr w:type="gramStart"/>
      <w:r w:rsidRPr="00B52460">
        <w:rPr>
          <w:sz w:val="16"/>
          <w:szCs w:val="16"/>
        </w:rPr>
        <w:t>In order to</w:t>
      </w:r>
      <w:proofErr w:type="gramEnd"/>
      <w:r w:rsidRPr="00B52460">
        <w:rPr>
          <w:sz w:val="16"/>
          <w:szCs w:val="16"/>
        </w:rPr>
        <w:t xml:space="preserve"> compare the two sets of turnover levels </w:t>
      </w:r>
      <w:r w:rsidR="00C94196" w:rsidRPr="00B52460">
        <w:rPr>
          <w:sz w:val="16"/>
          <w:szCs w:val="16"/>
        </w:rPr>
        <w:t>the 2013 retail study</w:t>
      </w:r>
      <w:r w:rsidR="00B52460" w:rsidRPr="00B52460">
        <w:rPr>
          <w:sz w:val="16"/>
          <w:szCs w:val="16"/>
        </w:rPr>
        <w:t xml:space="preserve"> data, which was originally expressed in 2011 prices, has been converted to 2021 prices in order to match the data in the 2022 study assessment.</w:t>
      </w:r>
    </w:p>
  </w:footnote>
  <w:footnote w:id="35">
    <w:p w14:paraId="28E49991" w14:textId="4BC98E2D" w:rsidR="008C3419" w:rsidRPr="00306CB6" w:rsidRDefault="008C3419">
      <w:pPr>
        <w:pStyle w:val="FootnoteText"/>
        <w:rPr>
          <w:sz w:val="16"/>
          <w:szCs w:val="16"/>
        </w:rPr>
      </w:pPr>
      <w:r w:rsidRPr="00306CB6">
        <w:rPr>
          <w:rStyle w:val="FootnoteReference"/>
          <w:sz w:val="16"/>
          <w:szCs w:val="16"/>
        </w:rPr>
        <w:footnoteRef/>
      </w:r>
      <w:r w:rsidRPr="00306CB6">
        <w:rPr>
          <w:sz w:val="16"/>
          <w:szCs w:val="16"/>
        </w:rPr>
        <w:t xml:space="preserve"> contained within Retail Planner Briefing Note 19 (2022) </w:t>
      </w:r>
    </w:p>
  </w:footnote>
  <w:footnote w:id="36">
    <w:p w14:paraId="00758B77" w14:textId="15958A2C" w:rsidR="006258F0" w:rsidRPr="00B44051" w:rsidRDefault="006258F0">
      <w:pPr>
        <w:pStyle w:val="FootnoteText"/>
        <w:rPr>
          <w:sz w:val="16"/>
          <w:szCs w:val="16"/>
        </w:rPr>
      </w:pPr>
      <w:r w:rsidRPr="00B44051">
        <w:rPr>
          <w:rStyle w:val="FootnoteReference"/>
          <w:sz w:val="16"/>
          <w:szCs w:val="16"/>
        </w:rPr>
        <w:footnoteRef/>
      </w:r>
      <w:r w:rsidRPr="00B44051">
        <w:rPr>
          <w:sz w:val="16"/>
          <w:szCs w:val="16"/>
        </w:rPr>
        <w:t xml:space="preserve"> excluding the influence of purely </w:t>
      </w:r>
      <w:proofErr w:type="gramStart"/>
      <w:r w:rsidRPr="00B44051">
        <w:rPr>
          <w:sz w:val="16"/>
          <w:szCs w:val="16"/>
        </w:rPr>
        <w:t>internet based</w:t>
      </w:r>
      <w:proofErr w:type="gramEnd"/>
      <w:r w:rsidRPr="00B44051">
        <w:rPr>
          <w:sz w:val="16"/>
          <w:szCs w:val="16"/>
        </w:rPr>
        <w:t xml:space="preserve"> shopping</w:t>
      </w:r>
    </w:p>
  </w:footnote>
  <w:footnote w:id="37">
    <w:p w14:paraId="1BDBD1A8" w14:textId="1FE06732" w:rsidR="00536707" w:rsidRPr="00536707" w:rsidRDefault="00536707">
      <w:pPr>
        <w:pStyle w:val="FootnoteText"/>
        <w:rPr>
          <w:sz w:val="16"/>
          <w:szCs w:val="16"/>
        </w:rPr>
      </w:pPr>
      <w:r w:rsidRPr="00DC26E7">
        <w:rPr>
          <w:rStyle w:val="FootnoteReference"/>
          <w:sz w:val="16"/>
          <w:szCs w:val="16"/>
        </w:rPr>
        <w:footnoteRef/>
      </w:r>
      <w:r w:rsidRPr="00DC26E7">
        <w:rPr>
          <w:sz w:val="16"/>
          <w:szCs w:val="16"/>
        </w:rPr>
        <w:t xml:space="preserve"> </w:t>
      </w:r>
      <w:proofErr w:type="gramStart"/>
      <w:r w:rsidRPr="00DC26E7">
        <w:rPr>
          <w:sz w:val="16"/>
          <w:szCs w:val="16"/>
        </w:rPr>
        <w:t>i.e.</w:t>
      </w:r>
      <w:proofErr w:type="gramEnd"/>
      <w:r w:rsidRPr="00DC26E7">
        <w:rPr>
          <w:sz w:val="16"/>
          <w:szCs w:val="16"/>
        </w:rPr>
        <w:t xml:space="preserve"> in a hypothetical scenario where there is capacity for 2,000sq m at 2027 and 3,000sq m at 2032, the increase in capacity between 2027 and 2032 is 1,000sq m; in other words, a proposal which soaks up the 2,000sq m capacity at 2027 will leave the residual capacity at 2032 at 1,000sq m.</w:t>
      </w:r>
    </w:p>
  </w:footnote>
  <w:footnote w:id="38">
    <w:p w14:paraId="32B76DD8" w14:textId="1062E916" w:rsidR="003E072B" w:rsidRPr="00B41CD4" w:rsidRDefault="003E072B">
      <w:pPr>
        <w:pStyle w:val="FootnoteText"/>
        <w:rPr>
          <w:sz w:val="16"/>
          <w:szCs w:val="16"/>
        </w:rPr>
      </w:pPr>
      <w:r w:rsidRPr="00B41CD4">
        <w:rPr>
          <w:rStyle w:val="FootnoteReference"/>
          <w:sz w:val="16"/>
          <w:szCs w:val="16"/>
        </w:rPr>
        <w:footnoteRef/>
      </w:r>
      <w:r w:rsidRPr="00B41CD4">
        <w:rPr>
          <w:sz w:val="16"/>
          <w:szCs w:val="16"/>
        </w:rPr>
        <w:t xml:space="preserve"> loss of former BHS store to a cinema</w:t>
      </w:r>
    </w:p>
  </w:footnote>
  <w:footnote w:id="39">
    <w:p w14:paraId="2FE8E22D" w14:textId="69837943" w:rsidR="008B32BA" w:rsidRPr="00B44051" w:rsidRDefault="008B32BA">
      <w:pPr>
        <w:pStyle w:val="FootnoteText"/>
        <w:rPr>
          <w:sz w:val="16"/>
          <w:szCs w:val="16"/>
        </w:rPr>
      </w:pPr>
      <w:r w:rsidRPr="00B44051">
        <w:rPr>
          <w:rStyle w:val="FootnoteReference"/>
          <w:sz w:val="16"/>
          <w:szCs w:val="16"/>
        </w:rPr>
        <w:footnoteRef/>
      </w:r>
      <w:r w:rsidRPr="00B44051">
        <w:rPr>
          <w:sz w:val="16"/>
          <w:szCs w:val="16"/>
        </w:rPr>
        <w:t xml:space="preserve"> All figures are gross floorspace figures</w:t>
      </w:r>
    </w:p>
  </w:footnote>
  <w:footnote w:id="40">
    <w:p w14:paraId="3C533B4F" w14:textId="7320AB50" w:rsidR="00DD1AB5" w:rsidRPr="00B41CD4" w:rsidRDefault="00DD1AB5">
      <w:pPr>
        <w:pStyle w:val="FootnoteText"/>
        <w:rPr>
          <w:sz w:val="16"/>
          <w:szCs w:val="16"/>
        </w:rPr>
      </w:pPr>
      <w:r w:rsidRPr="00B41CD4">
        <w:rPr>
          <w:rStyle w:val="FootnoteReference"/>
          <w:sz w:val="16"/>
          <w:szCs w:val="16"/>
        </w:rPr>
        <w:footnoteRef/>
      </w:r>
      <w:r w:rsidRPr="00B41CD4">
        <w:rPr>
          <w:sz w:val="16"/>
          <w:szCs w:val="16"/>
        </w:rPr>
        <w:t xml:space="preserve"> and the designation of The Strand </w:t>
      </w:r>
      <w:r w:rsidR="00B777D6" w:rsidRPr="00B41CD4">
        <w:rPr>
          <w:sz w:val="16"/>
          <w:szCs w:val="16"/>
        </w:rPr>
        <w:t xml:space="preserve">as primary frontage does not cause any </w:t>
      </w:r>
      <w:proofErr w:type="gramStart"/>
      <w:r w:rsidR="00B777D6" w:rsidRPr="00B41CD4">
        <w:rPr>
          <w:sz w:val="16"/>
          <w:szCs w:val="16"/>
        </w:rPr>
        <w:t>particular issues</w:t>
      </w:r>
      <w:proofErr w:type="gramEnd"/>
      <w:r w:rsidR="00B777D6" w:rsidRPr="00B41CD4">
        <w:rPr>
          <w:sz w:val="16"/>
          <w:szCs w:val="16"/>
        </w:rPr>
        <w:t xml:space="preserve"> as it does not overlap with any other designation.</w:t>
      </w:r>
    </w:p>
  </w:footnote>
  <w:footnote w:id="41">
    <w:p w14:paraId="14E3F0A9" w14:textId="18980C64" w:rsidR="009C027F" w:rsidRDefault="009C027F">
      <w:pPr>
        <w:pStyle w:val="FootnoteText"/>
      </w:pPr>
      <w:r w:rsidRPr="00B41CD4">
        <w:rPr>
          <w:rStyle w:val="FootnoteReference"/>
          <w:sz w:val="16"/>
          <w:szCs w:val="16"/>
        </w:rPr>
        <w:footnoteRef/>
      </w:r>
      <w:r w:rsidRPr="00B41CD4">
        <w:rPr>
          <w:sz w:val="16"/>
          <w:szCs w:val="16"/>
        </w:rPr>
        <w:t xml:space="preserve"> </w:t>
      </w:r>
      <w:proofErr w:type="gramStart"/>
      <w:r w:rsidRPr="00B41CD4">
        <w:rPr>
          <w:sz w:val="16"/>
          <w:szCs w:val="16"/>
        </w:rPr>
        <w:t>i.e.</w:t>
      </w:r>
      <w:proofErr w:type="gramEnd"/>
      <w:r w:rsidRPr="00B41CD4">
        <w:rPr>
          <w:sz w:val="16"/>
          <w:szCs w:val="16"/>
        </w:rPr>
        <w:t xml:space="preserve"> </w:t>
      </w:r>
      <w:r w:rsidR="00BC741D" w:rsidRPr="00B41CD4">
        <w:rPr>
          <w:sz w:val="16"/>
          <w:szCs w:val="16"/>
        </w:rPr>
        <w:t>former Class A1 retail uses, now Class E(a) uses</w:t>
      </w:r>
    </w:p>
  </w:footnote>
  <w:footnote w:id="42">
    <w:p w14:paraId="4F4397C5" w14:textId="298B579E" w:rsidR="00690D4D" w:rsidRPr="00A049C1" w:rsidRDefault="00690D4D">
      <w:pPr>
        <w:pStyle w:val="FootnoteText"/>
        <w:rPr>
          <w:sz w:val="16"/>
          <w:szCs w:val="16"/>
        </w:rPr>
      </w:pPr>
      <w:r w:rsidRPr="00A049C1">
        <w:rPr>
          <w:rStyle w:val="FootnoteReference"/>
          <w:sz w:val="16"/>
          <w:szCs w:val="16"/>
        </w:rPr>
        <w:footnoteRef/>
      </w:r>
      <w:r w:rsidRPr="00A049C1">
        <w:rPr>
          <w:sz w:val="16"/>
          <w:szCs w:val="16"/>
        </w:rPr>
        <w:t xml:space="preserve"> as defined by the NPPF</w:t>
      </w:r>
    </w:p>
  </w:footnote>
  <w:footnote w:id="43">
    <w:p w14:paraId="41AADCBD" w14:textId="0AF16F2A" w:rsidR="00FA2F6A" w:rsidRPr="00A049C1" w:rsidRDefault="00FA2F6A">
      <w:pPr>
        <w:pStyle w:val="FootnoteText"/>
        <w:rPr>
          <w:sz w:val="16"/>
          <w:szCs w:val="16"/>
        </w:rPr>
      </w:pPr>
      <w:r w:rsidRPr="00A049C1">
        <w:rPr>
          <w:rStyle w:val="FootnoteReference"/>
          <w:sz w:val="16"/>
          <w:szCs w:val="16"/>
        </w:rPr>
        <w:footnoteRef/>
      </w:r>
      <w:r w:rsidRPr="00A049C1">
        <w:rPr>
          <w:sz w:val="16"/>
          <w:szCs w:val="16"/>
        </w:rPr>
        <w:t xml:space="preserve"> for example, cumulative impact assessments should be required when there are unimplemented retail and/or leisure land use commitments or recent openings (after the completion of the collection of evidence base data informing the assessment) in the catchment of the proposal (or outside of the catchment but likely to </w:t>
      </w:r>
      <w:r w:rsidR="0048157A" w:rsidRPr="00A049C1">
        <w:rPr>
          <w:sz w:val="16"/>
          <w:szCs w:val="16"/>
        </w:rPr>
        <w:t>influence retail / leisure patterns in the catchment)</w:t>
      </w:r>
      <w:r w:rsidRPr="00A049C1">
        <w:rPr>
          <w:sz w:val="16"/>
          <w:szCs w:val="16"/>
        </w:rPr>
        <w:t xml:space="preserve"> </w:t>
      </w:r>
    </w:p>
  </w:footnote>
  <w:footnote w:id="44">
    <w:p w14:paraId="491F4898" w14:textId="32E3A93C" w:rsidR="005F63B0" w:rsidRPr="00A049C1" w:rsidRDefault="005F63B0">
      <w:pPr>
        <w:pStyle w:val="FootnoteText"/>
        <w:rPr>
          <w:sz w:val="16"/>
          <w:szCs w:val="16"/>
        </w:rPr>
      </w:pPr>
      <w:r w:rsidRPr="00A049C1">
        <w:rPr>
          <w:rStyle w:val="FootnoteReference"/>
          <w:sz w:val="16"/>
          <w:szCs w:val="16"/>
        </w:rPr>
        <w:footnoteRef/>
      </w:r>
      <w:r w:rsidRPr="00A049C1">
        <w:rPr>
          <w:sz w:val="16"/>
          <w:szCs w:val="16"/>
        </w:rPr>
        <w:t xml:space="preserve"> this is a current unique characteristic of the planning policy / land use classes order environment, whereby the primary shopping area is defined by its focus upon retail / shopping uses, but retail uses (Class E(a)) now</w:t>
      </w:r>
      <w:r>
        <w:t xml:space="preserve"> </w:t>
      </w:r>
      <w:proofErr w:type="gramStart"/>
      <w:r w:rsidRPr="00A049C1">
        <w:rPr>
          <w:sz w:val="16"/>
          <w:szCs w:val="16"/>
        </w:rPr>
        <w:t>fall</w:t>
      </w:r>
      <w:proofErr w:type="gramEnd"/>
      <w:r w:rsidRPr="00A049C1">
        <w:rPr>
          <w:sz w:val="16"/>
          <w:szCs w:val="16"/>
        </w:rPr>
        <w:t xml:space="preserve"> within a wider categor</w:t>
      </w:r>
      <w:r w:rsidR="00D03C3B" w:rsidRPr="00A049C1">
        <w:rPr>
          <w:sz w:val="16"/>
          <w:szCs w:val="16"/>
        </w:rPr>
        <w:t>y containing other main town centre uses (such as cafes, restaurants, office and certain leisure uses).</w:t>
      </w:r>
      <w:r w:rsidRPr="00A049C1">
        <w:rPr>
          <w:sz w:val="16"/>
          <w:szCs w:val="16"/>
        </w:rPr>
        <w:t xml:space="preserve"> </w:t>
      </w:r>
      <w:r w:rsidR="00D03C3B" w:rsidRPr="00A049C1">
        <w:rPr>
          <w:sz w:val="16"/>
          <w:szCs w:val="16"/>
        </w:rPr>
        <w:t xml:space="preserve"> Therefore, </w:t>
      </w:r>
    </w:p>
  </w:footnote>
  <w:footnote w:id="45">
    <w:p w14:paraId="3C71D969" w14:textId="6BAC752E" w:rsidR="00683B9A" w:rsidRPr="00A049C1" w:rsidRDefault="00683B9A">
      <w:pPr>
        <w:pStyle w:val="FootnoteText"/>
        <w:rPr>
          <w:sz w:val="16"/>
          <w:szCs w:val="16"/>
        </w:rPr>
      </w:pPr>
      <w:r w:rsidRPr="00A049C1">
        <w:rPr>
          <w:rStyle w:val="FootnoteReference"/>
          <w:sz w:val="16"/>
          <w:szCs w:val="16"/>
        </w:rPr>
        <w:footnoteRef/>
      </w:r>
      <w:r w:rsidRPr="00A049C1">
        <w:rPr>
          <w:sz w:val="16"/>
          <w:szCs w:val="16"/>
        </w:rPr>
        <w:t xml:space="preserve"> including </w:t>
      </w:r>
      <w:r w:rsidR="002F3A2E" w:rsidRPr="00A049C1">
        <w:rPr>
          <w:sz w:val="16"/>
          <w:szCs w:val="16"/>
        </w:rPr>
        <w:t>the impact on the overall character of the primary shopping area, and their ability to provide a positive contribution to the role and function of the town centre in question.</w:t>
      </w:r>
    </w:p>
  </w:footnote>
  <w:footnote w:id="46">
    <w:p w14:paraId="1AD6A8D7" w14:textId="5BF928BD" w:rsidR="002A74BC" w:rsidRDefault="002A74BC">
      <w:pPr>
        <w:pStyle w:val="FootnoteText"/>
      </w:pPr>
      <w:r w:rsidRPr="00A049C1">
        <w:rPr>
          <w:rStyle w:val="FootnoteReference"/>
          <w:sz w:val="16"/>
          <w:szCs w:val="16"/>
        </w:rPr>
        <w:footnoteRef/>
      </w:r>
      <w:r w:rsidRPr="00A049C1">
        <w:rPr>
          <w:sz w:val="16"/>
          <w:szCs w:val="16"/>
        </w:rPr>
        <w:t xml:space="preserve"> </w:t>
      </w:r>
      <w:proofErr w:type="gramStart"/>
      <w:r w:rsidRPr="00A049C1">
        <w:rPr>
          <w:sz w:val="16"/>
          <w:szCs w:val="16"/>
        </w:rPr>
        <w:t>i.e.</w:t>
      </w:r>
      <w:proofErr w:type="gramEnd"/>
      <w:r w:rsidRPr="00A049C1">
        <w:rPr>
          <w:sz w:val="16"/>
          <w:szCs w:val="16"/>
        </w:rPr>
        <w:t xml:space="preserve"> proposals within the main town centre boundaries, but outside of the defined primary shopping areas.</w:t>
      </w:r>
    </w:p>
  </w:footnote>
  <w:footnote w:id="47">
    <w:p w14:paraId="29B96FC7" w14:textId="728DB235" w:rsidR="00BC4925" w:rsidRPr="00DB5C29" w:rsidRDefault="00BC4925">
      <w:pPr>
        <w:pStyle w:val="FootnoteText"/>
        <w:rPr>
          <w:sz w:val="16"/>
          <w:szCs w:val="16"/>
        </w:rPr>
      </w:pPr>
      <w:r w:rsidRPr="00DB5C29">
        <w:rPr>
          <w:rStyle w:val="FootnoteReference"/>
          <w:sz w:val="16"/>
          <w:szCs w:val="16"/>
        </w:rPr>
        <w:footnoteRef/>
      </w:r>
      <w:r w:rsidRPr="00DB5C29">
        <w:rPr>
          <w:sz w:val="16"/>
          <w:szCs w:val="16"/>
        </w:rPr>
        <w:t xml:space="preserve"> this </w:t>
      </w:r>
      <w:r w:rsidR="006C04C8" w:rsidRPr="00DB5C29">
        <w:rPr>
          <w:sz w:val="16"/>
          <w:szCs w:val="16"/>
        </w:rPr>
        <w:t xml:space="preserve">scoping exercise </w:t>
      </w:r>
      <w:r w:rsidRPr="00DB5C29">
        <w:rPr>
          <w:sz w:val="16"/>
          <w:szCs w:val="16"/>
        </w:rPr>
        <w:t>should include</w:t>
      </w:r>
      <w:r w:rsidR="00FB6358" w:rsidRPr="00DB5C29">
        <w:rPr>
          <w:sz w:val="16"/>
          <w:szCs w:val="16"/>
        </w:rPr>
        <w:t xml:space="preserve">: </w:t>
      </w:r>
      <w:r w:rsidR="006C04C8" w:rsidRPr="00DB5C29">
        <w:rPr>
          <w:sz w:val="16"/>
          <w:szCs w:val="16"/>
        </w:rPr>
        <w:t xml:space="preserve">the defined ‘town centres’ </w:t>
      </w:r>
      <w:r w:rsidR="00FB6358" w:rsidRPr="00DB5C29">
        <w:rPr>
          <w:sz w:val="16"/>
          <w:szCs w:val="16"/>
        </w:rPr>
        <w:t>to</w:t>
      </w:r>
      <w:r w:rsidR="006C04C8" w:rsidRPr="00DB5C29">
        <w:rPr>
          <w:sz w:val="16"/>
          <w:szCs w:val="16"/>
        </w:rPr>
        <w:t xml:space="preserve"> be included in </w:t>
      </w:r>
      <w:r w:rsidR="00FB6358" w:rsidRPr="00DB5C29">
        <w:rPr>
          <w:sz w:val="16"/>
          <w:szCs w:val="16"/>
        </w:rPr>
        <w:t xml:space="preserve">the assessment of alternative sites and premises for the sequential test; the </w:t>
      </w:r>
      <w:r w:rsidR="00C82AC5" w:rsidRPr="00DB5C29">
        <w:rPr>
          <w:sz w:val="16"/>
          <w:szCs w:val="16"/>
        </w:rPr>
        <w:t xml:space="preserve">‘town centres’ to be included in the assessment of ‘impact’; </w:t>
      </w:r>
      <w:proofErr w:type="gramStart"/>
      <w:r w:rsidR="00C82AC5" w:rsidRPr="00DB5C29">
        <w:rPr>
          <w:sz w:val="16"/>
          <w:szCs w:val="16"/>
        </w:rPr>
        <w:t>plus</w:t>
      </w:r>
      <w:proofErr w:type="gramEnd"/>
      <w:r w:rsidR="00C82AC5" w:rsidRPr="00DB5C29">
        <w:rPr>
          <w:sz w:val="16"/>
          <w:szCs w:val="16"/>
        </w:rPr>
        <w:t xml:space="preserve"> the evidence base data to be adopted for the ‘impact’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D3DE" w14:textId="77777777" w:rsidR="004A2AC7" w:rsidRPr="000A784B" w:rsidRDefault="00142BF7" w:rsidP="00DD73E3">
    <w:pPr>
      <w:pBdr>
        <w:bottom w:val="single" w:sz="4" w:space="6" w:color="C8C9C4" w:themeColor="background2"/>
      </w:pBdr>
      <w:tabs>
        <w:tab w:val="right" w:pos="10206"/>
      </w:tabs>
      <w:rPr>
        <w:rFonts w:eastAsia="Century Gothic" w:cs="Times New Roman"/>
        <w:bCs/>
        <w:color w:val="253746"/>
        <w:sz w:val="16"/>
        <w:szCs w:val="16"/>
      </w:rPr>
    </w:pPr>
    <w:r w:rsidRPr="000A784B">
      <w:rPr>
        <w:sz w:val="16"/>
        <w:szCs w:val="16"/>
      </w:rPr>
      <w:t>Torbay Council</w:t>
    </w:r>
    <w:r w:rsidR="004A2AC7" w:rsidRPr="000A784B">
      <w:rPr>
        <w:rFonts w:eastAsia="Century Gothic" w:cs="Times New Roman"/>
        <w:bCs/>
        <w:color w:val="253746"/>
        <w:sz w:val="16"/>
        <w:szCs w:val="16"/>
      </w:rPr>
      <w:tab/>
    </w:r>
    <w:r w:rsidRPr="000A784B">
      <w:rPr>
        <w:sz w:val="16"/>
        <w:szCs w:val="16"/>
      </w:rPr>
      <w:t>Torbay Retail Study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936D" w14:textId="77777777" w:rsidR="003F7ED5" w:rsidRPr="003F7ED5" w:rsidRDefault="00142BF7" w:rsidP="003F7ED5">
    <w:pPr>
      <w:pBdr>
        <w:bottom w:val="single" w:sz="4" w:space="6" w:color="C8C9C4" w:themeColor="background2"/>
      </w:pBdr>
      <w:tabs>
        <w:tab w:val="right" w:pos="10206"/>
      </w:tabs>
      <w:rPr>
        <w:rFonts w:eastAsia="Century Gothic" w:cs="Times New Roman"/>
        <w:bCs/>
        <w:color w:val="253746"/>
        <w:sz w:val="16"/>
        <w:szCs w:val="16"/>
      </w:rPr>
    </w:pPr>
    <w:r>
      <w:t>Torbay Council</w:t>
    </w:r>
    <w:r w:rsidR="003F7ED5" w:rsidRPr="008A1505">
      <w:rPr>
        <w:rFonts w:eastAsia="Century Gothic" w:cs="Times New Roman"/>
        <w:bCs/>
        <w:color w:val="253746"/>
        <w:sz w:val="16"/>
        <w:szCs w:val="16"/>
      </w:rPr>
      <w:tab/>
    </w:r>
    <w:r>
      <w:t>Torbay Retail Study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6DA2" w14:textId="77777777" w:rsidR="004A2AC7" w:rsidRDefault="004A2A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E4F8" w14:textId="77777777" w:rsidR="004A2AC7" w:rsidRPr="00616AD9" w:rsidRDefault="004A2AC7" w:rsidP="00616A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8C3A" w14:textId="77777777" w:rsidR="002E72B0" w:rsidRPr="002E72B0" w:rsidRDefault="002E72B0" w:rsidP="002E72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F28E" w14:textId="77777777" w:rsidR="004A2AC7" w:rsidRDefault="004A2A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984E" w14:textId="77777777" w:rsidR="004C405F" w:rsidRDefault="004C40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CF30" w14:textId="77777777" w:rsidR="004A2AC7" w:rsidRPr="002E72B0" w:rsidRDefault="004A2AC7" w:rsidP="002E7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F1D"/>
    <w:multiLevelType w:val="multilevel"/>
    <w:tmpl w:val="4FEC68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 w15:restartNumberingAfterBreak="0">
    <w:nsid w:val="0BBC6DF4"/>
    <w:multiLevelType w:val="hybridMultilevel"/>
    <w:tmpl w:val="EDD0098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114818EB"/>
    <w:multiLevelType w:val="multilevel"/>
    <w:tmpl w:val="DCC4DCCA"/>
    <w:lvl w:ilvl="0">
      <w:start w:val="1"/>
      <w:numFmt w:val="bullet"/>
      <w:lvlRestart w:val="0"/>
      <w:pStyle w:val="ListBullet"/>
      <w:lvlText w:val="–"/>
      <w:lvlJc w:val="left"/>
      <w:pPr>
        <w:tabs>
          <w:tab w:val="num" w:pos="720"/>
        </w:tabs>
        <w:ind w:left="1077" w:hanging="357"/>
      </w:pPr>
      <w:rPr>
        <w:rFonts w:ascii="Arial" w:hAnsi="Arial" w:hint="default"/>
        <w:color w:val="auto"/>
      </w:rPr>
    </w:lvl>
    <w:lvl w:ilvl="1">
      <w:start w:val="1"/>
      <w:numFmt w:val="bullet"/>
      <w:lvlText w:val=""/>
      <w:lvlJc w:val="left"/>
      <w:pPr>
        <w:tabs>
          <w:tab w:val="num" w:pos="1077"/>
        </w:tabs>
        <w:ind w:left="1440" w:hanging="363"/>
      </w:pPr>
      <w:rPr>
        <w:rFonts w:ascii="Symbol" w:hAnsi="Symbol" w:hint="default"/>
        <w:color w:val="auto"/>
      </w:rPr>
    </w:lvl>
    <w:lvl w:ilvl="2">
      <w:start w:val="1"/>
      <w:numFmt w:val="bullet"/>
      <w:lvlText w:val=""/>
      <w:lvlJc w:val="left"/>
      <w:pPr>
        <w:tabs>
          <w:tab w:val="num" w:pos="1797"/>
        </w:tabs>
        <w:ind w:left="1797" w:hanging="357"/>
      </w:pPr>
      <w:rPr>
        <w:rFonts w:ascii="Wingdings 2" w:hAnsi="Wingdings 2" w:hint="default"/>
        <w:color w:val="auto"/>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19F04088"/>
    <w:multiLevelType w:val="multilevel"/>
    <w:tmpl w:val="63868DF2"/>
    <w:styleLink w:val="ListHeading"/>
    <w:lvl w:ilvl="0">
      <w:start w:val="1"/>
      <w:numFmt w:val="decimal"/>
      <w:lvlText w:val="%1."/>
      <w:lvlJc w:val="left"/>
      <w:pPr>
        <w:tabs>
          <w:tab w:val="num" w:pos="397"/>
        </w:tabs>
        <w:ind w:left="720" w:hanging="720"/>
      </w:pPr>
      <w:rPr>
        <w:rFonts w:hint="default"/>
      </w:rPr>
    </w:lvl>
    <w:lvl w:ilvl="1">
      <w:start w:val="1"/>
      <w:numFmt w:val="decimal"/>
      <w:lvlText w:val="%1.%2"/>
      <w:lvlJc w:val="left"/>
      <w:pPr>
        <w:tabs>
          <w:tab w:val="num" w:pos="397"/>
        </w:tabs>
        <w:ind w:left="737" w:hanging="737"/>
      </w:pPr>
      <w:rPr>
        <w:rFonts w:hint="default"/>
      </w:rPr>
    </w:lvl>
    <w:lvl w:ilvl="2">
      <w:start w:val="1"/>
      <w:numFmt w:val="decimal"/>
      <w:lvlText w:val="%1.%2.%3."/>
      <w:lvlJc w:val="left"/>
      <w:pPr>
        <w:tabs>
          <w:tab w:val="num" w:pos="397"/>
        </w:tabs>
        <w:ind w:left="1077" w:hanging="1077"/>
      </w:pPr>
      <w:rPr>
        <w:rFonts w:hint="default"/>
      </w:rPr>
    </w:lvl>
    <w:lvl w:ilvl="3">
      <w:start w:val="1"/>
      <w:numFmt w:val="decimal"/>
      <w:lvlText w:val="%1.%2.%3.%4."/>
      <w:lvlJc w:val="left"/>
      <w:pPr>
        <w:ind w:left="794" w:firstLine="286"/>
      </w:pPr>
      <w:rPr>
        <w:rFonts w:hint="default"/>
      </w:rPr>
    </w:lvl>
    <w:lvl w:ilvl="4">
      <w:start w:val="1"/>
      <w:numFmt w:val="none"/>
      <w:lvlText w:val=""/>
      <w:lvlJc w:val="left"/>
      <w:pPr>
        <w:ind w:left="907" w:firstLine="533"/>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F5A6632"/>
    <w:multiLevelType w:val="multilevel"/>
    <w:tmpl w:val="A5262018"/>
    <w:lvl w:ilvl="0">
      <w:start w:val="1"/>
      <w:numFmt w:val="decimal"/>
      <w:pStyle w:val="ListHeading1"/>
      <w:lvlText w:val="%1."/>
      <w:lvlJc w:val="left"/>
      <w:pPr>
        <w:tabs>
          <w:tab w:val="num" w:pos="720"/>
        </w:tabs>
        <w:ind w:left="720" w:hanging="720"/>
      </w:pPr>
      <w:rPr>
        <w:rFonts w:hint="default"/>
      </w:rPr>
    </w:lvl>
    <w:lvl w:ilvl="1">
      <w:start w:val="1"/>
      <w:numFmt w:val="decimal"/>
      <w:pStyle w:val="Level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720"/>
        </w:tabs>
        <w:ind w:left="720" w:hanging="720"/>
      </w:pPr>
      <w:rPr>
        <w:rFonts w:hint="default"/>
      </w:rPr>
    </w:lvl>
    <w:lvl w:ilvl="6">
      <w:start w:val="1"/>
      <w:numFmt w:val="none"/>
      <w:lvlText w:val="%7"/>
      <w:lvlJc w:val="left"/>
      <w:pPr>
        <w:tabs>
          <w:tab w:val="num" w:pos="720"/>
        </w:tabs>
        <w:ind w:left="720" w:hanging="720"/>
      </w:pPr>
      <w:rPr>
        <w:rFonts w:hint="default"/>
      </w:rPr>
    </w:lvl>
    <w:lvl w:ilvl="7">
      <w:start w:val="1"/>
      <w:numFmt w:val="none"/>
      <w:lvlText w:val="%8"/>
      <w:lvlJc w:val="left"/>
      <w:pPr>
        <w:tabs>
          <w:tab w:val="num" w:pos="720"/>
        </w:tabs>
        <w:ind w:left="720" w:hanging="720"/>
      </w:pPr>
      <w:rPr>
        <w:rFonts w:hint="default"/>
      </w:rPr>
    </w:lvl>
    <w:lvl w:ilvl="8">
      <w:start w:val="1"/>
      <w:numFmt w:val="none"/>
      <w:lvlText w:val=""/>
      <w:lvlJc w:val="left"/>
      <w:pPr>
        <w:tabs>
          <w:tab w:val="num" w:pos="720"/>
        </w:tabs>
        <w:ind w:left="720" w:hanging="720"/>
      </w:pPr>
      <w:rPr>
        <w:rFonts w:hint="default"/>
      </w:rPr>
    </w:lvl>
  </w:abstractNum>
  <w:abstractNum w:abstractNumId="5" w15:restartNumberingAfterBreak="0">
    <w:nsid w:val="20C25CB1"/>
    <w:multiLevelType w:val="hybridMultilevel"/>
    <w:tmpl w:val="7534A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303632"/>
    <w:multiLevelType w:val="multilevel"/>
    <w:tmpl w:val="BBBA3DC6"/>
    <w:lvl w:ilvl="0">
      <w:start w:val="1"/>
      <w:numFmt w:val="decimal"/>
      <w:lvlText w:val="%1."/>
      <w:lvlJc w:val="left"/>
      <w:pPr>
        <w:tabs>
          <w:tab w:val="num" w:pos="720"/>
        </w:tabs>
        <w:ind w:left="720" w:hanging="720"/>
      </w:pPr>
      <w:rPr>
        <w:rFonts w:hint="default"/>
      </w:rPr>
    </w:lvl>
    <w:lvl w:ilvl="1">
      <w:start w:val="1"/>
      <w:numFmt w:val="decimal"/>
      <w:pStyle w:val="ListHeading2"/>
      <w:lvlText w:val="%1.%2"/>
      <w:lvlJc w:val="left"/>
      <w:pPr>
        <w:tabs>
          <w:tab w:val="num" w:pos="720"/>
        </w:tabs>
        <w:ind w:left="720" w:hanging="720"/>
      </w:pPr>
      <w:rPr>
        <w:rFonts w:hint="default"/>
      </w:rPr>
    </w:lvl>
    <w:lvl w:ilvl="2">
      <w:start w:val="1"/>
      <w:numFmt w:val="decimal"/>
      <w:pStyle w:val="ListHeading3"/>
      <w:lvlText w:val="%1.%2.%3."/>
      <w:lvlJc w:val="left"/>
      <w:pPr>
        <w:tabs>
          <w:tab w:val="num" w:pos="720"/>
        </w:tabs>
        <w:ind w:left="720" w:hanging="720"/>
      </w:pPr>
      <w:rPr>
        <w:rFonts w:hint="default"/>
      </w:rPr>
    </w:lvl>
    <w:lvl w:ilvl="3">
      <w:start w:val="1"/>
      <w:numFmt w:val="decimal"/>
      <w:lvlText w:val="%1.%2.%3.%4."/>
      <w:lvlJc w:val="left"/>
      <w:pPr>
        <w:ind w:left="794" w:firstLine="286"/>
      </w:pPr>
      <w:rPr>
        <w:rFonts w:hint="default"/>
      </w:rPr>
    </w:lvl>
    <w:lvl w:ilvl="4">
      <w:start w:val="1"/>
      <w:numFmt w:val="none"/>
      <w:lvlText w:val=""/>
      <w:lvlJc w:val="left"/>
      <w:pPr>
        <w:ind w:left="907" w:firstLine="533"/>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E441415"/>
    <w:multiLevelType w:val="hybridMultilevel"/>
    <w:tmpl w:val="1F161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F2C414B"/>
    <w:multiLevelType w:val="multilevel"/>
    <w:tmpl w:val="EC60D2C6"/>
    <w:styleLink w:val="AppendixList"/>
    <w:lvl w:ilvl="0">
      <w:start w:val="1"/>
      <w:numFmt w:val="upperRoman"/>
      <w:lvlText w:val="Appendix %1"/>
      <w:lvlJc w:val="left"/>
      <w:pPr>
        <w:tabs>
          <w:tab w:val="num" w:pos="5670"/>
        </w:tabs>
        <w:ind w:left="0" w:firstLine="0"/>
      </w:pPr>
      <w:rPr>
        <w:rFonts w:ascii="Open Sans SemiBold" w:hAnsi="Open Sans SemiBold" w:hint="default"/>
        <w:b w:val="0"/>
        <w:i w:val="0"/>
        <w:iCs w:val="0"/>
        <w:caps w:val="0"/>
        <w:smallCaps w:val="0"/>
        <w:strike w:val="0"/>
        <w:dstrike w:val="0"/>
        <w:noProof w:val="0"/>
        <w:vanish w:val="0"/>
        <w:color w:val="000000"/>
        <w:spacing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DF57664"/>
    <w:multiLevelType w:val="multilevel"/>
    <w:tmpl w:val="EAC06E54"/>
    <w:styleLink w:val="ListBullets"/>
    <w:lvl w:ilvl="0">
      <w:start w:val="1"/>
      <w:numFmt w:val="bullet"/>
      <w:lvlRestart w:val="0"/>
      <w:lvlText w:val="–"/>
      <w:lvlJc w:val="left"/>
      <w:pPr>
        <w:ind w:left="357" w:hanging="357"/>
      </w:pPr>
      <w:rPr>
        <w:rFonts w:ascii="Arial" w:hAnsi="Aria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2" w:hAnsi="Wingdings 2" w:hint="default"/>
        <w:color w:val="auto"/>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524609B9"/>
    <w:multiLevelType w:val="multilevel"/>
    <w:tmpl w:val="A6E06E12"/>
    <w:styleLink w:val="Style2"/>
    <w:lvl w:ilvl="0">
      <w:start w:val="1"/>
      <w:numFmt w:val="upperRoman"/>
      <w:lvlText w:val="Appendix %1"/>
      <w:lvlJc w:val="left"/>
      <w:pPr>
        <w:tabs>
          <w:tab w:val="num" w:pos="5670"/>
        </w:tabs>
        <w:ind w:left="0" w:firstLine="0"/>
      </w:pPr>
      <w:rPr>
        <w:rFonts w:ascii="GeoSlab703 Md BT" w:hAnsi="GeoSlab703 Md BT" w:hint="default"/>
        <w:b w:val="0"/>
        <w:i w:val="0"/>
        <w:iCs w:val="0"/>
        <w:caps w:val="0"/>
        <w:smallCaps w:val="0"/>
        <w:strike w:val="0"/>
        <w:dstrike w:val="0"/>
        <w:noProof w:val="0"/>
        <w:vanish w:val="0"/>
        <w:color w:val="000000"/>
        <w:spacing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A0242BD"/>
    <w:multiLevelType w:val="multilevel"/>
    <w:tmpl w:val="A6E06E12"/>
    <w:lvl w:ilvl="0">
      <w:start w:val="1"/>
      <w:numFmt w:val="upperRoman"/>
      <w:pStyle w:val="Appendix"/>
      <w:lvlText w:val="Appendix %1"/>
      <w:lvlJc w:val="left"/>
      <w:pPr>
        <w:tabs>
          <w:tab w:val="num" w:pos="5670"/>
        </w:tabs>
        <w:ind w:left="0" w:firstLine="0"/>
      </w:pPr>
      <w:rPr>
        <w:rFonts w:ascii="Open Sans SemiBold" w:hAnsi="Open Sans SemiBold" w:hint="default"/>
        <w:b w:val="0"/>
        <w:i w:val="0"/>
        <w:iCs w:val="0"/>
        <w:caps w:val="0"/>
        <w:smallCaps w:val="0"/>
        <w:strike w:val="0"/>
        <w:dstrike w:val="0"/>
        <w:noProof w:val="0"/>
        <w:vanish w:val="0"/>
        <w:color w:val="000000"/>
        <w:spacing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64EF601B"/>
    <w:multiLevelType w:val="multilevel"/>
    <w:tmpl w:val="5CCC5748"/>
    <w:styleLink w:val="ListNumbers"/>
    <w:lvl w:ilvl="0">
      <w:start w:val="1"/>
      <w:numFmt w:val="decimal"/>
      <w:lvlRestart w:val="0"/>
      <w:suff w:val="space"/>
      <w:lvlText w:val="%1."/>
      <w:lvlJc w:val="left"/>
      <w:pPr>
        <w:ind w:left="357" w:hanging="357"/>
      </w:pPr>
      <w:rPr>
        <w:rFonts w:hint="default"/>
      </w:rPr>
    </w:lvl>
    <w:lvl w:ilvl="1">
      <w:start w:val="1"/>
      <w:numFmt w:val="decimal"/>
      <w:suff w:val="space"/>
      <w:lvlText w:val="%1.%2"/>
      <w:lvlJc w:val="left"/>
      <w:pPr>
        <w:ind w:left="714" w:hanging="357"/>
      </w:pPr>
      <w:rPr>
        <w:rFonts w:hint="default"/>
      </w:rPr>
    </w:lvl>
    <w:lvl w:ilvl="2">
      <w:start w:val="1"/>
      <w:numFmt w:val="decimal"/>
      <w:suff w:val="space"/>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3" w15:restartNumberingAfterBreak="0">
    <w:nsid w:val="64FA0594"/>
    <w:multiLevelType w:val="multilevel"/>
    <w:tmpl w:val="825C742E"/>
    <w:lvl w:ilvl="0">
      <w:start w:val="1"/>
      <w:numFmt w:val="bullet"/>
      <w:pStyle w:val="Bullet1"/>
      <w:lvlText w:val=""/>
      <w:lvlJc w:val="left"/>
      <w:pPr>
        <w:ind w:left="1077" w:hanging="357"/>
      </w:pPr>
      <w:rPr>
        <w:rFonts w:ascii="Symbol" w:hAnsi="Symbol" w:hint="default"/>
        <w:color w:val="auto"/>
      </w:rPr>
    </w:lvl>
    <w:lvl w:ilvl="1">
      <w:start w:val="1"/>
      <w:numFmt w:val="bullet"/>
      <w:pStyle w:val="Bullet2"/>
      <w:lvlText w:val="o"/>
      <w:lvlJc w:val="left"/>
      <w:pPr>
        <w:ind w:left="1440" w:hanging="360"/>
      </w:pPr>
      <w:rPr>
        <w:rFonts w:ascii="Courier New" w:hAnsi="Courier New" w:hint="default"/>
        <w:color w:val="auto"/>
      </w:rPr>
    </w:lvl>
    <w:lvl w:ilvl="2">
      <w:start w:val="1"/>
      <w:numFmt w:val="bullet"/>
      <w:pStyle w:val="Bullet3"/>
      <w:lvlText w:val="―"/>
      <w:lvlJc w:val="left"/>
      <w:pPr>
        <w:ind w:left="1797" w:hanging="357"/>
      </w:pPr>
      <w:rPr>
        <w:rFonts w:ascii="Century Gothic" w:hAnsi="Century Gothic" w:hint="default"/>
        <w:color w:val="auto"/>
      </w:rPr>
    </w:lvl>
    <w:lvl w:ilvl="3">
      <w:start w:val="1"/>
      <w:numFmt w:val="bullet"/>
      <w:pStyle w:val="Bullet4"/>
      <w:lvlText w:val=""/>
      <w:lvlJc w:val="left"/>
      <w:pPr>
        <w:ind w:left="2155" w:hanging="358"/>
      </w:pPr>
      <w:rPr>
        <w:rFonts w:ascii="Wingdings" w:hAnsi="Wingdings"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E50DE0"/>
    <w:multiLevelType w:val="multilevel"/>
    <w:tmpl w:val="FE50F992"/>
    <w:lvl w:ilvl="0">
      <w:start w:val="1"/>
      <w:numFmt w:val="decimal"/>
      <w:lvlRestart w:val="0"/>
      <w:pStyle w:val="ListNumber"/>
      <w:lvlText w:val="%1."/>
      <w:lvlJc w:val="left"/>
      <w:pPr>
        <w:tabs>
          <w:tab w:val="num" w:pos="1077"/>
        </w:tabs>
        <w:ind w:left="1077" w:hanging="357"/>
      </w:pPr>
      <w:rPr>
        <w:rFonts w:hint="default"/>
      </w:rPr>
    </w:lvl>
    <w:lvl w:ilvl="1">
      <w:start w:val="1"/>
      <w:numFmt w:val="decimal"/>
      <w:lvlText w:val="%1.%2"/>
      <w:lvlJc w:val="left"/>
      <w:pPr>
        <w:tabs>
          <w:tab w:val="num" w:pos="1440"/>
        </w:tabs>
        <w:ind w:left="1440" w:hanging="363"/>
      </w:pPr>
      <w:rPr>
        <w:rFonts w:hint="default"/>
      </w:rPr>
    </w:lvl>
    <w:lvl w:ilvl="2">
      <w:start w:val="1"/>
      <w:numFmt w:val="decimal"/>
      <w:lvlText w:val="%1.%2.%3"/>
      <w:lvlJc w:val="left"/>
      <w:pPr>
        <w:tabs>
          <w:tab w:val="num" w:pos="1797"/>
        </w:tabs>
        <w:ind w:left="1797"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1263805360">
    <w:abstractNumId w:val="9"/>
  </w:num>
  <w:num w:numId="2" w16cid:durableId="38625326">
    <w:abstractNumId w:val="12"/>
  </w:num>
  <w:num w:numId="3" w16cid:durableId="48042286">
    <w:abstractNumId w:val="3"/>
  </w:num>
  <w:num w:numId="4" w16cid:durableId="99879184">
    <w:abstractNumId w:val="8"/>
  </w:num>
  <w:num w:numId="5" w16cid:durableId="1045789515">
    <w:abstractNumId w:val="2"/>
  </w:num>
  <w:num w:numId="6" w16cid:durableId="717896635">
    <w:abstractNumId w:val="14"/>
  </w:num>
  <w:num w:numId="7" w16cid:durableId="1368529290">
    <w:abstractNumId w:val="6"/>
  </w:num>
  <w:num w:numId="8" w16cid:durableId="716584344">
    <w:abstractNumId w:val="4"/>
  </w:num>
  <w:num w:numId="9" w16cid:durableId="762461489">
    <w:abstractNumId w:val="11"/>
  </w:num>
  <w:num w:numId="10" w16cid:durableId="507913007">
    <w:abstractNumId w:val="11"/>
  </w:num>
  <w:num w:numId="11" w16cid:durableId="1288851875">
    <w:abstractNumId w:val="11"/>
  </w:num>
  <w:num w:numId="12" w16cid:durableId="350105567">
    <w:abstractNumId w:val="10"/>
  </w:num>
  <w:num w:numId="13" w16cid:durableId="1584534962">
    <w:abstractNumId w:val="13"/>
  </w:num>
  <w:num w:numId="14" w16cid:durableId="1867792090">
    <w:abstractNumId w:val="0"/>
  </w:num>
  <w:num w:numId="15" w16cid:durableId="1772050443">
    <w:abstractNumId w:val="1"/>
  </w:num>
  <w:num w:numId="16" w16cid:durableId="14949086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958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7028087">
    <w:abstractNumId w:val="5"/>
  </w:num>
  <w:num w:numId="19" w16cid:durableId="56283113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defaultTableStyle w:val="CustomTable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04"/>
    <w:rsid w:val="000000A8"/>
    <w:rsid w:val="0000245B"/>
    <w:rsid w:val="000037DF"/>
    <w:rsid w:val="000038D6"/>
    <w:rsid w:val="000038FE"/>
    <w:rsid w:val="00005936"/>
    <w:rsid w:val="00006357"/>
    <w:rsid w:val="00006861"/>
    <w:rsid w:val="00007AA4"/>
    <w:rsid w:val="0001258D"/>
    <w:rsid w:val="00014317"/>
    <w:rsid w:val="000206D5"/>
    <w:rsid w:val="00020C5A"/>
    <w:rsid w:val="000224FB"/>
    <w:rsid w:val="00022841"/>
    <w:rsid w:val="00023627"/>
    <w:rsid w:val="00027A9A"/>
    <w:rsid w:val="00027AE6"/>
    <w:rsid w:val="00033FA9"/>
    <w:rsid w:val="00034335"/>
    <w:rsid w:val="00034F6D"/>
    <w:rsid w:val="000363D5"/>
    <w:rsid w:val="00036818"/>
    <w:rsid w:val="000401B1"/>
    <w:rsid w:val="00040CAB"/>
    <w:rsid w:val="00041606"/>
    <w:rsid w:val="0004365C"/>
    <w:rsid w:val="00044536"/>
    <w:rsid w:val="00050319"/>
    <w:rsid w:val="00051B43"/>
    <w:rsid w:val="00052068"/>
    <w:rsid w:val="00054A2D"/>
    <w:rsid w:val="00061C01"/>
    <w:rsid w:val="000620D6"/>
    <w:rsid w:val="00063864"/>
    <w:rsid w:val="000640AC"/>
    <w:rsid w:val="000658AA"/>
    <w:rsid w:val="00071EFF"/>
    <w:rsid w:val="000768F2"/>
    <w:rsid w:val="000829D7"/>
    <w:rsid w:val="0008448B"/>
    <w:rsid w:val="0008769D"/>
    <w:rsid w:val="00087EF1"/>
    <w:rsid w:val="00091D25"/>
    <w:rsid w:val="0009283E"/>
    <w:rsid w:val="0009414C"/>
    <w:rsid w:val="000968B5"/>
    <w:rsid w:val="000A34F1"/>
    <w:rsid w:val="000A4552"/>
    <w:rsid w:val="000A4653"/>
    <w:rsid w:val="000A6536"/>
    <w:rsid w:val="000A784B"/>
    <w:rsid w:val="000B0B52"/>
    <w:rsid w:val="000B37D0"/>
    <w:rsid w:val="000B4C31"/>
    <w:rsid w:val="000B57A4"/>
    <w:rsid w:val="000C01EC"/>
    <w:rsid w:val="000C1251"/>
    <w:rsid w:val="000C1CEE"/>
    <w:rsid w:val="000C2F4B"/>
    <w:rsid w:val="000C3D96"/>
    <w:rsid w:val="000C4CFF"/>
    <w:rsid w:val="000D0230"/>
    <w:rsid w:val="000D0E90"/>
    <w:rsid w:val="000D1D4F"/>
    <w:rsid w:val="000D2370"/>
    <w:rsid w:val="000D401C"/>
    <w:rsid w:val="000D4686"/>
    <w:rsid w:val="000D677A"/>
    <w:rsid w:val="000D6EED"/>
    <w:rsid w:val="000E06CC"/>
    <w:rsid w:val="000E4786"/>
    <w:rsid w:val="000E5173"/>
    <w:rsid w:val="000E541B"/>
    <w:rsid w:val="000E6198"/>
    <w:rsid w:val="000E7C67"/>
    <w:rsid w:val="000F1ABD"/>
    <w:rsid w:val="000F2883"/>
    <w:rsid w:val="000F4362"/>
    <w:rsid w:val="000F46E0"/>
    <w:rsid w:val="000F54EF"/>
    <w:rsid w:val="000F6300"/>
    <w:rsid w:val="000F63D5"/>
    <w:rsid w:val="0010014C"/>
    <w:rsid w:val="001004B5"/>
    <w:rsid w:val="0010206C"/>
    <w:rsid w:val="00104CE5"/>
    <w:rsid w:val="001066B3"/>
    <w:rsid w:val="00106E18"/>
    <w:rsid w:val="00107030"/>
    <w:rsid w:val="001070D9"/>
    <w:rsid w:val="001126AE"/>
    <w:rsid w:val="001129F2"/>
    <w:rsid w:val="0011337B"/>
    <w:rsid w:val="0011377D"/>
    <w:rsid w:val="00121EAE"/>
    <w:rsid w:val="0012207D"/>
    <w:rsid w:val="001241F3"/>
    <w:rsid w:val="0012445D"/>
    <w:rsid w:val="00124710"/>
    <w:rsid w:val="0012516B"/>
    <w:rsid w:val="00125351"/>
    <w:rsid w:val="001253AF"/>
    <w:rsid w:val="001254DB"/>
    <w:rsid w:val="001262F9"/>
    <w:rsid w:val="001304E4"/>
    <w:rsid w:val="00130CBF"/>
    <w:rsid w:val="00131636"/>
    <w:rsid w:val="001323B4"/>
    <w:rsid w:val="00134219"/>
    <w:rsid w:val="00134A4D"/>
    <w:rsid w:val="001358F3"/>
    <w:rsid w:val="00140A10"/>
    <w:rsid w:val="00140D4A"/>
    <w:rsid w:val="00142BF7"/>
    <w:rsid w:val="00143C7D"/>
    <w:rsid w:val="00144159"/>
    <w:rsid w:val="00144F7F"/>
    <w:rsid w:val="00150ED6"/>
    <w:rsid w:val="0015147C"/>
    <w:rsid w:val="00151B22"/>
    <w:rsid w:val="00154BF7"/>
    <w:rsid w:val="00155F90"/>
    <w:rsid w:val="00156F4F"/>
    <w:rsid w:val="00157AE0"/>
    <w:rsid w:val="00160602"/>
    <w:rsid w:val="00161430"/>
    <w:rsid w:val="0016190B"/>
    <w:rsid w:val="00163707"/>
    <w:rsid w:val="001652E9"/>
    <w:rsid w:val="00165382"/>
    <w:rsid w:val="00165F59"/>
    <w:rsid w:val="00167D3C"/>
    <w:rsid w:val="001707DF"/>
    <w:rsid w:val="00181090"/>
    <w:rsid w:val="00181FCB"/>
    <w:rsid w:val="0018308A"/>
    <w:rsid w:val="0018337F"/>
    <w:rsid w:val="0018497A"/>
    <w:rsid w:val="00190132"/>
    <w:rsid w:val="00190F62"/>
    <w:rsid w:val="00191405"/>
    <w:rsid w:val="00191652"/>
    <w:rsid w:val="001927AF"/>
    <w:rsid w:val="00192CD5"/>
    <w:rsid w:val="00192E5A"/>
    <w:rsid w:val="001936A5"/>
    <w:rsid w:val="00193A5C"/>
    <w:rsid w:val="0019524F"/>
    <w:rsid w:val="00195397"/>
    <w:rsid w:val="001953A2"/>
    <w:rsid w:val="0019567E"/>
    <w:rsid w:val="00196590"/>
    <w:rsid w:val="001966F4"/>
    <w:rsid w:val="001A031A"/>
    <w:rsid w:val="001A051D"/>
    <w:rsid w:val="001A0D82"/>
    <w:rsid w:val="001A1591"/>
    <w:rsid w:val="001A2D88"/>
    <w:rsid w:val="001A31A0"/>
    <w:rsid w:val="001A3485"/>
    <w:rsid w:val="001A4443"/>
    <w:rsid w:val="001A784C"/>
    <w:rsid w:val="001B0B66"/>
    <w:rsid w:val="001B26A3"/>
    <w:rsid w:val="001B3481"/>
    <w:rsid w:val="001B5252"/>
    <w:rsid w:val="001B5529"/>
    <w:rsid w:val="001C0937"/>
    <w:rsid w:val="001C249F"/>
    <w:rsid w:val="001C36F6"/>
    <w:rsid w:val="001C67D5"/>
    <w:rsid w:val="001C6E5E"/>
    <w:rsid w:val="001D1948"/>
    <w:rsid w:val="001D296A"/>
    <w:rsid w:val="001D5632"/>
    <w:rsid w:val="001D6813"/>
    <w:rsid w:val="001D75F3"/>
    <w:rsid w:val="001E0632"/>
    <w:rsid w:val="001E14DF"/>
    <w:rsid w:val="001E50AF"/>
    <w:rsid w:val="001E52E4"/>
    <w:rsid w:val="001E7952"/>
    <w:rsid w:val="001E7BBC"/>
    <w:rsid w:val="001F212B"/>
    <w:rsid w:val="001F422E"/>
    <w:rsid w:val="001F4408"/>
    <w:rsid w:val="001F68F5"/>
    <w:rsid w:val="001F68FE"/>
    <w:rsid w:val="001F6A40"/>
    <w:rsid w:val="001F6B72"/>
    <w:rsid w:val="001F71D5"/>
    <w:rsid w:val="001F78D5"/>
    <w:rsid w:val="002001F7"/>
    <w:rsid w:val="002010E6"/>
    <w:rsid w:val="00203061"/>
    <w:rsid w:val="00203E7A"/>
    <w:rsid w:val="00204128"/>
    <w:rsid w:val="0020666F"/>
    <w:rsid w:val="002121EF"/>
    <w:rsid w:val="002145EA"/>
    <w:rsid w:val="002146B9"/>
    <w:rsid w:val="002149F6"/>
    <w:rsid w:val="00215419"/>
    <w:rsid w:val="00216C5A"/>
    <w:rsid w:val="002170EA"/>
    <w:rsid w:val="002200A1"/>
    <w:rsid w:val="00220ADC"/>
    <w:rsid w:val="00221572"/>
    <w:rsid w:val="00221C9F"/>
    <w:rsid w:val="0022319A"/>
    <w:rsid w:val="00223443"/>
    <w:rsid w:val="00223F73"/>
    <w:rsid w:val="002241D5"/>
    <w:rsid w:val="0022629D"/>
    <w:rsid w:val="0022797C"/>
    <w:rsid w:val="00230402"/>
    <w:rsid w:val="002309AC"/>
    <w:rsid w:val="002328CC"/>
    <w:rsid w:val="00233AB5"/>
    <w:rsid w:val="00234A43"/>
    <w:rsid w:val="002364FB"/>
    <w:rsid w:val="00237002"/>
    <w:rsid w:val="002402E3"/>
    <w:rsid w:val="00241942"/>
    <w:rsid w:val="002425A4"/>
    <w:rsid w:val="00243C68"/>
    <w:rsid w:val="002444A1"/>
    <w:rsid w:val="0024494D"/>
    <w:rsid w:val="00244D26"/>
    <w:rsid w:val="00246A3A"/>
    <w:rsid w:val="00251005"/>
    <w:rsid w:val="002537ED"/>
    <w:rsid w:val="00255C14"/>
    <w:rsid w:val="00257170"/>
    <w:rsid w:val="00260773"/>
    <w:rsid w:val="002613B5"/>
    <w:rsid w:val="00263A8E"/>
    <w:rsid w:val="00265C2F"/>
    <w:rsid w:val="0026757C"/>
    <w:rsid w:val="00267FCA"/>
    <w:rsid w:val="00270CB6"/>
    <w:rsid w:val="00270F0D"/>
    <w:rsid w:val="00271A4B"/>
    <w:rsid w:val="00271C02"/>
    <w:rsid w:val="00271C7E"/>
    <w:rsid w:val="00271CB0"/>
    <w:rsid w:val="00272B61"/>
    <w:rsid w:val="00276C81"/>
    <w:rsid w:val="00276E84"/>
    <w:rsid w:val="00276F5D"/>
    <w:rsid w:val="00277236"/>
    <w:rsid w:val="002777FB"/>
    <w:rsid w:val="00277C65"/>
    <w:rsid w:val="0028084E"/>
    <w:rsid w:val="00283DA7"/>
    <w:rsid w:val="002847AB"/>
    <w:rsid w:val="00285131"/>
    <w:rsid w:val="00286724"/>
    <w:rsid w:val="00286AA8"/>
    <w:rsid w:val="002918E2"/>
    <w:rsid w:val="002926F1"/>
    <w:rsid w:val="0029391E"/>
    <w:rsid w:val="00293BD4"/>
    <w:rsid w:val="002A2380"/>
    <w:rsid w:val="002A2DFE"/>
    <w:rsid w:val="002A3643"/>
    <w:rsid w:val="002A5487"/>
    <w:rsid w:val="002A5C50"/>
    <w:rsid w:val="002A6A14"/>
    <w:rsid w:val="002A74BC"/>
    <w:rsid w:val="002A7F27"/>
    <w:rsid w:val="002B1170"/>
    <w:rsid w:val="002B486F"/>
    <w:rsid w:val="002B4A12"/>
    <w:rsid w:val="002B5BA6"/>
    <w:rsid w:val="002B5D25"/>
    <w:rsid w:val="002B7CBC"/>
    <w:rsid w:val="002B7CE2"/>
    <w:rsid w:val="002C1F44"/>
    <w:rsid w:val="002C2870"/>
    <w:rsid w:val="002C3AF8"/>
    <w:rsid w:val="002C4847"/>
    <w:rsid w:val="002C67E2"/>
    <w:rsid w:val="002D0B1A"/>
    <w:rsid w:val="002D3297"/>
    <w:rsid w:val="002D40C5"/>
    <w:rsid w:val="002D524A"/>
    <w:rsid w:val="002D5932"/>
    <w:rsid w:val="002D7096"/>
    <w:rsid w:val="002E0926"/>
    <w:rsid w:val="002E4B60"/>
    <w:rsid w:val="002E67B5"/>
    <w:rsid w:val="002E72B0"/>
    <w:rsid w:val="002F1CAE"/>
    <w:rsid w:val="002F2236"/>
    <w:rsid w:val="002F3A2E"/>
    <w:rsid w:val="002F3EE6"/>
    <w:rsid w:val="002F47DA"/>
    <w:rsid w:val="003013FE"/>
    <w:rsid w:val="003022FA"/>
    <w:rsid w:val="00302D09"/>
    <w:rsid w:val="00306CB6"/>
    <w:rsid w:val="003106A3"/>
    <w:rsid w:val="00315539"/>
    <w:rsid w:val="00315C4C"/>
    <w:rsid w:val="003211CD"/>
    <w:rsid w:val="00321B0C"/>
    <w:rsid w:val="00325F71"/>
    <w:rsid w:val="00326108"/>
    <w:rsid w:val="0033446D"/>
    <w:rsid w:val="00334538"/>
    <w:rsid w:val="00334FD5"/>
    <w:rsid w:val="00335B59"/>
    <w:rsid w:val="003378EE"/>
    <w:rsid w:val="003407E6"/>
    <w:rsid w:val="0034113E"/>
    <w:rsid w:val="00343133"/>
    <w:rsid w:val="00347884"/>
    <w:rsid w:val="003520CB"/>
    <w:rsid w:val="003524C3"/>
    <w:rsid w:val="00352AAC"/>
    <w:rsid w:val="003561AC"/>
    <w:rsid w:val="00356C65"/>
    <w:rsid w:val="00356F3B"/>
    <w:rsid w:val="00357328"/>
    <w:rsid w:val="00357C9F"/>
    <w:rsid w:val="003605B2"/>
    <w:rsid w:val="00361A62"/>
    <w:rsid w:val="0036243D"/>
    <w:rsid w:val="00362C2E"/>
    <w:rsid w:val="00363656"/>
    <w:rsid w:val="003638DD"/>
    <w:rsid w:val="003640BF"/>
    <w:rsid w:val="00365594"/>
    <w:rsid w:val="00365A7C"/>
    <w:rsid w:val="00367463"/>
    <w:rsid w:val="00367E8D"/>
    <w:rsid w:val="00372B82"/>
    <w:rsid w:val="00372DB4"/>
    <w:rsid w:val="00374523"/>
    <w:rsid w:val="00374BB1"/>
    <w:rsid w:val="00380248"/>
    <w:rsid w:val="0038085C"/>
    <w:rsid w:val="00380BB8"/>
    <w:rsid w:val="003817CB"/>
    <w:rsid w:val="00381F76"/>
    <w:rsid w:val="00382250"/>
    <w:rsid w:val="00385063"/>
    <w:rsid w:val="003859A9"/>
    <w:rsid w:val="00385E51"/>
    <w:rsid w:val="003862CA"/>
    <w:rsid w:val="003870C9"/>
    <w:rsid w:val="003914EF"/>
    <w:rsid w:val="0039189B"/>
    <w:rsid w:val="003918B3"/>
    <w:rsid w:val="003938BF"/>
    <w:rsid w:val="00394A84"/>
    <w:rsid w:val="00396271"/>
    <w:rsid w:val="00397F3C"/>
    <w:rsid w:val="003A1FC9"/>
    <w:rsid w:val="003A26FD"/>
    <w:rsid w:val="003A31D7"/>
    <w:rsid w:val="003A475C"/>
    <w:rsid w:val="003A546A"/>
    <w:rsid w:val="003A69BD"/>
    <w:rsid w:val="003B0B36"/>
    <w:rsid w:val="003B0C9B"/>
    <w:rsid w:val="003B4018"/>
    <w:rsid w:val="003B4688"/>
    <w:rsid w:val="003B4C4B"/>
    <w:rsid w:val="003B58EC"/>
    <w:rsid w:val="003B7F2F"/>
    <w:rsid w:val="003C05EA"/>
    <w:rsid w:val="003C08E3"/>
    <w:rsid w:val="003C13BA"/>
    <w:rsid w:val="003C3E03"/>
    <w:rsid w:val="003C5363"/>
    <w:rsid w:val="003C5F60"/>
    <w:rsid w:val="003C765A"/>
    <w:rsid w:val="003D0C89"/>
    <w:rsid w:val="003D1620"/>
    <w:rsid w:val="003D1A6C"/>
    <w:rsid w:val="003D2EFC"/>
    <w:rsid w:val="003D45A2"/>
    <w:rsid w:val="003D6C33"/>
    <w:rsid w:val="003D6C46"/>
    <w:rsid w:val="003D6E44"/>
    <w:rsid w:val="003E072B"/>
    <w:rsid w:val="003E07E2"/>
    <w:rsid w:val="003E2391"/>
    <w:rsid w:val="003E35C8"/>
    <w:rsid w:val="003E5071"/>
    <w:rsid w:val="003E576C"/>
    <w:rsid w:val="003E5B4F"/>
    <w:rsid w:val="003E5C6C"/>
    <w:rsid w:val="003E5E6F"/>
    <w:rsid w:val="003E6F04"/>
    <w:rsid w:val="003E7679"/>
    <w:rsid w:val="003F1CFF"/>
    <w:rsid w:val="003F3997"/>
    <w:rsid w:val="003F472F"/>
    <w:rsid w:val="003F5981"/>
    <w:rsid w:val="003F7990"/>
    <w:rsid w:val="003F7ED5"/>
    <w:rsid w:val="00402E41"/>
    <w:rsid w:val="004062D2"/>
    <w:rsid w:val="00406782"/>
    <w:rsid w:val="00411DA2"/>
    <w:rsid w:val="0041286D"/>
    <w:rsid w:val="004143D4"/>
    <w:rsid w:val="00416B47"/>
    <w:rsid w:val="00417102"/>
    <w:rsid w:val="00417D55"/>
    <w:rsid w:val="00421BD2"/>
    <w:rsid w:val="00422479"/>
    <w:rsid w:val="004258FF"/>
    <w:rsid w:val="00427452"/>
    <w:rsid w:val="00430027"/>
    <w:rsid w:val="004313C1"/>
    <w:rsid w:val="00434FC8"/>
    <w:rsid w:val="004377EB"/>
    <w:rsid w:val="00437C48"/>
    <w:rsid w:val="00441C5D"/>
    <w:rsid w:val="0044450E"/>
    <w:rsid w:val="00450A02"/>
    <w:rsid w:val="004531BF"/>
    <w:rsid w:val="00453757"/>
    <w:rsid w:val="00453932"/>
    <w:rsid w:val="0045520F"/>
    <w:rsid w:val="00455CD7"/>
    <w:rsid w:val="00457CD9"/>
    <w:rsid w:val="00460E9A"/>
    <w:rsid w:val="00463CFC"/>
    <w:rsid w:val="00464646"/>
    <w:rsid w:val="00464F17"/>
    <w:rsid w:val="00465B96"/>
    <w:rsid w:val="00467667"/>
    <w:rsid w:val="00467C55"/>
    <w:rsid w:val="00467E49"/>
    <w:rsid w:val="004714D2"/>
    <w:rsid w:val="0047174F"/>
    <w:rsid w:val="004728A0"/>
    <w:rsid w:val="0047606E"/>
    <w:rsid w:val="00477B4A"/>
    <w:rsid w:val="0048157A"/>
    <w:rsid w:val="00481B3E"/>
    <w:rsid w:val="004829D6"/>
    <w:rsid w:val="00483C1A"/>
    <w:rsid w:val="004841D8"/>
    <w:rsid w:val="00491A9E"/>
    <w:rsid w:val="0049309F"/>
    <w:rsid w:val="004937D0"/>
    <w:rsid w:val="00493E12"/>
    <w:rsid w:val="004957B9"/>
    <w:rsid w:val="00495B4C"/>
    <w:rsid w:val="00495BCB"/>
    <w:rsid w:val="00497DC7"/>
    <w:rsid w:val="004A02F3"/>
    <w:rsid w:val="004A1D31"/>
    <w:rsid w:val="004A232B"/>
    <w:rsid w:val="004A2AC7"/>
    <w:rsid w:val="004A56A9"/>
    <w:rsid w:val="004A5BC0"/>
    <w:rsid w:val="004A5D35"/>
    <w:rsid w:val="004A6CC4"/>
    <w:rsid w:val="004A7FF1"/>
    <w:rsid w:val="004B1F60"/>
    <w:rsid w:val="004B6538"/>
    <w:rsid w:val="004B763E"/>
    <w:rsid w:val="004C0A9B"/>
    <w:rsid w:val="004C0F41"/>
    <w:rsid w:val="004C10C4"/>
    <w:rsid w:val="004C2026"/>
    <w:rsid w:val="004C382B"/>
    <w:rsid w:val="004C405F"/>
    <w:rsid w:val="004C5C0C"/>
    <w:rsid w:val="004C656D"/>
    <w:rsid w:val="004C74D2"/>
    <w:rsid w:val="004D40DB"/>
    <w:rsid w:val="004D6BB6"/>
    <w:rsid w:val="004E1827"/>
    <w:rsid w:val="004E1B45"/>
    <w:rsid w:val="004E285A"/>
    <w:rsid w:val="004E4791"/>
    <w:rsid w:val="004E511E"/>
    <w:rsid w:val="004E6E68"/>
    <w:rsid w:val="004F474D"/>
    <w:rsid w:val="004F47E2"/>
    <w:rsid w:val="004F6B21"/>
    <w:rsid w:val="004F6D4D"/>
    <w:rsid w:val="004F762E"/>
    <w:rsid w:val="00500B0F"/>
    <w:rsid w:val="0050180B"/>
    <w:rsid w:val="00504457"/>
    <w:rsid w:val="00506AEA"/>
    <w:rsid w:val="00511712"/>
    <w:rsid w:val="005119AB"/>
    <w:rsid w:val="00511BD4"/>
    <w:rsid w:val="005138A4"/>
    <w:rsid w:val="0051686A"/>
    <w:rsid w:val="00516A76"/>
    <w:rsid w:val="00516D6A"/>
    <w:rsid w:val="00521129"/>
    <w:rsid w:val="00523A36"/>
    <w:rsid w:val="0052574B"/>
    <w:rsid w:val="00530516"/>
    <w:rsid w:val="00531AB6"/>
    <w:rsid w:val="005329AD"/>
    <w:rsid w:val="005335CB"/>
    <w:rsid w:val="0053404B"/>
    <w:rsid w:val="00534721"/>
    <w:rsid w:val="005350AC"/>
    <w:rsid w:val="005355B4"/>
    <w:rsid w:val="00536707"/>
    <w:rsid w:val="00540517"/>
    <w:rsid w:val="005413ED"/>
    <w:rsid w:val="00541DF7"/>
    <w:rsid w:val="00542EDE"/>
    <w:rsid w:val="00543065"/>
    <w:rsid w:val="00547149"/>
    <w:rsid w:val="005477B4"/>
    <w:rsid w:val="00550F00"/>
    <w:rsid w:val="00551560"/>
    <w:rsid w:val="005536B5"/>
    <w:rsid w:val="00560D64"/>
    <w:rsid w:val="00560F06"/>
    <w:rsid w:val="005646EB"/>
    <w:rsid w:val="00565784"/>
    <w:rsid w:val="00571F4E"/>
    <w:rsid w:val="00572DB5"/>
    <w:rsid w:val="0057551B"/>
    <w:rsid w:val="00575F2C"/>
    <w:rsid w:val="00581469"/>
    <w:rsid w:val="005819C0"/>
    <w:rsid w:val="00582EB8"/>
    <w:rsid w:val="00582F54"/>
    <w:rsid w:val="00583E65"/>
    <w:rsid w:val="0059197C"/>
    <w:rsid w:val="005947F4"/>
    <w:rsid w:val="00595C19"/>
    <w:rsid w:val="00595F42"/>
    <w:rsid w:val="00596DF1"/>
    <w:rsid w:val="0059734A"/>
    <w:rsid w:val="005A219C"/>
    <w:rsid w:val="005A2C1B"/>
    <w:rsid w:val="005A2CA9"/>
    <w:rsid w:val="005A7D7E"/>
    <w:rsid w:val="005A7DB1"/>
    <w:rsid w:val="005B040F"/>
    <w:rsid w:val="005B12B9"/>
    <w:rsid w:val="005B1396"/>
    <w:rsid w:val="005B3462"/>
    <w:rsid w:val="005B3639"/>
    <w:rsid w:val="005B42A0"/>
    <w:rsid w:val="005B5D5E"/>
    <w:rsid w:val="005B6436"/>
    <w:rsid w:val="005B7224"/>
    <w:rsid w:val="005B7918"/>
    <w:rsid w:val="005C2BF4"/>
    <w:rsid w:val="005C3B83"/>
    <w:rsid w:val="005D0DAB"/>
    <w:rsid w:val="005D48A2"/>
    <w:rsid w:val="005D4AA7"/>
    <w:rsid w:val="005D61E9"/>
    <w:rsid w:val="005D6B5C"/>
    <w:rsid w:val="005D73C6"/>
    <w:rsid w:val="005D7D6B"/>
    <w:rsid w:val="005D7FD8"/>
    <w:rsid w:val="005E07B9"/>
    <w:rsid w:val="005E0CE0"/>
    <w:rsid w:val="005E1784"/>
    <w:rsid w:val="005E1E31"/>
    <w:rsid w:val="005E1EA6"/>
    <w:rsid w:val="005E44B8"/>
    <w:rsid w:val="005E460A"/>
    <w:rsid w:val="005E5982"/>
    <w:rsid w:val="005E6F09"/>
    <w:rsid w:val="005E7B6B"/>
    <w:rsid w:val="005F0C63"/>
    <w:rsid w:val="005F1243"/>
    <w:rsid w:val="005F1FB5"/>
    <w:rsid w:val="005F32DF"/>
    <w:rsid w:val="005F63B0"/>
    <w:rsid w:val="00600415"/>
    <w:rsid w:val="00600729"/>
    <w:rsid w:val="00600B8E"/>
    <w:rsid w:val="00601379"/>
    <w:rsid w:val="00602CBF"/>
    <w:rsid w:val="006040D8"/>
    <w:rsid w:val="00604D02"/>
    <w:rsid w:val="00611171"/>
    <w:rsid w:val="00612C80"/>
    <w:rsid w:val="00614029"/>
    <w:rsid w:val="0061498F"/>
    <w:rsid w:val="00614CE4"/>
    <w:rsid w:val="00615C62"/>
    <w:rsid w:val="006161E9"/>
    <w:rsid w:val="00616AD9"/>
    <w:rsid w:val="0061771C"/>
    <w:rsid w:val="0061797F"/>
    <w:rsid w:val="006219C3"/>
    <w:rsid w:val="006230C8"/>
    <w:rsid w:val="006231A9"/>
    <w:rsid w:val="0062550C"/>
    <w:rsid w:val="006257DD"/>
    <w:rsid w:val="006258F0"/>
    <w:rsid w:val="0062674E"/>
    <w:rsid w:val="00627055"/>
    <w:rsid w:val="00630101"/>
    <w:rsid w:val="00631E33"/>
    <w:rsid w:val="00633674"/>
    <w:rsid w:val="00637230"/>
    <w:rsid w:val="00640A21"/>
    <w:rsid w:val="00640B40"/>
    <w:rsid w:val="00640D2E"/>
    <w:rsid w:val="00641C6A"/>
    <w:rsid w:val="00641F45"/>
    <w:rsid w:val="00642FB9"/>
    <w:rsid w:val="00643176"/>
    <w:rsid w:val="00643962"/>
    <w:rsid w:val="00645DF0"/>
    <w:rsid w:val="00646049"/>
    <w:rsid w:val="0064605C"/>
    <w:rsid w:val="0064612A"/>
    <w:rsid w:val="006478B6"/>
    <w:rsid w:val="0065079D"/>
    <w:rsid w:val="00653215"/>
    <w:rsid w:val="00653E26"/>
    <w:rsid w:val="00654355"/>
    <w:rsid w:val="00657739"/>
    <w:rsid w:val="00662847"/>
    <w:rsid w:val="006651FF"/>
    <w:rsid w:val="00667FA9"/>
    <w:rsid w:val="006702FB"/>
    <w:rsid w:val="0067541F"/>
    <w:rsid w:val="00676443"/>
    <w:rsid w:val="006767BC"/>
    <w:rsid w:val="00677255"/>
    <w:rsid w:val="00681BDA"/>
    <w:rsid w:val="00681DE2"/>
    <w:rsid w:val="006830FD"/>
    <w:rsid w:val="00683292"/>
    <w:rsid w:val="00683B9A"/>
    <w:rsid w:val="00683C90"/>
    <w:rsid w:val="006840D2"/>
    <w:rsid w:val="00684149"/>
    <w:rsid w:val="006857B6"/>
    <w:rsid w:val="00687B53"/>
    <w:rsid w:val="00687FE0"/>
    <w:rsid w:val="00690BA4"/>
    <w:rsid w:val="00690C4A"/>
    <w:rsid w:val="00690D4D"/>
    <w:rsid w:val="00691528"/>
    <w:rsid w:val="00691629"/>
    <w:rsid w:val="00691C96"/>
    <w:rsid w:val="006922E6"/>
    <w:rsid w:val="00692F14"/>
    <w:rsid w:val="00694348"/>
    <w:rsid w:val="00694525"/>
    <w:rsid w:val="006A08F6"/>
    <w:rsid w:val="006A1972"/>
    <w:rsid w:val="006A1E71"/>
    <w:rsid w:val="006A21E4"/>
    <w:rsid w:val="006A255D"/>
    <w:rsid w:val="006A3569"/>
    <w:rsid w:val="006A4766"/>
    <w:rsid w:val="006A7F43"/>
    <w:rsid w:val="006B3FD7"/>
    <w:rsid w:val="006B526D"/>
    <w:rsid w:val="006B64F1"/>
    <w:rsid w:val="006B75CD"/>
    <w:rsid w:val="006B7852"/>
    <w:rsid w:val="006B79DB"/>
    <w:rsid w:val="006C04C8"/>
    <w:rsid w:val="006C1857"/>
    <w:rsid w:val="006C20A7"/>
    <w:rsid w:val="006C2103"/>
    <w:rsid w:val="006C2285"/>
    <w:rsid w:val="006C45B8"/>
    <w:rsid w:val="006C5FBA"/>
    <w:rsid w:val="006C6DCE"/>
    <w:rsid w:val="006C6EDF"/>
    <w:rsid w:val="006D52BD"/>
    <w:rsid w:val="006D656B"/>
    <w:rsid w:val="006E106B"/>
    <w:rsid w:val="006E57CC"/>
    <w:rsid w:val="006E72F7"/>
    <w:rsid w:val="006F1119"/>
    <w:rsid w:val="006F15E8"/>
    <w:rsid w:val="006F341E"/>
    <w:rsid w:val="006F5546"/>
    <w:rsid w:val="006F79C4"/>
    <w:rsid w:val="0070642E"/>
    <w:rsid w:val="00706C5B"/>
    <w:rsid w:val="00706DC2"/>
    <w:rsid w:val="00711ECE"/>
    <w:rsid w:val="00712250"/>
    <w:rsid w:val="0071298D"/>
    <w:rsid w:val="00712D3C"/>
    <w:rsid w:val="00713100"/>
    <w:rsid w:val="0071423C"/>
    <w:rsid w:val="007172C8"/>
    <w:rsid w:val="00720441"/>
    <w:rsid w:val="00723678"/>
    <w:rsid w:val="007248B1"/>
    <w:rsid w:val="00726277"/>
    <w:rsid w:val="007302C0"/>
    <w:rsid w:val="00730880"/>
    <w:rsid w:val="00730B85"/>
    <w:rsid w:val="00730F55"/>
    <w:rsid w:val="0073110A"/>
    <w:rsid w:val="00731485"/>
    <w:rsid w:val="00732D0F"/>
    <w:rsid w:val="00733A74"/>
    <w:rsid w:val="00735083"/>
    <w:rsid w:val="007408D4"/>
    <w:rsid w:val="007413A2"/>
    <w:rsid w:val="007426FB"/>
    <w:rsid w:val="00742C35"/>
    <w:rsid w:val="007430D0"/>
    <w:rsid w:val="0074360F"/>
    <w:rsid w:val="00744AC2"/>
    <w:rsid w:val="007451F4"/>
    <w:rsid w:val="0075042F"/>
    <w:rsid w:val="00754551"/>
    <w:rsid w:val="00756349"/>
    <w:rsid w:val="0075705E"/>
    <w:rsid w:val="007615F8"/>
    <w:rsid w:val="00761900"/>
    <w:rsid w:val="00761DA4"/>
    <w:rsid w:val="00764443"/>
    <w:rsid w:val="00766954"/>
    <w:rsid w:val="00767C5B"/>
    <w:rsid w:val="00772006"/>
    <w:rsid w:val="007726E6"/>
    <w:rsid w:val="007735B7"/>
    <w:rsid w:val="0077503B"/>
    <w:rsid w:val="00780DFD"/>
    <w:rsid w:val="007831EE"/>
    <w:rsid w:val="00783897"/>
    <w:rsid w:val="00784620"/>
    <w:rsid w:val="00786723"/>
    <w:rsid w:val="00787D24"/>
    <w:rsid w:val="007910D0"/>
    <w:rsid w:val="007912AF"/>
    <w:rsid w:val="00795999"/>
    <w:rsid w:val="00795EF1"/>
    <w:rsid w:val="007A0C73"/>
    <w:rsid w:val="007A2265"/>
    <w:rsid w:val="007A465A"/>
    <w:rsid w:val="007A469A"/>
    <w:rsid w:val="007A6616"/>
    <w:rsid w:val="007A6AA5"/>
    <w:rsid w:val="007A71D1"/>
    <w:rsid w:val="007A7B05"/>
    <w:rsid w:val="007A7B3E"/>
    <w:rsid w:val="007B1187"/>
    <w:rsid w:val="007B3409"/>
    <w:rsid w:val="007B411A"/>
    <w:rsid w:val="007B44AC"/>
    <w:rsid w:val="007B5261"/>
    <w:rsid w:val="007B59E4"/>
    <w:rsid w:val="007B69B7"/>
    <w:rsid w:val="007C03D0"/>
    <w:rsid w:val="007C16E1"/>
    <w:rsid w:val="007C3519"/>
    <w:rsid w:val="007C360C"/>
    <w:rsid w:val="007C4287"/>
    <w:rsid w:val="007C5AC8"/>
    <w:rsid w:val="007C6ACC"/>
    <w:rsid w:val="007D06F5"/>
    <w:rsid w:val="007D14EC"/>
    <w:rsid w:val="007D2C99"/>
    <w:rsid w:val="007D32E2"/>
    <w:rsid w:val="007D3793"/>
    <w:rsid w:val="007D5929"/>
    <w:rsid w:val="007E060D"/>
    <w:rsid w:val="007E0674"/>
    <w:rsid w:val="007E1C19"/>
    <w:rsid w:val="007E3325"/>
    <w:rsid w:val="007E3F98"/>
    <w:rsid w:val="007E5170"/>
    <w:rsid w:val="007E5268"/>
    <w:rsid w:val="007E5FDB"/>
    <w:rsid w:val="007E612B"/>
    <w:rsid w:val="007F138A"/>
    <w:rsid w:val="007F51C8"/>
    <w:rsid w:val="008025B6"/>
    <w:rsid w:val="00802722"/>
    <w:rsid w:val="0080294C"/>
    <w:rsid w:val="00802C98"/>
    <w:rsid w:val="00810D78"/>
    <w:rsid w:val="008115DA"/>
    <w:rsid w:val="00811BD9"/>
    <w:rsid w:val="00812A68"/>
    <w:rsid w:val="008147BD"/>
    <w:rsid w:val="00815818"/>
    <w:rsid w:val="00815AAC"/>
    <w:rsid w:val="00815B61"/>
    <w:rsid w:val="00816719"/>
    <w:rsid w:val="00816E95"/>
    <w:rsid w:val="0082104C"/>
    <w:rsid w:val="00821D9C"/>
    <w:rsid w:val="00822871"/>
    <w:rsid w:val="0082601E"/>
    <w:rsid w:val="008272E8"/>
    <w:rsid w:val="00827EAD"/>
    <w:rsid w:val="008322EB"/>
    <w:rsid w:val="008363EE"/>
    <w:rsid w:val="00840C18"/>
    <w:rsid w:val="00840FD2"/>
    <w:rsid w:val="00843071"/>
    <w:rsid w:val="00847E5B"/>
    <w:rsid w:val="00851307"/>
    <w:rsid w:val="00851399"/>
    <w:rsid w:val="00852B19"/>
    <w:rsid w:val="008536E5"/>
    <w:rsid w:val="00855899"/>
    <w:rsid w:val="008601C4"/>
    <w:rsid w:val="008604EC"/>
    <w:rsid w:val="008615F2"/>
    <w:rsid w:val="00862746"/>
    <w:rsid w:val="00862EC4"/>
    <w:rsid w:val="00864128"/>
    <w:rsid w:val="00865809"/>
    <w:rsid w:val="00865CB4"/>
    <w:rsid w:val="00867C09"/>
    <w:rsid w:val="00871BB0"/>
    <w:rsid w:val="0087399F"/>
    <w:rsid w:val="00873DB3"/>
    <w:rsid w:val="008751E9"/>
    <w:rsid w:val="0087550D"/>
    <w:rsid w:val="008764BD"/>
    <w:rsid w:val="0087750D"/>
    <w:rsid w:val="008828E9"/>
    <w:rsid w:val="00884448"/>
    <w:rsid w:val="00884ECF"/>
    <w:rsid w:val="00885066"/>
    <w:rsid w:val="008856BE"/>
    <w:rsid w:val="00885AC8"/>
    <w:rsid w:val="0088746C"/>
    <w:rsid w:val="00890529"/>
    <w:rsid w:val="00891C95"/>
    <w:rsid w:val="008921A6"/>
    <w:rsid w:val="00892460"/>
    <w:rsid w:val="00894A4D"/>
    <w:rsid w:val="0089595A"/>
    <w:rsid w:val="008A032E"/>
    <w:rsid w:val="008A1179"/>
    <w:rsid w:val="008A1505"/>
    <w:rsid w:val="008A4895"/>
    <w:rsid w:val="008B09F3"/>
    <w:rsid w:val="008B32BA"/>
    <w:rsid w:val="008B5A31"/>
    <w:rsid w:val="008B61FB"/>
    <w:rsid w:val="008B7198"/>
    <w:rsid w:val="008C2BD6"/>
    <w:rsid w:val="008C3419"/>
    <w:rsid w:val="008C4C26"/>
    <w:rsid w:val="008C51C8"/>
    <w:rsid w:val="008C6505"/>
    <w:rsid w:val="008D1D8E"/>
    <w:rsid w:val="008D38C0"/>
    <w:rsid w:val="008D5889"/>
    <w:rsid w:val="008E20AF"/>
    <w:rsid w:val="008E3DC7"/>
    <w:rsid w:val="008E4536"/>
    <w:rsid w:val="008E73A2"/>
    <w:rsid w:val="008E795F"/>
    <w:rsid w:val="008F0E68"/>
    <w:rsid w:val="008F10F5"/>
    <w:rsid w:val="008F1AF2"/>
    <w:rsid w:val="008F461A"/>
    <w:rsid w:val="008F4704"/>
    <w:rsid w:val="008F60A8"/>
    <w:rsid w:val="008F7313"/>
    <w:rsid w:val="0090172D"/>
    <w:rsid w:val="00902AE6"/>
    <w:rsid w:val="00904A78"/>
    <w:rsid w:val="00905932"/>
    <w:rsid w:val="00910180"/>
    <w:rsid w:val="00912BF6"/>
    <w:rsid w:val="0091320A"/>
    <w:rsid w:val="009138EF"/>
    <w:rsid w:val="009153C3"/>
    <w:rsid w:val="00915FA4"/>
    <w:rsid w:val="00917082"/>
    <w:rsid w:val="0092411A"/>
    <w:rsid w:val="00925745"/>
    <w:rsid w:val="00926AAE"/>
    <w:rsid w:val="00927C19"/>
    <w:rsid w:val="009319C8"/>
    <w:rsid w:val="00932E2F"/>
    <w:rsid w:val="009333CC"/>
    <w:rsid w:val="009367A3"/>
    <w:rsid w:val="00937BC3"/>
    <w:rsid w:val="00941434"/>
    <w:rsid w:val="009419E4"/>
    <w:rsid w:val="00944A09"/>
    <w:rsid w:val="009474A5"/>
    <w:rsid w:val="00950F73"/>
    <w:rsid w:val="00952105"/>
    <w:rsid w:val="00953993"/>
    <w:rsid w:val="00955903"/>
    <w:rsid w:val="00956387"/>
    <w:rsid w:val="009564E0"/>
    <w:rsid w:val="009573B4"/>
    <w:rsid w:val="00957B18"/>
    <w:rsid w:val="00962653"/>
    <w:rsid w:val="00966718"/>
    <w:rsid w:val="00966B70"/>
    <w:rsid w:val="009675A3"/>
    <w:rsid w:val="00970110"/>
    <w:rsid w:val="0097119C"/>
    <w:rsid w:val="009716C9"/>
    <w:rsid w:val="00974C60"/>
    <w:rsid w:val="00977A93"/>
    <w:rsid w:val="0098095F"/>
    <w:rsid w:val="00980C90"/>
    <w:rsid w:val="00983CC8"/>
    <w:rsid w:val="009914AA"/>
    <w:rsid w:val="00993702"/>
    <w:rsid w:val="009943A7"/>
    <w:rsid w:val="00994565"/>
    <w:rsid w:val="00994880"/>
    <w:rsid w:val="00995B93"/>
    <w:rsid w:val="00996BE0"/>
    <w:rsid w:val="00997B5C"/>
    <w:rsid w:val="00997F2B"/>
    <w:rsid w:val="009A127F"/>
    <w:rsid w:val="009A1C81"/>
    <w:rsid w:val="009A5CC3"/>
    <w:rsid w:val="009A6FE1"/>
    <w:rsid w:val="009A7B80"/>
    <w:rsid w:val="009B04BF"/>
    <w:rsid w:val="009B2DCD"/>
    <w:rsid w:val="009B458E"/>
    <w:rsid w:val="009B4F7F"/>
    <w:rsid w:val="009B7871"/>
    <w:rsid w:val="009C027F"/>
    <w:rsid w:val="009C4893"/>
    <w:rsid w:val="009C531E"/>
    <w:rsid w:val="009C5813"/>
    <w:rsid w:val="009D0EFF"/>
    <w:rsid w:val="009D3275"/>
    <w:rsid w:val="009D4770"/>
    <w:rsid w:val="009D5B71"/>
    <w:rsid w:val="009D7801"/>
    <w:rsid w:val="009E0707"/>
    <w:rsid w:val="009E2718"/>
    <w:rsid w:val="009E437A"/>
    <w:rsid w:val="009E4539"/>
    <w:rsid w:val="00A00A5E"/>
    <w:rsid w:val="00A00D3E"/>
    <w:rsid w:val="00A01381"/>
    <w:rsid w:val="00A0259E"/>
    <w:rsid w:val="00A0297F"/>
    <w:rsid w:val="00A045AF"/>
    <w:rsid w:val="00A049C1"/>
    <w:rsid w:val="00A04B7B"/>
    <w:rsid w:val="00A0531B"/>
    <w:rsid w:val="00A05B9A"/>
    <w:rsid w:val="00A11992"/>
    <w:rsid w:val="00A11C0D"/>
    <w:rsid w:val="00A13121"/>
    <w:rsid w:val="00A14E26"/>
    <w:rsid w:val="00A16AC0"/>
    <w:rsid w:val="00A20464"/>
    <w:rsid w:val="00A20508"/>
    <w:rsid w:val="00A20C8E"/>
    <w:rsid w:val="00A2134B"/>
    <w:rsid w:val="00A24299"/>
    <w:rsid w:val="00A24583"/>
    <w:rsid w:val="00A249B0"/>
    <w:rsid w:val="00A30538"/>
    <w:rsid w:val="00A338CE"/>
    <w:rsid w:val="00A33990"/>
    <w:rsid w:val="00A3429A"/>
    <w:rsid w:val="00A35C7B"/>
    <w:rsid w:val="00A415FF"/>
    <w:rsid w:val="00A42D33"/>
    <w:rsid w:val="00A43B92"/>
    <w:rsid w:val="00A44BDB"/>
    <w:rsid w:val="00A454BA"/>
    <w:rsid w:val="00A467F9"/>
    <w:rsid w:val="00A55992"/>
    <w:rsid w:val="00A565EC"/>
    <w:rsid w:val="00A573FB"/>
    <w:rsid w:val="00A57697"/>
    <w:rsid w:val="00A62856"/>
    <w:rsid w:val="00A631B6"/>
    <w:rsid w:val="00A64DDA"/>
    <w:rsid w:val="00A651DA"/>
    <w:rsid w:val="00A652C1"/>
    <w:rsid w:val="00A66307"/>
    <w:rsid w:val="00A66780"/>
    <w:rsid w:val="00A66DA9"/>
    <w:rsid w:val="00A70279"/>
    <w:rsid w:val="00A71E60"/>
    <w:rsid w:val="00A725FD"/>
    <w:rsid w:val="00A72C9C"/>
    <w:rsid w:val="00A72CB6"/>
    <w:rsid w:val="00A74310"/>
    <w:rsid w:val="00A74AB5"/>
    <w:rsid w:val="00A80244"/>
    <w:rsid w:val="00A81A7E"/>
    <w:rsid w:val="00A847AD"/>
    <w:rsid w:val="00A84B12"/>
    <w:rsid w:val="00A87283"/>
    <w:rsid w:val="00A87427"/>
    <w:rsid w:val="00A910C9"/>
    <w:rsid w:val="00A936C5"/>
    <w:rsid w:val="00A93EE4"/>
    <w:rsid w:val="00A96402"/>
    <w:rsid w:val="00A969E1"/>
    <w:rsid w:val="00AA00F4"/>
    <w:rsid w:val="00AA0301"/>
    <w:rsid w:val="00AA1D06"/>
    <w:rsid w:val="00AA1DE3"/>
    <w:rsid w:val="00AA3AC1"/>
    <w:rsid w:val="00AA4A1A"/>
    <w:rsid w:val="00AA4EDA"/>
    <w:rsid w:val="00AA5E44"/>
    <w:rsid w:val="00AA6A75"/>
    <w:rsid w:val="00AA7F24"/>
    <w:rsid w:val="00AB36E5"/>
    <w:rsid w:val="00AB5810"/>
    <w:rsid w:val="00AB5968"/>
    <w:rsid w:val="00AC0276"/>
    <w:rsid w:val="00AC0EB5"/>
    <w:rsid w:val="00AC38CA"/>
    <w:rsid w:val="00AC5416"/>
    <w:rsid w:val="00AC6936"/>
    <w:rsid w:val="00AC77E0"/>
    <w:rsid w:val="00AC79F7"/>
    <w:rsid w:val="00AD0781"/>
    <w:rsid w:val="00AD0C7C"/>
    <w:rsid w:val="00AD36E4"/>
    <w:rsid w:val="00AD3DF5"/>
    <w:rsid w:val="00AD4CED"/>
    <w:rsid w:val="00AD6A01"/>
    <w:rsid w:val="00AE091C"/>
    <w:rsid w:val="00AE16F9"/>
    <w:rsid w:val="00AE2925"/>
    <w:rsid w:val="00AE32B9"/>
    <w:rsid w:val="00AE342F"/>
    <w:rsid w:val="00AE3931"/>
    <w:rsid w:val="00AE4287"/>
    <w:rsid w:val="00AE5B39"/>
    <w:rsid w:val="00AF51EE"/>
    <w:rsid w:val="00AF694C"/>
    <w:rsid w:val="00AF7DE6"/>
    <w:rsid w:val="00B0008B"/>
    <w:rsid w:val="00B02340"/>
    <w:rsid w:val="00B10BAD"/>
    <w:rsid w:val="00B11C32"/>
    <w:rsid w:val="00B12891"/>
    <w:rsid w:val="00B13B29"/>
    <w:rsid w:val="00B1540E"/>
    <w:rsid w:val="00B21075"/>
    <w:rsid w:val="00B244B5"/>
    <w:rsid w:val="00B25232"/>
    <w:rsid w:val="00B27F30"/>
    <w:rsid w:val="00B30570"/>
    <w:rsid w:val="00B30C24"/>
    <w:rsid w:val="00B3310B"/>
    <w:rsid w:val="00B40544"/>
    <w:rsid w:val="00B4081D"/>
    <w:rsid w:val="00B40AFE"/>
    <w:rsid w:val="00B41CD4"/>
    <w:rsid w:val="00B43108"/>
    <w:rsid w:val="00B434BD"/>
    <w:rsid w:val="00B44051"/>
    <w:rsid w:val="00B52460"/>
    <w:rsid w:val="00B529EC"/>
    <w:rsid w:val="00B53028"/>
    <w:rsid w:val="00B533A3"/>
    <w:rsid w:val="00B5378D"/>
    <w:rsid w:val="00B53C9D"/>
    <w:rsid w:val="00B566A9"/>
    <w:rsid w:val="00B56A95"/>
    <w:rsid w:val="00B63F4D"/>
    <w:rsid w:val="00B66F0E"/>
    <w:rsid w:val="00B6771A"/>
    <w:rsid w:val="00B679ED"/>
    <w:rsid w:val="00B71958"/>
    <w:rsid w:val="00B73E59"/>
    <w:rsid w:val="00B75A0F"/>
    <w:rsid w:val="00B75C59"/>
    <w:rsid w:val="00B777D6"/>
    <w:rsid w:val="00B77FBF"/>
    <w:rsid w:val="00B8007A"/>
    <w:rsid w:val="00B84C1D"/>
    <w:rsid w:val="00B8579C"/>
    <w:rsid w:val="00B86AD9"/>
    <w:rsid w:val="00B87A72"/>
    <w:rsid w:val="00B91264"/>
    <w:rsid w:val="00B916BB"/>
    <w:rsid w:val="00B91F60"/>
    <w:rsid w:val="00B92424"/>
    <w:rsid w:val="00B94A0B"/>
    <w:rsid w:val="00B9523C"/>
    <w:rsid w:val="00B9583C"/>
    <w:rsid w:val="00B97C3A"/>
    <w:rsid w:val="00BA030F"/>
    <w:rsid w:val="00BA1513"/>
    <w:rsid w:val="00BA1B5C"/>
    <w:rsid w:val="00BA1EF4"/>
    <w:rsid w:val="00BA2804"/>
    <w:rsid w:val="00BA2C3F"/>
    <w:rsid w:val="00BA2F65"/>
    <w:rsid w:val="00BA39AA"/>
    <w:rsid w:val="00BA4375"/>
    <w:rsid w:val="00BA4C0C"/>
    <w:rsid w:val="00BA5513"/>
    <w:rsid w:val="00BA5C1C"/>
    <w:rsid w:val="00BA69CF"/>
    <w:rsid w:val="00BB1CF3"/>
    <w:rsid w:val="00BB1E4A"/>
    <w:rsid w:val="00BB6D85"/>
    <w:rsid w:val="00BC006B"/>
    <w:rsid w:val="00BC058C"/>
    <w:rsid w:val="00BC31EC"/>
    <w:rsid w:val="00BC3805"/>
    <w:rsid w:val="00BC4925"/>
    <w:rsid w:val="00BC60A5"/>
    <w:rsid w:val="00BC6704"/>
    <w:rsid w:val="00BC741D"/>
    <w:rsid w:val="00BD0290"/>
    <w:rsid w:val="00BD1443"/>
    <w:rsid w:val="00BD35E5"/>
    <w:rsid w:val="00BD3E08"/>
    <w:rsid w:val="00BD44D1"/>
    <w:rsid w:val="00BD469C"/>
    <w:rsid w:val="00BD5D41"/>
    <w:rsid w:val="00BD5F6C"/>
    <w:rsid w:val="00BD720B"/>
    <w:rsid w:val="00BE2349"/>
    <w:rsid w:val="00BE2FB4"/>
    <w:rsid w:val="00BE4800"/>
    <w:rsid w:val="00BE6EFA"/>
    <w:rsid w:val="00BF1940"/>
    <w:rsid w:val="00BF23EF"/>
    <w:rsid w:val="00BF2501"/>
    <w:rsid w:val="00BF2E42"/>
    <w:rsid w:val="00C01E20"/>
    <w:rsid w:val="00C03D1C"/>
    <w:rsid w:val="00C04604"/>
    <w:rsid w:val="00C05F42"/>
    <w:rsid w:val="00C062AF"/>
    <w:rsid w:val="00C10D0D"/>
    <w:rsid w:val="00C11360"/>
    <w:rsid w:val="00C1190F"/>
    <w:rsid w:val="00C12F2C"/>
    <w:rsid w:val="00C1390E"/>
    <w:rsid w:val="00C14CD0"/>
    <w:rsid w:val="00C162CF"/>
    <w:rsid w:val="00C20893"/>
    <w:rsid w:val="00C20C14"/>
    <w:rsid w:val="00C22217"/>
    <w:rsid w:val="00C22B9E"/>
    <w:rsid w:val="00C27CD3"/>
    <w:rsid w:val="00C34412"/>
    <w:rsid w:val="00C355D2"/>
    <w:rsid w:val="00C3765E"/>
    <w:rsid w:val="00C424F6"/>
    <w:rsid w:val="00C454C4"/>
    <w:rsid w:val="00C4586A"/>
    <w:rsid w:val="00C459D5"/>
    <w:rsid w:val="00C53431"/>
    <w:rsid w:val="00C538B6"/>
    <w:rsid w:val="00C53D16"/>
    <w:rsid w:val="00C548F0"/>
    <w:rsid w:val="00C55E62"/>
    <w:rsid w:val="00C572C6"/>
    <w:rsid w:val="00C60F0E"/>
    <w:rsid w:val="00C61D5C"/>
    <w:rsid w:val="00C62A24"/>
    <w:rsid w:val="00C64062"/>
    <w:rsid w:val="00C6489E"/>
    <w:rsid w:val="00C65770"/>
    <w:rsid w:val="00C727DC"/>
    <w:rsid w:val="00C76D0D"/>
    <w:rsid w:val="00C77F46"/>
    <w:rsid w:val="00C80B26"/>
    <w:rsid w:val="00C81196"/>
    <w:rsid w:val="00C81EB3"/>
    <w:rsid w:val="00C82AC5"/>
    <w:rsid w:val="00C85094"/>
    <w:rsid w:val="00C85D31"/>
    <w:rsid w:val="00C85FE5"/>
    <w:rsid w:val="00C87004"/>
    <w:rsid w:val="00C87099"/>
    <w:rsid w:val="00C91FB8"/>
    <w:rsid w:val="00C9298B"/>
    <w:rsid w:val="00C94196"/>
    <w:rsid w:val="00C94760"/>
    <w:rsid w:val="00C97AF1"/>
    <w:rsid w:val="00CA2A9F"/>
    <w:rsid w:val="00CA36F0"/>
    <w:rsid w:val="00CA3D56"/>
    <w:rsid w:val="00CA5DA5"/>
    <w:rsid w:val="00CA60C3"/>
    <w:rsid w:val="00CA668C"/>
    <w:rsid w:val="00CA67D3"/>
    <w:rsid w:val="00CA75A6"/>
    <w:rsid w:val="00CB05EB"/>
    <w:rsid w:val="00CB11BD"/>
    <w:rsid w:val="00CB14C3"/>
    <w:rsid w:val="00CB195E"/>
    <w:rsid w:val="00CB1E51"/>
    <w:rsid w:val="00CB213E"/>
    <w:rsid w:val="00CB2BBE"/>
    <w:rsid w:val="00CB59CB"/>
    <w:rsid w:val="00CB6071"/>
    <w:rsid w:val="00CB6FDE"/>
    <w:rsid w:val="00CB780C"/>
    <w:rsid w:val="00CB7D9A"/>
    <w:rsid w:val="00CC0CD2"/>
    <w:rsid w:val="00CC3EFA"/>
    <w:rsid w:val="00CC446A"/>
    <w:rsid w:val="00CD324A"/>
    <w:rsid w:val="00CD459B"/>
    <w:rsid w:val="00CD5C60"/>
    <w:rsid w:val="00CE0E94"/>
    <w:rsid w:val="00CE1310"/>
    <w:rsid w:val="00CE577D"/>
    <w:rsid w:val="00CE5C72"/>
    <w:rsid w:val="00CE64EA"/>
    <w:rsid w:val="00CF234B"/>
    <w:rsid w:val="00CF395A"/>
    <w:rsid w:val="00CF4A5A"/>
    <w:rsid w:val="00CF7E9E"/>
    <w:rsid w:val="00D01B36"/>
    <w:rsid w:val="00D03C3B"/>
    <w:rsid w:val="00D05611"/>
    <w:rsid w:val="00D064CE"/>
    <w:rsid w:val="00D07804"/>
    <w:rsid w:val="00D10DE7"/>
    <w:rsid w:val="00D11051"/>
    <w:rsid w:val="00D128BB"/>
    <w:rsid w:val="00D1459F"/>
    <w:rsid w:val="00D14E4E"/>
    <w:rsid w:val="00D14F25"/>
    <w:rsid w:val="00D16B90"/>
    <w:rsid w:val="00D2461A"/>
    <w:rsid w:val="00D25060"/>
    <w:rsid w:val="00D26938"/>
    <w:rsid w:val="00D273F2"/>
    <w:rsid w:val="00D333DF"/>
    <w:rsid w:val="00D33422"/>
    <w:rsid w:val="00D34E97"/>
    <w:rsid w:val="00D35410"/>
    <w:rsid w:val="00D35413"/>
    <w:rsid w:val="00D413E7"/>
    <w:rsid w:val="00D41DAE"/>
    <w:rsid w:val="00D42CD0"/>
    <w:rsid w:val="00D43072"/>
    <w:rsid w:val="00D452FA"/>
    <w:rsid w:val="00D5113A"/>
    <w:rsid w:val="00D51568"/>
    <w:rsid w:val="00D527A9"/>
    <w:rsid w:val="00D53A03"/>
    <w:rsid w:val="00D545D4"/>
    <w:rsid w:val="00D5655A"/>
    <w:rsid w:val="00D56573"/>
    <w:rsid w:val="00D57BED"/>
    <w:rsid w:val="00D60FB5"/>
    <w:rsid w:val="00D62ECF"/>
    <w:rsid w:val="00D7014D"/>
    <w:rsid w:val="00D72104"/>
    <w:rsid w:val="00D729A6"/>
    <w:rsid w:val="00D734A2"/>
    <w:rsid w:val="00D74DC0"/>
    <w:rsid w:val="00D7545D"/>
    <w:rsid w:val="00D758F4"/>
    <w:rsid w:val="00D77BFA"/>
    <w:rsid w:val="00D81B04"/>
    <w:rsid w:val="00D82353"/>
    <w:rsid w:val="00D84141"/>
    <w:rsid w:val="00D86A3B"/>
    <w:rsid w:val="00D87A22"/>
    <w:rsid w:val="00D90ABB"/>
    <w:rsid w:val="00D957ED"/>
    <w:rsid w:val="00DA0CEF"/>
    <w:rsid w:val="00DA0E5E"/>
    <w:rsid w:val="00DA14DB"/>
    <w:rsid w:val="00DA21E1"/>
    <w:rsid w:val="00DA35C0"/>
    <w:rsid w:val="00DA4A84"/>
    <w:rsid w:val="00DA734C"/>
    <w:rsid w:val="00DB1778"/>
    <w:rsid w:val="00DB364A"/>
    <w:rsid w:val="00DB36FE"/>
    <w:rsid w:val="00DB5C29"/>
    <w:rsid w:val="00DB7167"/>
    <w:rsid w:val="00DC0282"/>
    <w:rsid w:val="00DC03DC"/>
    <w:rsid w:val="00DC19DC"/>
    <w:rsid w:val="00DC26E7"/>
    <w:rsid w:val="00DC35CC"/>
    <w:rsid w:val="00DC4CA9"/>
    <w:rsid w:val="00DC53DF"/>
    <w:rsid w:val="00DC615B"/>
    <w:rsid w:val="00DC6942"/>
    <w:rsid w:val="00DC7D9F"/>
    <w:rsid w:val="00DD00CB"/>
    <w:rsid w:val="00DD07F5"/>
    <w:rsid w:val="00DD1AB5"/>
    <w:rsid w:val="00DD375B"/>
    <w:rsid w:val="00DD5040"/>
    <w:rsid w:val="00DD6C80"/>
    <w:rsid w:val="00DD73E3"/>
    <w:rsid w:val="00DD769E"/>
    <w:rsid w:val="00DE1D77"/>
    <w:rsid w:val="00DE2CAC"/>
    <w:rsid w:val="00DE4981"/>
    <w:rsid w:val="00DF1338"/>
    <w:rsid w:val="00DF2FBB"/>
    <w:rsid w:val="00DF3E6C"/>
    <w:rsid w:val="00DF42CB"/>
    <w:rsid w:val="00DF4887"/>
    <w:rsid w:val="00DF4B70"/>
    <w:rsid w:val="00DF585A"/>
    <w:rsid w:val="00DF6EA7"/>
    <w:rsid w:val="00E00D95"/>
    <w:rsid w:val="00E0230B"/>
    <w:rsid w:val="00E02DC8"/>
    <w:rsid w:val="00E0370C"/>
    <w:rsid w:val="00E06178"/>
    <w:rsid w:val="00E10F47"/>
    <w:rsid w:val="00E1115C"/>
    <w:rsid w:val="00E11E2D"/>
    <w:rsid w:val="00E12887"/>
    <w:rsid w:val="00E145B6"/>
    <w:rsid w:val="00E16440"/>
    <w:rsid w:val="00E16C0E"/>
    <w:rsid w:val="00E20AED"/>
    <w:rsid w:val="00E22AD9"/>
    <w:rsid w:val="00E24B85"/>
    <w:rsid w:val="00E2676F"/>
    <w:rsid w:val="00E27036"/>
    <w:rsid w:val="00E30950"/>
    <w:rsid w:val="00E31289"/>
    <w:rsid w:val="00E348AA"/>
    <w:rsid w:val="00E42A1C"/>
    <w:rsid w:val="00E44F53"/>
    <w:rsid w:val="00E51D1B"/>
    <w:rsid w:val="00E53121"/>
    <w:rsid w:val="00E53B10"/>
    <w:rsid w:val="00E53F5D"/>
    <w:rsid w:val="00E54A5C"/>
    <w:rsid w:val="00E5567D"/>
    <w:rsid w:val="00E564A5"/>
    <w:rsid w:val="00E5666A"/>
    <w:rsid w:val="00E56A93"/>
    <w:rsid w:val="00E56B9B"/>
    <w:rsid w:val="00E610C3"/>
    <w:rsid w:val="00E61187"/>
    <w:rsid w:val="00E6125E"/>
    <w:rsid w:val="00E637C3"/>
    <w:rsid w:val="00E64191"/>
    <w:rsid w:val="00E6585A"/>
    <w:rsid w:val="00E7089A"/>
    <w:rsid w:val="00E71982"/>
    <w:rsid w:val="00E74753"/>
    <w:rsid w:val="00E765FF"/>
    <w:rsid w:val="00E777BD"/>
    <w:rsid w:val="00E82D47"/>
    <w:rsid w:val="00E844E8"/>
    <w:rsid w:val="00E867C8"/>
    <w:rsid w:val="00E86ACC"/>
    <w:rsid w:val="00E90411"/>
    <w:rsid w:val="00E90BE0"/>
    <w:rsid w:val="00E93093"/>
    <w:rsid w:val="00E93961"/>
    <w:rsid w:val="00E93B47"/>
    <w:rsid w:val="00E94714"/>
    <w:rsid w:val="00E94BC6"/>
    <w:rsid w:val="00E94F9F"/>
    <w:rsid w:val="00E94FBB"/>
    <w:rsid w:val="00EA0D71"/>
    <w:rsid w:val="00EA138F"/>
    <w:rsid w:val="00EA1C34"/>
    <w:rsid w:val="00EA45A7"/>
    <w:rsid w:val="00EA4BF1"/>
    <w:rsid w:val="00EA5460"/>
    <w:rsid w:val="00EB006C"/>
    <w:rsid w:val="00EB44E4"/>
    <w:rsid w:val="00EB5B43"/>
    <w:rsid w:val="00EB7DCE"/>
    <w:rsid w:val="00EC1532"/>
    <w:rsid w:val="00EC307F"/>
    <w:rsid w:val="00EC3870"/>
    <w:rsid w:val="00EC6131"/>
    <w:rsid w:val="00ED15B1"/>
    <w:rsid w:val="00ED6016"/>
    <w:rsid w:val="00EE230A"/>
    <w:rsid w:val="00EE23C5"/>
    <w:rsid w:val="00EE3C15"/>
    <w:rsid w:val="00EE5B8F"/>
    <w:rsid w:val="00EE5D6F"/>
    <w:rsid w:val="00EE7275"/>
    <w:rsid w:val="00EF0CB6"/>
    <w:rsid w:val="00EF0E3F"/>
    <w:rsid w:val="00EF157C"/>
    <w:rsid w:val="00EF2374"/>
    <w:rsid w:val="00EF2B2A"/>
    <w:rsid w:val="00EF2E00"/>
    <w:rsid w:val="00EF4EA7"/>
    <w:rsid w:val="00EF6220"/>
    <w:rsid w:val="00EF6B48"/>
    <w:rsid w:val="00EF723F"/>
    <w:rsid w:val="00EF7704"/>
    <w:rsid w:val="00EF774F"/>
    <w:rsid w:val="00EF7C7C"/>
    <w:rsid w:val="00F02074"/>
    <w:rsid w:val="00F04EA3"/>
    <w:rsid w:val="00F0620E"/>
    <w:rsid w:val="00F0789B"/>
    <w:rsid w:val="00F07929"/>
    <w:rsid w:val="00F1308C"/>
    <w:rsid w:val="00F17EC8"/>
    <w:rsid w:val="00F20052"/>
    <w:rsid w:val="00F2075D"/>
    <w:rsid w:val="00F22ABC"/>
    <w:rsid w:val="00F22D49"/>
    <w:rsid w:val="00F22D50"/>
    <w:rsid w:val="00F23C82"/>
    <w:rsid w:val="00F241A6"/>
    <w:rsid w:val="00F25ED3"/>
    <w:rsid w:val="00F27063"/>
    <w:rsid w:val="00F27B7E"/>
    <w:rsid w:val="00F31BB5"/>
    <w:rsid w:val="00F3330E"/>
    <w:rsid w:val="00F351D3"/>
    <w:rsid w:val="00F4047C"/>
    <w:rsid w:val="00F40E74"/>
    <w:rsid w:val="00F41C81"/>
    <w:rsid w:val="00F43309"/>
    <w:rsid w:val="00F43A2D"/>
    <w:rsid w:val="00F4494F"/>
    <w:rsid w:val="00F51B3F"/>
    <w:rsid w:val="00F51C85"/>
    <w:rsid w:val="00F57A5D"/>
    <w:rsid w:val="00F61921"/>
    <w:rsid w:val="00F62102"/>
    <w:rsid w:val="00F62344"/>
    <w:rsid w:val="00F64ECC"/>
    <w:rsid w:val="00F65C03"/>
    <w:rsid w:val="00F66577"/>
    <w:rsid w:val="00F72A75"/>
    <w:rsid w:val="00F76E33"/>
    <w:rsid w:val="00F76FE6"/>
    <w:rsid w:val="00F77E70"/>
    <w:rsid w:val="00F803DB"/>
    <w:rsid w:val="00F82C4B"/>
    <w:rsid w:val="00F83980"/>
    <w:rsid w:val="00F83E06"/>
    <w:rsid w:val="00F86EE5"/>
    <w:rsid w:val="00F86F2F"/>
    <w:rsid w:val="00F87095"/>
    <w:rsid w:val="00F8764C"/>
    <w:rsid w:val="00F91D1C"/>
    <w:rsid w:val="00F938AD"/>
    <w:rsid w:val="00F952DF"/>
    <w:rsid w:val="00FA06D6"/>
    <w:rsid w:val="00FA0D94"/>
    <w:rsid w:val="00FA2F6A"/>
    <w:rsid w:val="00FA39B5"/>
    <w:rsid w:val="00FA5C51"/>
    <w:rsid w:val="00FA750A"/>
    <w:rsid w:val="00FB02D5"/>
    <w:rsid w:val="00FB0F47"/>
    <w:rsid w:val="00FB11DF"/>
    <w:rsid w:val="00FB1AB4"/>
    <w:rsid w:val="00FB5AA9"/>
    <w:rsid w:val="00FB5BB8"/>
    <w:rsid w:val="00FB5D93"/>
    <w:rsid w:val="00FB6358"/>
    <w:rsid w:val="00FC0AF0"/>
    <w:rsid w:val="00FC10D2"/>
    <w:rsid w:val="00FC4C91"/>
    <w:rsid w:val="00FC50D4"/>
    <w:rsid w:val="00FC7952"/>
    <w:rsid w:val="00FC7ADB"/>
    <w:rsid w:val="00FD1342"/>
    <w:rsid w:val="00FD1431"/>
    <w:rsid w:val="00FD3ED5"/>
    <w:rsid w:val="00FD43A4"/>
    <w:rsid w:val="00FE0B8D"/>
    <w:rsid w:val="00FE3862"/>
    <w:rsid w:val="00FE388F"/>
    <w:rsid w:val="00FE3D7A"/>
    <w:rsid w:val="00FE41B7"/>
    <w:rsid w:val="00FE483B"/>
    <w:rsid w:val="00FE5BF6"/>
    <w:rsid w:val="00FE646E"/>
    <w:rsid w:val="00FE75DE"/>
    <w:rsid w:val="00FF0D61"/>
    <w:rsid w:val="00FF0E7E"/>
    <w:rsid w:val="00FF1AF9"/>
    <w:rsid w:val="00FF54B0"/>
    <w:rsid w:val="00FF56D5"/>
    <w:rsid w:val="00FF5733"/>
    <w:rsid w:val="00FF6606"/>
    <w:rsid w:val="00FF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E9FB"/>
  <w15:docId w15:val="{1B6EA10E-11CF-464B-AE99-FAFDF9D5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8"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5" w:unhideWhenUsed="1" w:qFormat="1"/>
    <w:lsdException w:name="List Number" w:semiHidden="1" w:uiPriority="15"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8"/>
    <w:rsid w:val="009319C8"/>
    <w:pPr>
      <w:spacing w:after="0" w:line="240" w:lineRule="auto"/>
    </w:pPr>
    <w:rPr>
      <w:rFonts w:ascii="Open Sans" w:eastAsiaTheme="minorEastAsia" w:hAnsi="Open Sans"/>
      <w:sz w:val="20"/>
    </w:rPr>
  </w:style>
  <w:style w:type="paragraph" w:styleId="Heading1">
    <w:name w:val="heading 1"/>
    <w:aliases w:val="Report Heading,GVA Heading"/>
    <w:basedOn w:val="BaseHeading"/>
    <w:next w:val="BodyText"/>
    <w:link w:val="Heading1Char"/>
    <w:qFormat/>
    <w:rsid w:val="00667FA9"/>
    <w:pPr>
      <w:spacing w:before="240" w:after="240" w:line="245" w:lineRule="auto"/>
      <w:outlineLvl w:val="0"/>
    </w:pPr>
    <w:rPr>
      <w:rFonts w:eastAsia="Open Sans" w:cs="Times New Roman"/>
      <w:b/>
      <w:color w:val="000000" w:themeColor="text1"/>
      <w:sz w:val="36"/>
    </w:rPr>
  </w:style>
  <w:style w:type="paragraph" w:styleId="Heading2">
    <w:name w:val="heading 2"/>
    <w:basedOn w:val="BaseHeading"/>
    <w:next w:val="Level1"/>
    <w:link w:val="Heading2Char"/>
    <w:uiPriority w:val="9"/>
    <w:qFormat/>
    <w:rsid w:val="00687FE0"/>
    <w:pPr>
      <w:spacing w:before="240" w:after="240" w:line="245" w:lineRule="auto"/>
      <w:ind w:left="720"/>
      <w:outlineLvl w:val="1"/>
    </w:pPr>
    <w:rPr>
      <w:rFonts w:asciiTheme="minorHAnsi" w:eastAsia="MS Gothic" w:hAnsiTheme="minorHAnsi" w:cstheme="minorHAnsi"/>
      <w:b/>
      <w:bCs/>
      <w:color w:val="000000" w:themeColor="text1"/>
      <w:sz w:val="28"/>
      <w:szCs w:val="28"/>
    </w:rPr>
  </w:style>
  <w:style w:type="paragraph" w:styleId="Heading3">
    <w:name w:val="heading 3"/>
    <w:basedOn w:val="BaseHeading"/>
    <w:next w:val="Level1"/>
    <w:link w:val="Heading3Char"/>
    <w:uiPriority w:val="9"/>
    <w:qFormat/>
    <w:rsid w:val="00687FE0"/>
    <w:pPr>
      <w:spacing w:before="240" w:after="240" w:line="245" w:lineRule="auto"/>
      <w:ind w:left="720"/>
      <w:outlineLvl w:val="2"/>
    </w:pPr>
    <w:rPr>
      <w:rFonts w:ascii="Open Sans SemiBold" w:eastAsia="MS Gothic" w:hAnsi="Open Sans SemiBold" w:cstheme="minorHAnsi"/>
      <w:b/>
      <w:bCs/>
      <w:color w:val="000000" w:themeColor="text1"/>
      <w:sz w:val="24"/>
      <w:szCs w:val="24"/>
    </w:rPr>
  </w:style>
  <w:style w:type="paragraph" w:styleId="Heading4">
    <w:name w:val="heading 4"/>
    <w:basedOn w:val="BaseHeading"/>
    <w:next w:val="Normal"/>
    <w:link w:val="Heading4Char"/>
    <w:uiPriority w:val="9"/>
    <w:unhideWhenUsed/>
    <w:qFormat/>
    <w:rsid w:val="00687FE0"/>
    <w:pPr>
      <w:spacing w:before="240" w:line="240" w:lineRule="atLeast"/>
      <w:ind w:left="720"/>
      <w:outlineLvl w:val="3"/>
    </w:pPr>
    <w:rPr>
      <w:rFonts w:asciiTheme="minorHAnsi" w:eastAsiaTheme="majorEastAsia" w:hAnsiTheme="minorHAnsi" w:cstheme="minorHAnsi"/>
      <w:b/>
      <w:bCs/>
      <w:caps/>
      <w:color w:val="55489D" w:themeColor="accent1"/>
    </w:rPr>
  </w:style>
  <w:style w:type="paragraph" w:styleId="Heading5">
    <w:name w:val="heading 5"/>
    <w:basedOn w:val="BaseHeading"/>
    <w:next w:val="Normal"/>
    <w:link w:val="Heading5Char"/>
    <w:uiPriority w:val="9"/>
    <w:unhideWhenUsed/>
    <w:qFormat/>
    <w:rsid w:val="00687FE0"/>
    <w:pPr>
      <w:spacing w:before="40"/>
      <w:ind w:left="720"/>
      <w:outlineLvl w:val="4"/>
    </w:pPr>
    <w:rPr>
      <w:rFonts w:asciiTheme="minorHAnsi" w:eastAsiaTheme="majorEastAsia" w:hAnsiTheme="minorHAnsi" w:cstheme="majorBidi"/>
      <w:color w:val="55489D" w:themeColor="accent1"/>
    </w:rPr>
  </w:style>
  <w:style w:type="paragraph" w:styleId="Heading6">
    <w:name w:val="heading 6"/>
    <w:basedOn w:val="Normal"/>
    <w:next w:val="Normal"/>
    <w:link w:val="Heading6Char"/>
    <w:uiPriority w:val="9"/>
    <w:semiHidden/>
    <w:qFormat/>
    <w:rsid w:val="000D6EED"/>
    <w:pPr>
      <w:keepNext/>
      <w:keepLines/>
      <w:spacing w:before="40"/>
      <w:outlineLvl w:val="5"/>
    </w:pPr>
    <w:rPr>
      <w:rFonts w:asciiTheme="majorHAnsi" w:eastAsiaTheme="majorEastAsia" w:hAnsiTheme="majorHAnsi" w:cstheme="majorBidi"/>
      <w:color w:val="55489D" w:themeColor="accent1"/>
      <w:sz w:val="22"/>
    </w:rPr>
  </w:style>
  <w:style w:type="paragraph" w:styleId="Heading7">
    <w:name w:val="heading 7"/>
    <w:basedOn w:val="Normal"/>
    <w:next w:val="Normal"/>
    <w:link w:val="Heading7Char"/>
    <w:uiPriority w:val="9"/>
    <w:semiHidden/>
    <w:unhideWhenUsed/>
    <w:qFormat/>
    <w:rsid w:val="000D6EED"/>
    <w:pPr>
      <w:keepNext/>
      <w:keepLines/>
      <w:spacing w:before="40"/>
      <w:outlineLvl w:val="6"/>
    </w:pPr>
    <w:rPr>
      <w:rFonts w:asciiTheme="majorHAnsi" w:eastAsiaTheme="majorEastAsia" w:hAnsiTheme="majorHAnsi" w:cstheme="majorBidi"/>
      <w:i/>
      <w:iCs/>
      <w:color w:val="55489D" w:themeColor="accent1"/>
      <w:sz w:val="22"/>
    </w:rPr>
  </w:style>
  <w:style w:type="paragraph" w:styleId="Heading8">
    <w:name w:val="heading 8"/>
    <w:basedOn w:val="Normal"/>
    <w:next w:val="Normal"/>
    <w:link w:val="Heading8Char"/>
    <w:uiPriority w:val="9"/>
    <w:semiHidden/>
    <w:unhideWhenUsed/>
    <w:qFormat/>
    <w:rsid w:val="000D6EED"/>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0D6EED"/>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unhideWhenUsed/>
    <w:rsid w:val="000D6EED"/>
  </w:style>
  <w:style w:type="character" w:customStyle="1" w:styleId="HeaderChar">
    <w:name w:val="Header Char"/>
    <w:basedOn w:val="DefaultParagraphFont"/>
    <w:link w:val="Header"/>
    <w:uiPriority w:val="99"/>
    <w:rsid w:val="000D6EED"/>
    <w:rPr>
      <w:sz w:val="16"/>
      <w:lang w:val="en-GB"/>
    </w:rPr>
  </w:style>
  <w:style w:type="paragraph" w:styleId="Footer">
    <w:name w:val="footer"/>
    <w:basedOn w:val="BaseText"/>
    <w:link w:val="FooterChar"/>
    <w:uiPriority w:val="99"/>
    <w:unhideWhenUsed/>
    <w:rsid w:val="000D6EED"/>
    <w:pPr>
      <w:tabs>
        <w:tab w:val="center" w:pos="4513"/>
        <w:tab w:val="right" w:pos="9026"/>
      </w:tabs>
    </w:pPr>
    <w:rPr>
      <w:sz w:val="16"/>
    </w:rPr>
  </w:style>
  <w:style w:type="character" w:customStyle="1" w:styleId="FooterChar">
    <w:name w:val="Footer Char"/>
    <w:basedOn w:val="DefaultParagraphFont"/>
    <w:link w:val="Footer"/>
    <w:uiPriority w:val="99"/>
    <w:rsid w:val="000D6EED"/>
    <w:rPr>
      <w:sz w:val="16"/>
      <w:lang w:val="en-GB"/>
    </w:rPr>
  </w:style>
  <w:style w:type="character" w:customStyle="1" w:styleId="Heading1Char">
    <w:name w:val="Heading 1 Char"/>
    <w:aliases w:val="Report Heading Char,GVA Heading Char"/>
    <w:basedOn w:val="DefaultParagraphFont"/>
    <w:link w:val="Heading1"/>
    <w:uiPriority w:val="9"/>
    <w:rsid w:val="00667FA9"/>
    <w:rPr>
      <w:rFonts w:asciiTheme="majorHAnsi" w:eastAsia="Open Sans" w:hAnsiTheme="majorHAnsi" w:cs="Times New Roman"/>
      <w:b/>
      <w:color w:val="000000" w:themeColor="text1"/>
      <w:sz w:val="36"/>
      <w:lang w:val="en-GB"/>
    </w:rPr>
  </w:style>
  <w:style w:type="paragraph" w:styleId="NoSpacing">
    <w:name w:val="No Spacing"/>
    <w:basedOn w:val="BaseText"/>
    <w:rsid w:val="000D6EED"/>
    <w:pPr>
      <w:spacing w:line="245" w:lineRule="auto"/>
    </w:pPr>
    <w:rPr>
      <w:rFonts w:ascii="Open Sans" w:hAnsi="Open Sans"/>
    </w:rPr>
  </w:style>
  <w:style w:type="table" w:styleId="TableGrid">
    <w:name w:val="Table Grid"/>
    <w:basedOn w:val="TableNormal"/>
    <w:uiPriority w:val="59"/>
    <w:rsid w:val="000D6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next w:val="Normal"/>
    <w:uiPriority w:val="34"/>
    <w:qFormat/>
    <w:rsid w:val="000D6EED"/>
    <w:rPr>
      <w:rFonts w:ascii="Open Sans SemiBold" w:eastAsia="Times New Roman" w:hAnsi="Open Sans SemiBold" w:cs="Arial"/>
      <w:b/>
      <w:bCs/>
      <w:kern w:val="32"/>
      <w:sz w:val="32"/>
      <w:szCs w:val="32"/>
    </w:rPr>
  </w:style>
  <w:style w:type="character" w:customStyle="1" w:styleId="Heading2Char">
    <w:name w:val="Heading 2 Char"/>
    <w:basedOn w:val="DefaultParagraphFont"/>
    <w:link w:val="Heading2"/>
    <w:uiPriority w:val="9"/>
    <w:rsid w:val="00687FE0"/>
    <w:rPr>
      <w:rFonts w:eastAsia="MS Gothic" w:cstheme="minorHAnsi"/>
      <w:b/>
      <w:bCs/>
      <w:color w:val="000000" w:themeColor="text1"/>
      <w:sz w:val="28"/>
      <w:szCs w:val="28"/>
      <w:lang w:val="en-GB"/>
    </w:rPr>
  </w:style>
  <w:style w:type="paragraph" w:customStyle="1" w:styleId="Heading1noTOC">
    <w:name w:val="Heading 1 (no TOC)"/>
    <w:basedOn w:val="Heading1"/>
    <w:uiPriority w:val="9"/>
    <w:qFormat/>
    <w:rsid w:val="00667FA9"/>
    <w:pPr>
      <w:outlineLvl w:val="9"/>
    </w:pPr>
  </w:style>
  <w:style w:type="character" w:customStyle="1" w:styleId="Heading3Char">
    <w:name w:val="Heading 3 Char"/>
    <w:basedOn w:val="DefaultParagraphFont"/>
    <w:link w:val="Heading3"/>
    <w:uiPriority w:val="9"/>
    <w:rsid w:val="00687FE0"/>
    <w:rPr>
      <w:rFonts w:ascii="Open Sans SemiBold" w:eastAsia="MS Gothic" w:hAnsi="Open Sans SemiBold" w:cstheme="minorHAnsi"/>
      <w:b/>
      <w:bCs/>
      <w:color w:val="000000" w:themeColor="text1"/>
      <w:sz w:val="24"/>
      <w:szCs w:val="24"/>
      <w:lang w:val="en-GB"/>
    </w:rPr>
  </w:style>
  <w:style w:type="character" w:customStyle="1" w:styleId="Heading4Char">
    <w:name w:val="Heading 4 Char"/>
    <w:basedOn w:val="DefaultParagraphFont"/>
    <w:link w:val="Heading4"/>
    <w:uiPriority w:val="9"/>
    <w:rsid w:val="00687FE0"/>
    <w:rPr>
      <w:rFonts w:eastAsiaTheme="majorEastAsia" w:cstheme="minorHAnsi"/>
      <w:b/>
      <w:bCs/>
      <w:caps/>
      <w:color w:val="55489D" w:themeColor="accent1"/>
      <w:lang w:val="en-GB"/>
    </w:rPr>
  </w:style>
  <w:style w:type="character" w:customStyle="1" w:styleId="Heading5Char">
    <w:name w:val="Heading 5 Char"/>
    <w:basedOn w:val="DefaultParagraphFont"/>
    <w:link w:val="Heading5"/>
    <w:uiPriority w:val="9"/>
    <w:rsid w:val="00687FE0"/>
    <w:rPr>
      <w:rFonts w:eastAsiaTheme="majorEastAsia" w:cstheme="majorBidi"/>
      <w:color w:val="55489D" w:themeColor="accent1"/>
      <w:lang w:val="en-GB"/>
    </w:rPr>
  </w:style>
  <w:style w:type="character" w:customStyle="1" w:styleId="Heading6Char">
    <w:name w:val="Heading 6 Char"/>
    <w:basedOn w:val="DefaultParagraphFont"/>
    <w:link w:val="Heading6"/>
    <w:uiPriority w:val="9"/>
    <w:semiHidden/>
    <w:rsid w:val="000D6EED"/>
    <w:rPr>
      <w:rFonts w:asciiTheme="majorHAnsi" w:eastAsiaTheme="majorEastAsia" w:hAnsiTheme="majorHAnsi" w:cstheme="majorBidi"/>
      <w:color w:val="55489D" w:themeColor="accent1"/>
      <w:lang w:val="en-GB"/>
    </w:rPr>
  </w:style>
  <w:style w:type="character" w:customStyle="1" w:styleId="Heading7Char">
    <w:name w:val="Heading 7 Char"/>
    <w:basedOn w:val="DefaultParagraphFont"/>
    <w:link w:val="Heading7"/>
    <w:uiPriority w:val="9"/>
    <w:semiHidden/>
    <w:rsid w:val="000D6EED"/>
    <w:rPr>
      <w:rFonts w:asciiTheme="majorHAnsi" w:eastAsiaTheme="majorEastAsia" w:hAnsiTheme="majorHAnsi" w:cstheme="majorBidi"/>
      <w:i/>
      <w:iCs/>
      <w:color w:val="55489D" w:themeColor="accent1"/>
      <w:lang w:val="en-GB"/>
    </w:rPr>
  </w:style>
  <w:style w:type="character" w:customStyle="1" w:styleId="Heading8Char">
    <w:name w:val="Heading 8 Char"/>
    <w:basedOn w:val="DefaultParagraphFont"/>
    <w:link w:val="Heading8"/>
    <w:uiPriority w:val="9"/>
    <w:semiHidden/>
    <w:rsid w:val="000D6EED"/>
    <w:rPr>
      <w:rFonts w:asciiTheme="majorHAnsi" w:eastAsiaTheme="majorEastAsia" w:hAnsiTheme="majorHAnsi" w:cstheme="majorBidi"/>
      <w:color w:val="272727" w:themeColor="text1" w:themeTint="D8"/>
      <w:szCs w:val="21"/>
      <w:lang w:val="en-GB"/>
    </w:rPr>
  </w:style>
  <w:style w:type="character" w:customStyle="1" w:styleId="Heading9Char">
    <w:name w:val="Heading 9 Char"/>
    <w:basedOn w:val="DefaultParagraphFont"/>
    <w:link w:val="Heading9"/>
    <w:uiPriority w:val="9"/>
    <w:semiHidden/>
    <w:rsid w:val="000D6EED"/>
    <w:rPr>
      <w:rFonts w:asciiTheme="majorHAnsi" w:eastAsiaTheme="majorEastAsia" w:hAnsiTheme="majorHAnsi" w:cstheme="majorBidi"/>
      <w:i/>
      <w:iCs/>
      <w:color w:val="272727" w:themeColor="text1" w:themeTint="D8"/>
      <w:szCs w:val="21"/>
      <w:lang w:val="en-GB"/>
    </w:rPr>
  </w:style>
  <w:style w:type="paragraph" w:customStyle="1" w:styleId="CoverDate">
    <w:name w:val="Cover Date"/>
    <w:basedOn w:val="BaseText"/>
    <w:uiPriority w:val="18"/>
    <w:rsid w:val="000D6EED"/>
    <w:rPr>
      <w:color w:val="3A4458" w:themeColor="text2"/>
      <w:szCs w:val="16"/>
    </w:rPr>
  </w:style>
  <w:style w:type="paragraph" w:styleId="TOC1">
    <w:name w:val="toc 1"/>
    <w:basedOn w:val="Normal"/>
    <w:next w:val="Normal"/>
    <w:uiPriority w:val="39"/>
    <w:unhideWhenUsed/>
    <w:rsid w:val="00D5655A"/>
    <w:pPr>
      <w:tabs>
        <w:tab w:val="left" w:pos="720"/>
        <w:tab w:val="left" w:pos="1418"/>
        <w:tab w:val="right" w:leader="dot" w:pos="9781"/>
      </w:tabs>
      <w:spacing w:after="100"/>
      <w:ind w:right="85"/>
    </w:pPr>
  </w:style>
  <w:style w:type="paragraph" w:styleId="TOC2">
    <w:name w:val="toc 2"/>
    <w:basedOn w:val="Normal"/>
    <w:next w:val="Normal"/>
    <w:autoRedefine/>
    <w:uiPriority w:val="39"/>
    <w:unhideWhenUsed/>
    <w:rsid w:val="00260773"/>
    <w:pPr>
      <w:tabs>
        <w:tab w:val="left" w:pos="720"/>
        <w:tab w:val="right" w:leader="dot" w:pos="9781"/>
      </w:tabs>
      <w:spacing w:after="100"/>
    </w:pPr>
  </w:style>
  <w:style w:type="character" w:styleId="Hyperlink">
    <w:name w:val="Hyperlink"/>
    <w:basedOn w:val="DefaultParagraphFont"/>
    <w:uiPriority w:val="99"/>
    <w:unhideWhenUsed/>
    <w:rsid w:val="000D6EED"/>
    <w:rPr>
      <w:rFonts w:ascii="Open Sans" w:hAnsi="Open Sans"/>
      <w:noProof w:val="0"/>
      <w:color w:val="auto"/>
      <w:u w:val="single"/>
      <w:lang w:val="en-GB"/>
    </w:rPr>
  </w:style>
  <w:style w:type="paragraph" w:customStyle="1" w:styleId="Appendix">
    <w:name w:val="Appendix"/>
    <w:basedOn w:val="BaseHeading"/>
    <w:next w:val="BodyText"/>
    <w:uiPriority w:val="9"/>
    <w:qFormat/>
    <w:rsid w:val="00AD3DF5"/>
    <w:pPr>
      <w:pageBreakBefore/>
      <w:numPr>
        <w:numId w:val="11"/>
      </w:numPr>
      <w:spacing w:before="120"/>
    </w:pPr>
    <w:rPr>
      <w:rFonts w:asciiTheme="minorHAnsi" w:eastAsia="Times New Roman" w:hAnsiTheme="minorHAnsi" w:cs="Arial"/>
      <w:bCs/>
      <w:color w:val="000000" w:themeColor="text1"/>
      <w:kern w:val="32"/>
      <w:sz w:val="40"/>
      <w:szCs w:val="36"/>
    </w:rPr>
  </w:style>
  <w:style w:type="paragraph" w:customStyle="1" w:styleId="LSTOC1">
    <w:name w:val="LS TOC 1"/>
    <w:basedOn w:val="TOC1"/>
    <w:semiHidden/>
    <w:qFormat/>
    <w:rsid w:val="000D6EED"/>
    <w:pPr>
      <w:tabs>
        <w:tab w:val="clear" w:pos="9781"/>
        <w:tab w:val="right" w:leader="dot" w:pos="15384"/>
      </w:tabs>
    </w:pPr>
  </w:style>
  <w:style w:type="paragraph" w:styleId="Title">
    <w:name w:val="Title"/>
    <w:basedOn w:val="BaseHeading"/>
    <w:next w:val="Subtitle"/>
    <w:link w:val="TitleChar"/>
    <w:uiPriority w:val="11"/>
    <w:qFormat/>
    <w:rsid w:val="00C03D1C"/>
    <w:pPr>
      <w:spacing w:before="240" w:line="216" w:lineRule="auto"/>
      <w:ind w:right="3005"/>
      <w:contextualSpacing/>
    </w:pPr>
    <w:rPr>
      <w:rFonts w:ascii="GeoSlab703 Md BT" w:eastAsia="MS Gothic" w:hAnsi="GeoSlab703 Md BT" w:cs="Times New Roman"/>
      <w:sz w:val="72"/>
      <w:szCs w:val="56"/>
    </w:rPr>
  </w:style>
  <w:style w:type="character" w:customStyle="1" w:styleId="TitleChar">
    <w:name w:val="Title Char"/>
    <w:basedOn w:val="DefaultParagraphFont"/>
    <w:link w:val="Title"/>
    <w:uiPriority w:val="11"/>
    <w:rsid w:val="00C03D1C"/>
    <w:rPr>
      <w:rFonts w:ascii="GeoSlab703 Md BT" w:eastAsia="MS Gothic" w:hAnsi="GeoSlab703 Md BT" w:cs="Times New Roman"/>
      <w:color w:val="3A4458" w:themeColor="text2"/>
      <w:sz w:val="72"/>
      <w:szCs w:val="56"/>
      <w:lang w:val="en-GB"/>
    </w:rPr>
  </w:style>
  <w:style w:type="paragraph" w:styleId="Subtitle">
    <w:name w:val="Subtitle"/>
    <w:basedOn w:val="BaseText"/>
    <w:next w:val="BodyText"/>
    <w:link w:val="SubtitleChar"/>
    <w:uiPriority w:val="12"/>
    <w:qFormat/>
    <w:rsid w:val="00C03D1C"/>
    <w:pPr>
      <w:keepNext/>
      <w:keepLines/>
      <w:numPr>
        <w:ilvl w:val="1"/>
      </w:numPr>
      <w:spacing w:before="240" w:after="480" w:line="245" w:lineRule="auto"/>
    </w:pPr>
    <w:rPr>
      <w:rFonts w:eastAsia="MS Mincho" w:cs="Open Sans"/>
      <w:color w:val="181F2F"/>
      <w:sz w:val="28"/>
      <w:szCs w:val="24"/>
    </w:rPr>
  </w:style>
  <w:style w:type="character" w:customStyle="1" w:styleId="SubtitleChar">
    <w:name w:val="Subtitle Char"/>
    <w:basedOn w:val="DefaultParagraphFont"/>
    <w:link w:val="Subtitle"/>
    <w:uiPriority w:val="12"/>
    <w:rsid w:val="00C03D1C"/>
    <w:rPr>
      <w:rFonts w:eastAsia="MS Mincho" w:cs="Open Sans"/>
      <w:color w:val="181F2F"/>
      <w:sz w:val="28"/>
      <w:szCs w:val="24"/>
      <w:lang w:val="en-GB"/>
    </w:rPr>
  </w:style>
  <w:style w:type="character" w:styleId="PlaceholderText">
    <w:name w:val="Placeholder Text"/>
    <w:basedOn w:val="DefaultParagraphFont"/>
    <w:uiPriority w:val="99"/>
    <w:semiHidden/>
    <w:rsid w:val="000D6EED"/>
    <w:rPr>
      <w:color w:val="808080"/>
      <w:lang w:val="en-GB"/>
    </w:rPr>
  </w:style>
  <w:style w:type="paragraph" w:styleId="BalloonText">
    <w:name w:val="Balloon Text"/>
    <w:basedOn w:val="Normal"/>
    <w:link w:val="BalloonTextChar"/>
    <w:uiPriority w:val="99"/>
    <w:semiHidden/>
    <w:unhideWhenUsed/>
    <w:locked/>
    <w:rsid w:val="000D6EED"/>
    <w:rPr>
      <w:rFonts w:ascii="Tahoma" w:hAnsi="Tahoma" w:cs="Tahoma"/>
      <w:sz w:val="16"/>
      <w:szCs w:val="16"/>
    </w:rPr>
  </w:style>
  <w:style w:type="character" w:customStyle="1" w:styleId="BalloonTextChar">
    <w:name w:val="Balloon Text Char"/>
    <w:basedOn w:val="DefaultParagraphFont"/>
    <w:link w:val="BalloonText"/>
    <w:uiPriority w:val="99"/>
    <w:semiHidden/>
    <w:rsid w:val="000D6EED"/>
    <w:rPr>
      <w:rFonts w:ascii="Tahoma" w:eastAsiaTheme="minorEastAsia" w:hAnsi="Tahoma" w:cs="Tahoma"/>
      <w:sz w:val="16"/>
      <w:szCs w:val="16"/>
      <w:lang w:val="en-GB"/>
    </w:rPr>
  </w:style>
  <w:style w:type="table" w:customStyle="1" w:styleId="GVATable">
    <w:name w:val="GVA Table"/>
    <w:basedOn w:val="TableNormal"/>
    <w:uiPriority w:val="99"/>
    <w:rsid w:val="000D6EED"/>
    <w:pPr>
      <w:spacing w:before="120" w:after="12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themeColor="background1"/>
      </w:rPr>
      <w:tblPr/>
      <w:tcPr>
        <w:shd w:val="clear" w:color="auto" w:fill="55489D" w:themeFill="accent1"/>
      </w:tcPr>
    </w:tblStylePr>
  </w:style>
  <w:style w:type="table" w:customStyle="1" w:styleId="GridTable1Light1">
    <w:name w:val="Grid Table 1 Light1"/>
    <w:basedOn w:val="TableNormal"/>
    <w:uiPriority w:val="46"/>
    <w:rsid w:val="000D6E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rsid w:val="000D6E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OCAppendices">
    <w:name w:val="TOC Appendices"/>
    <w:basedOn w:val="TOCHeader"/>
    <w:uiPriority w:val="34"/>
    <w:qFormat/>
    <w:rsid w:val="00C03D1C"/>
    <w:pPr>
      <w:spacing w:before="600" w:after="120"/>
    </w:pPr>
    <w:rPr>
      <w:sz w:val="24"/>
      <w:szCs w:val="24"/>
    </w:rPr>
  </w:style>
  <w:style w:type="character" w:styleId="CommentReference">
    <w:name w:val="annotation reference"/>
    <w:basedOn w:val="DefaultParagraphFont"/>
    <w:uiPriority w:val="99"/>
    <w:semiHidden/>
    <w:unhideWhenUsed/>
    <w:rsid w:val="000D6EED"/>
    <w:rPr>
      <w:sz w:val="16"/>
      <w:szCs w:val="16"/>
      <w:lang w:val="en-GB"/>
    </w:rPr>
  </w:style>
  <w:style w:type="paragraph" w:styleId="CommentText">
    <w:name w:val="annotation text"/>
    <w:basedOn w:val="Normal"/>
    <w:link w:val="CommentTextChar"/>
    <w:uiPriority w:val="99"/>
    <w:unhideWhenUsed/>
    <w:rsid w:val="000D6EED"/>
    <w:rPr>
      <w:szCs w:val="20"/>
    </w:rPr>
  </w:style>
  <w:style w:type="character" w:customStyle="1" w:styleId="CommentTextChar">
    <w:name w:val="Comment Text Char"/>
    <w:basedOn w:val="DefaultParagraphFont"/>
    <w:link w:val="CommentText"/>
    <w:uiPriority w:val="99"/>
    <w:rsid w:val="000D6EED"/>
    <w:rPr>
      <w:rFonts w:ascii="Open Sans" w:eastAsiaTheme="minorEastAsia" w:hAnsi="Open Sans"/>
      <w:sz w:val="20"/>
      <w:szCs w:val="20"/>
      <w:lang w:val="en-GB"/>
    </w:rPr>
  </w:style>
  <w:style w:type="paragraph" w:styleId="CommentSubject">
    <w:name w:val="annotation subject"/>
    <w:basedOn w:val="CommentText"/>
    <w:next w:val="CommentText"/>
    <w:link w:val="CommentSubjectChar"/>
    <w:uiPriority w:val="99"/>
    <w:semiHidden/>
    <w:unhideWhenUsed/>
    <w:rsid w:val="000D6EED"/>
    <w:rPr>
      <w:b/>
      <w:bCs/>
    </w:rPr>
  </w:style>
  <w:style w:type="character" w:customStyle="1" w:styleId="CommentSubjectChar">
    <w:name w:val="Comment Subject Char"/>
    <w:basedOn w:val="CommentTextChar"/>
    <w:link w:val="CommentSubject"/>
    <w:uiPriority w:val="99"/>
    <w:semiHidden/>
    <w:rsid w:val="000D6EED"/>
    <w:rPr>
      <w:rFonts w:ascii="Open Sans" w:eastAsiaTheme="minorEastAsia" w:hAnsi="Open Sans"/>
      <w:b/>
      <w:bCs/>
      <w:sz w:val="20"/>
      <w:szCs w:val="20"/>
      <w:lang w:val="en-GB"/>
    </w:rPr>
  </w:style>
  <w:style w:type="paragraph" w:customStyle="1" w:styleId="BaseStyle">
    <w:name w:val="___Base Style"/>
    <w:semiHidden/>
    <w:rsid w:val="000D6EED"/>
    <w:pPr>
      <w:spacing w:after="0" w:line="276" w:lineRule="auto"/>
    </w:pPr>
  </w:style>
  <w:style w:type="paragraph" w:customStyle="1" w:styleId="BaseTable">
    <w:name w:val="___Base Table"/>
    <w:semiHidden/>
    <w:rsid w:val="000D6EED"/>
    <w:pPr>
      <w:spacing w:after="200" w:line="240" w:lineRule="atLeast"/>
    </w:pPr>
  </w:style>
  <w:style w:type="paragraph" w:customStyle="1" w:styleId="1ptspacer">
    <w:name w:val="__1pt spacer"/>
    <w:basedOn w:val="BaseStyle"/>
    <w:next w:val="BodyText"/>
    <w:semiHidden/>
    <w:rsid w:val="000D6EED"/>
    <w:pPr>
      <w:spacing w:line="20" w:lineRule="exact"/>
    </w:pPr>
    <w:rPr>
      <w:sz w:val="2"/>
    </w:rPr>
  </w:style>
  <w:style w:type="paragraph" w:styleId="BodyText">
    <w:name w:val="Body Text"/>
    <w:basedOn w:val="BaseText"/>
    <w:link w:val="BodyTextChar"/>
    <w:uiPriority w:val="2"/>
    <w:qFormat/>
    <w:rsid w:val="00D734A2"/>
    <w:pPr>
      <w:spacing w:after="240" w:line="245" w:lineRule="auto"/>
      <w:ind w:left="720"/>
    </w:pPr>
  </w:style>
  <w:style w:type="character" w:customStyle="1" w:styleId="BodyTextChar">
    <w:name w:val="Body Text Char"/>
    <w:basedOn w:val="DefaultParagraphFont"/>
    <w:link w:val="BodyText"/>
    <w:uiPriority w:val="2"/>
    <w:rsid w:val="00D734A2"/>
    <w:rPr>
      <w:sz w:val="20"/>
      <w:lang w:val="en-GB"/>
    </w:rPr>
  </w:style>
  <w:style w:type="paragraph" w:customStyle="1" w:styleId="BaseHeading">
    <w:name w:val="__Base Heading"/>
    <w:basedOn w:val="BaseStyle"/>
    <w:next w:val="BodyText"/>
    <w:semiHidden/>
    <w:rsid w:val="000D6EED"/>
    <w:pPr>
      <w:keepNext/>
      <w:keepLines/>
    </w:pPr>
    <w:rPr>
      <w:rFonts w:asciiTheme="majorHAnsi" w:hAnsiTheme="majorHAnsi"/>
      <w:color w:val="3A4458" w:themeColor="text2"/>
    </w:rPr>
  </w:style>
  <w:style w:type="paragraph" w:customStyle="1" w:styleId="BaseText">
    <w:name w:val="__Base Text"/>
    <w:basedOn w:val="BaseStyle"/>
    <w:semiHidden/>
    <w:rsid w:val="000D6EED"/>
    <w:rPr>
      <w:sz w:val="20"/>
    </w:rPr>
  </w:style>
  <w:style w:type="numbering" w:customStyle="1" w:styleId="ListBullets">
    <w:name w:val="__List Bullets"/>
    <w:rsid w:val="000D6EED"/>
    <w:pPr>
      <w:numPr>
        <w:numId w:val="1"/>
      </w:numPr>
    </w:pPr>
  </w:style>
  <w:style w:type="numbering" w:customStyle="1" w:styleId="ListNumbers">
    <w:name w:val="__List Numbers"/>
    <w:rsid w:val="000D6EED"/>
    <w:pPr>
      <w:numPr>
        <w:numId w:val="2"/>
      </w:numPr>
    </w:pPr>
  </w:style>
  <w:style w:type="paragraph" w:customStyle="1" w:styleId="Placeholder">
    <w:name w:val="__Placeholder"/>
    <w:basedOn w:val="BaseText"/>
    <w:next w:val="BodyText"/>
    <w:semiHidden/>
    <w:rsid w:val="000D6EED"/>
    <w:pPr>
      <w:spacing w:line="240" w:lineRule="auto"/>
      <w:jc w:val="center"/>
    </w:pPr>
  </w:style>
  <w:style w:type="paragraph" w:customStyle="1" w:styleId="TableSpaceAfter">
    <w:name w:val="__TableSpaceAfter"/>
    <w:basedOn w:val="Normal"/>
    <w:next w:val="BodyText"/>
    <w:semiHidden/>
    <w:rsid w:val="000D6EED"/>
    <w:pPr>
      <w:spacing w:line="20" w:lineRule="exact"/>
    </w:pPr>
    <w:rPr>
      <w:rFonts w:asciiTheme="minorHAnsi" w:eastAsiaTheme="minorHAnsi" w:hAnsiTheme="minorHAnsi"/>
      <w:sz w:val="2"/>
    </w:rPr>
  </w:style>
  <w:style w:type="paragraph" w:styleId="ListBullet">
    <w:name w:val="List Bullet"/>
    <w:basedOn w:val="BodyText"/>
    <w:uiPriority w:val="1"/>
    <w:qFormat/>
    <w:rsid w:val="000D6EED"/>
    <w:pPr>
      <w:numPr>
        <w:numId w:val="5"/>
      </w:numPr>
      <w:contextualSpacing/>
    </w:pPr>
  </w:style>
  <w:style w:type="paragraph" w:styleId="ListNumber">
    <w:name w:val="List Number"/>
    <w:basedOn w:val="BodyText"/>
    <w:uiPriority w:val="1"/>
    <w:rsid w:val="000D6EED"/>
    <w:pPr>
      <w:numPr>
        <w:numId w:val="6"/>
      </w:numPr>
      <w:contextualSpacing/>
    </w:pPr>
  </w:style>
  <w:style w:type="character" w:customStyle="1" w:styleId="Accent1">
    <w:name w:val="Accent 1"/>
    <w:basedOn w:val="DefaultParagraphFont"/>
    <w:uiPriority w:val="41"/>
    <w:qFormat/>
    <w:rsid w:val="000D6EED"/>
    <w:rPr>
      <w:color w:val="55489D" w:themeColor="accent1"/>
      <w:lang w:val="en-GB"/>
    </w:rPr>
  </w:style>
  <w:style w:type="character" w:customStyle="1" w:styleId="Accent2">
    <w:name w:val="Accent 2"/>
    <w:basedOn w:val="DefaultParagraphFont"/>
    <w:uiPriority w:val="41"/>
    <w:qFormat/>
    <w:rsid w:val="000D6EED"/>
    <w:rPr>
      <w:color w:val="38886F" w:themeColor="accent2" w:themeShade="BF"/>
      <w:lang w:val="en-GB"/>
    </w:rPr>
  </w:style>
  <w:style w:type="character" w:customStyle="1" w:styleId="Accent3">
    <w:name w:val="Accent 3"/>
    <w:basedOn w:val="DefaultParagraphFont"/>
    <w:uiPriority w:val="41"/>
    <w:qFormat/>
    <w:rsid w:val="000D6EED"/>
    <w:rPr>
      <w:color w:val="C2450E" w:themeColor="accent3" w:themeShade="BF"/>
      <w:lang w:val="en-GB"/>
    </w:rPr>
  </w:style>
  <w:style w:type="character" w:customStyle="1" w:styleId="Accent4">
    <w:name w:val="Accent 4"/>
    <w:basedOn w:val="DefaultParagraphFont"/>
    <w:uiPriority w:val="41"/>
    <w:qFormat/>
    <w:rsid w:val="000D6EED"/>
    <w:rPr>
      <w:color w:val="426CB8" w:themeColor="accent4" w:themeShade="BF"/>
      <w:lang w:val="en-GB"/>
    </w:rPr>
  </w:style>
  <w:style w:type="character" w:customStyle="1" w:styleId="Accent5">
    <w:name w:val="Accent 5"/>
    <w:basedOn w:val="DefaultParagraphFont"/>
    <w:uiPriority w:val="41"/>
    <w:qFormat/>
    <w:rsid w:val="000D6EED"/>
    <w:rPr>
      <w:color w:val="815972" w:themeColor="accent5" w:themeShade="BF"/>
      <w:lang w:val="en-GB"/>
    </w:rPr>
  </w:style>
  <w:style w:type="character" w:customStyle="1" w:styleId="Accent6">
    <w:name w:val="Accent 6"/>
    <w:basedOn w:val="DefaultParagraphFont"/>
    <w:uiPriority w:val="41"/>
    <w:qFormat/>
    <w:rsid w:val="000D6EED"/>
    <w:rPr>
      <w:color w:val="5D5654" w:themeColor="accent6" w:themeShade="BF"/>
      <w:lang w:val="en-GB"/>
    </w:rPr>
  </w:style>
  <w:style w:type="table" w:customStyle="1" w:styleId="AYBlue">
    <w:name w:val="AY Blue"/>
    <w:basedOn w:val="TableNormal"/>
    <w:uiPriority w:val="99"/>
    <w:rsid w:val="000D6EED"/>
    <w:pPr>
      <w:spacing w:before="60" w:after="60" w:line="240" w:lineRule="atLeast"/>
    </w:pPr>
    <w:rPr>
      <w:rFonts w:eastAsiaTheme="minorEastAsia"/>
      <w:sz w:val="20"/>
      <w:lang w:eastAsia="en-GB"/>
    </w:rPr>
    <w:tblPr>
      <w:tblBorders>
        <w:top w:val="single" w:sz="4" w:space="0" w:color="C8C9C4" w:themeColor="background2"/>
        <w:bottom w:val="single" w:sz="4" w:space="0" w:color="C8C9C4" w:themeColor="background2"/>
        <w:insideH w:val="single" w:sz="4" w:space="0" w:color="C8C9C4" w:themeColor="background2"/>
        <w:insideV w:val="single" w:sz="4" w:space="0" w:color="C8C9C4" w:themeColor="background2"/>
      </w:tblBorders>
    </w:tblPr>
    <w:trPr>
      <w:cantSplit/>
    </w:trPr>
    <w:tcPr>
      <w:vAlign w:val="center"/>
    </w:tcPr>
    <w:tblStylePr w:type="firstRow">
      <w:rPr>
        <w:b/>
        <w:i w:val="0"/>
        <w:color w:val="FFFFFF" w:themeColor="background1"/>
        <w:sz w:val="22"/>
      </w:rPr>
      <w:tblPr/>
      <w:tcPr>
        <w:tcBorders>
          <w:top w:val="nil"/>
          <w:left w:val="nil"/>
          <w:bottom w:val="nil"/>
          <w:right w:val="nil"/>
          <w:insideH w:val="nil"/>
          <w:insideV w:val="nil"/>
          <w:tl2br w:val="nil"/>
          <w:tr2bl w:val="nil"/>
        </w:tcBorders>
        <w:shd w:val="clear" w:color="auto" w:fill="3A4458" w:themeFill="text2"/>
      </w:tcPr>
    </w:tblStylePr>
  </w:style>
  <w:style w:type="table" w:customStyle="1" w:styleId="AYGrey">
    <w:name w:val="AY Grey"/>
    <w:basedOn w:val="TableNormal"/>
    <w:uiPriority w:val="99"/>
    <w:rsid w:val="000D6EED"/>
    <w:pPr>
      <w:spacing w:before="120" w:after="120" w:line="240" w:lineRule="auto"/>
    </w:pPr>
    <w:rPr>
      <w:rFonts w:eastAsiaTheme="minorEastAsia"/>
      <w:sz w:val="20"/>
      <w:lang w:eastAsia="en-GB"/>
    </w:rPr>
    <w:tblPr>
      <w:tblBorders>
        <w:top w:val="single" w:sz="4" w:space="0" w:color="C8C9C4" w:themeColor="background2"/>
        <w:left w:val="single" w:sz="4" w:space="0" w:color="C8C9C4" w:themeColor="background2"/>
        <w:bottom w:val="single" w:sz="4" w:space="0" w:color="C8C9C4" w:themeColor="background2"/>
        <w:right w:val="single" w:sz="4" w:space="0" w:color="C8C9C4" w:themeColor="background2"/>
        <w:insideH w:val="single" w:sz="4" w:space="0" w:color="C8C9C4" w:themeColor="background2"/>
        <w:insideV w:val="single" w:sz="4" w:space="0" w:color="C8C9C4" w:themeColor="background2"/>
      </w:tblBorders>
    </w:tblPr>
    <w:tblStylePr w:type="firstRow">
      <w:rPr>
        <w:rFonts w:asciiTheme="minorHAnsi" w:hAnsiTheme="minorHAnsi"/>
        <w:b/>
        <w:i w:val="0"/>
        <w:caps w:val="0"/>
        <w:smallCaps w:val="0"/>
        <w:sz w:val="22"/>
      </w:rPr>
      <w:tblPr/>
      <w:tcPr>
        <w:shd w:val="clear" w:color="auto" w:fill="C8C9C4" w:themeFill="background2"/>
      </w:tcPr>
    </w:tblStylePr>
  </w:style>
  <w:style w:type="character" w:styleId="BookTitle">
    <w:name w:val="Book Title"/>
    <w:basedOn w:val="DefaultParagraphFont"/>
    <w:uiPriority w:val="33"/>
    <w:semiHidden/>
    <w:rsid w:val="000D6EED"/>
    <w:rPr>
      <w:b/>
      <w:bCs/>
      <w:i/>
      <w:iCs/>
      <w:spacing w:val="5"/>
      <w:lang w:val="en-GB"/>
    </w:rPr>
  </w:style>
  <w:style w:type="table" w:customStyle="1" w:styleId="CustomTable1">
    <w:name w:val="Custom Table 1"/>
    <w:basedOn w:val="TableNormal"/>
    <w:uiPriority w:val="99"/>
    <w:rsid w:val="000D6EED"/>
    <w:pPr>
      <w:spacing w:before="60" w:after="60" w:line="240" w:lineRule="auto"/>
      <w:ind w:left="57" w:right="57"/>
      <w:jc w:val="right"/>
    </w:pPr>
    <w:rPr>
      <w:color w:val="000000" w:themeColor="text1"/>
      <w:sz w:val="13"/>
      <w:szCs w:val="20"/>
    </w:rPr>
    <w:tblPr>
      <w:tblStyleRow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left w:w="0" w:type="dxa"/>
        <w:right w:w="0" w:type="dxa"/>
      </w:tblCellMar>
    </w:tblPr>
    <w:tblStylePr w:type="firstRow">
      <w:pPr>
        <w:wordWrap/>
        <w:spacing w:beforeLines="0" w:before="90" w:beforeAutospacing="0" w:afterLines="0" w:after="90" w:afterAutospacing="0" w:line="240" w:lineRule="auto"/>
        <w:ind w:leftChars="0" w:left="57" w:rightChars="0" w:right="57" w:firstLineChars="0" w:firstLine="0"/>
        <w:contextualSpacing w:val="0"/>
        <w:mirrorIndents w:val="0"/>
      </w:pPr>
      <w:rPr>
        <w:b/>
        <w:color w:val="3A4458" w:themeColor="text2"/>
      </w:rPr>
      <w:tblPr/>
      <w:tcPr>
        <w:tcBorders>
          <w:top w:val="single" w:sz="4" w:space="0" w:color="3A4458" w:themeColor="text2"/>
          <w:bottom w:val="single" w:sz="4" w:space="0" w:color="3A4458" w:themeColor="text2"/>
        </w:tcBorders>
      </w:tcPr>
    </w:tblStylePr>
    <w:tblStylePr w:type="lastRow">
      <w:rPr>
        <w:color w:val="3A4458" w:themeColor="text2"/>
      </w:rPr>
      <w:tblPr/>
      <w:tcPr>
        <w:tcBorders>
          <w:top w:val="single" w:sz="4" w:space="0" w:color="3A4458" w:themeColor="text2"/>
          <w:bottom w:val="single" w:sz="4" w:space="0" w:color="3A4458" w:themeColor="text2"/>
        </w:tcBorders>
      </w:tcPr>
    </w:tblStylePr>
    <w:tblStylePr w:type="firstCol">
      <w:pPr>
        <w:jc w:val="left"/>
      </w:pPr>
    </w:tblStylePr>
    <w:tblStylePr w:type="band1Horz">
      <w:rPr>
        <w:color w:val="000000" w:themeColor="text1"/>
      </w:rPr>
    </w:tblStylePr>
    <w:tblStylePr w:type="band2Horz">
      <w:rPr>
        <w:color w:val="000000" w:themeColor="text1"/>
      </w:rPr>
      <w:tblPr/>
      <w:tcPr>
        <w:tcBorders>
          <w:bottom w:val="single" w:sz="4" w:space="0" w:color="808080" w:themeColor="background1" w:themeShade="80"/>
        </w:tcBorders>
      </w:tcPr>
    </w:tblStylePr>
  </w:style>
  <w:style w:type="table" w:customStyle="1" w:styleId="CustomTable2">
    <w:name w:val="Custom Table 2"/>
    <w:basedOn w:val="TableNormal"/>
    <w:uiPriority w:val="99"/>
    <w:rsid w:val="000D6EED"/>
    <w:pPr>
      <w:spacing w:before="60" w:after="60" w:line="240" w:lineRule="auto"/>
      <w:ind w:left="57" w:right="57"/>
      <w:jc w:val="right"/>
    </w:pPr>
    <w:rPr>
      <w:color w:val="000000" w:themeColor="text1"/>
      <w:sz w:val="13"/>
      <w:szCs w:val="20"/>
    </w:rPr>
    <w:tblPr>
      <w:tblStyleRow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left w:w="0" w:type="dxa"/>
        <w:right w:w="0" w:type="dxa"/>
      </w:tblCellMar>
    </w:tblPr>
    <w:tblStylePr w:type="firstRow">
      <w:pPr>
        <w:wordWrap/>
        <w:spacing w:beforeLines="0" w:before="90" w:beforeAutospacing="0" w:afterLines="0" w:after="90" w:afterAutospacing="0" w:line="240" w:lineRule="auto"/>
        <w:ind w:leftChars="0" w:left="57" w:rightChars="0" w:right="57" w:firstLineChars="0" w:firstLine="0"/>
        <w:contextualSpacing w:val="0"/>
        <w:mirrorIndents w:val="0"/>
      </w:pPr>
      <w:rPr>
        <w:b/>
        <w:color w:val="FFFFFF" w:themeColor="background1"/>
      </w:rPr>
      <w:tblPr/>
      <w:tcPr>
        <w:shd w:val="clear" w:color="auto" w:fill="3A4458" w:themeFill="text2"/>
      </w:tcPr>
    </w:tblStylePr>
    <w:tblStylePr w:type="lastRow">
      <w:rPr>
        <w:color w:val="3A4458" w:themeColor="text2"/>
      </w:rPr>
      <w:tblPr/>
      <w:tcPr>
        <w:tcBorders>
          <w:top w:val="single" w:sz="4" w:space="0" w:color="3A4458" w:themeColor="text2"/>
          <w:bottom w:val="single" w:sz="4" w:space="0" w:color="3A4458" w:themeColor="text2"/>
        </w:tcBorders>
      </w:tcPr>
    </w:tblStylePr>
    <w:tblStylePr w:type="firstCol">
      <w:pPr>
        <w:jc w:val="left"/>
      </w:pPr>
    </w:tblStylePr>
    <w:tblStylePr w:type="band1Horz">
      <w:rPr>
        <w:color w:val="000000" w:themeColor="text1"/>
      </w:rPr>
      <w:tblPr/>
      <w:tcPr>
        <w:shd w:val="clear" w:color="auto" w:fill="FFFFFF" w:themeFill="background1"/>
      </w:tcPr>
    </w:tblStylePr>
    <w:tblStylePr w:type="band2Horz">
      <w:rPr>
        <w:color w:val="000000" w:themeColor="text1"/>
      </w:rPr>
      <w:tblPr/>
      <w:tcPr>
        <w:shd w:val="clear" w:color="auto" w:fill="D3D8E2" w:themeFill="text2" w:themeFillTint="33"/>
      </w:tcPr>
    </w:tblStylePr>
  </w:style>
  <w:style w:type="paragraph" w:styleId="DocumentMap">
    <w:name w:val="Document Map"/>
    <w:basedOn w:val="Normal"/>
    <w:link w:val="DocumentMapChar"/>
    <w:uiPriority w:val="99"/>
    <w:semiHidden/>
    <w:unhideWhenUsed/>
    <w:rsid w:val="000D6EED"/>
    <w:pPr>
      <w:spacing w:after="120" w:line="240" w:lineRule="atLeast"/>
    </w:pPr>
    <w:rPr>
      <w:rFonts w:ascii="Times New Roman" w:eastAsiaTheme="minorHAnsi" w:hAnsi="Times New Roman" w:cs="Times New Roman"/>
      <w:sz w:val="22"/>
    </w:rPr>
  </w:style>
  <w:style w:type="character" w:customStyle="1" w:styleId="DocumentMapChar">
    <w:name w:val="Document Map Char"/>
    <w:basedOn w:val="DefaultParagraphFont"/>
    <w:link w:val="DocumentMap"/>
    <w:uiPriority w:val="99"/>
    <w:semiHidden/>
    <w:rsid w:val="000D6EED"/>
    <w:rPr>
      <w:rFonts w:ascii="Times New Roman" w:hAnsi="Times New Roman" w:cs="Times New Roman"/>
      <w:lang w:val="en-GB"/>
    </w:rPr>
  </w:style>
  <w:style w:type="character" w:styleId="Emphasis">
    <w:name w:val="Emphasis"/>
    <w:basedOn w:val="DefaultParagraphFont"/>
    <w:uiPriority w:val="20"/>
    <w:qFormat/>
    <w:rsid w:val="000D6EED"/>
    <w:rPr>
      <w:i/>
      <w:iCs/>
      <w:lang w:val="en-GB"/>
    </w:rPr>
  </w:style>
  <w:style w:type="character" w:styleId="IntenseEmphasis">
    <w:name w:val="Intense Emphasis"/>
    <w:basedOn w:val="DefaultParagraphFont"/>
    <w:uiPriority w:val="21"/>
    <w:rsid w:val="000D6EED"/>
    <w:rPr>
      <w:i/>
      <w:iCs/>
      <w:color w:val="55489D" w:themeColor="accent1"/>
      <w:lang w:val="en-GB"/>
    </w:rPr>
  </w:style>
  <w:style w:type="paragraph" w:styleId="IntenseQuote">
    <w:name w:val="Intense Quote"/>
    <w:basedOn w:val="Normal"/>
    <w:next w:val="Normal"/>
    <w:link w:val="IntenseQuoteChar"/>
    <w:uiPriority w:val="30"/>
    <w:rsid w:val="000D6EED"/>
    <w:pPr>
      <w:pBdr>
        <w:top w:val="single" w:sz="4" w:space="10" w:color="55489D" w:themeColor="accent1"/>
        <w:bottom w:val="single" w:sz="4" w:space="10" w:color="55489D" w:themeColor="accent1"/>
      </w:pBdr>
      <w:spacing w:before="360" w:after="360" w:line="240" w:lineRule="atLeast"/>
      <w:ind w:left="864" w:right="864"/>
      <w:jc w:val="center"/>
    </w:pPr>
    <w:rPr>
      <w:rFonts w:asciiTheme="minorHAnsi" w:eastAsiaTheme="minorHAnsi" w:hAnsiTheme="minorHAnsi"/>
      <w:i/>
      <w:iCs/>
      <w:color w:val="55489D" w:themeColor="accent1"/>
      <w:sz w:val="22"/>
    </w:rPr>
  </w:style>
  <w:style w:type="character" w:customStyle="1" w:styleId="IntenseQuoteChar">
    <w:name w:val="Intense Quote Char"/>
    <w:basedOn w:val="DefaultParagraphFont"/>
    <w:link w:val="IntenseQuote"/>
    <w:uiPriority w:val="30"/>
    <w:rsid w:val="000D6EED"/>
    <w:rPr>
      <w:i/>
      <w:iCs/>
      <w:color w:val="55489D" w:themeColor="accent1"/>
      <w:lang w:val="en-GB"/>
    </w:rPr>
  </w:style>
  <w:style w:type="character" w:styleId="IntenseReference">
    <w:name w:val="Intense Reference"/>
    <w:basedOn w:val="DefaultParagraphFont"/>
    <w:uiPriority w:val="32"/>
    <w:rsid w:val="000D6EED"/>
    <w:rPr>
      <w:rFonts w:ascii="Open Sans" w:hAnsi="Open Sans"/>
      <w:b/>
      <w:bCs/>
      <w:i w:val="0"/>
      <w:caps/>
      <w:smallCaps w:val="0"/>
      <w:strike w:val="0"/>
      <w:dstrike w:val="0"/>
      <w:vanish w:val="0"/>
      <w:color w:val="55489D" w:themeColor="accent1"/>
      <w:spacing w:val="5"/>
      <w:vertAlign w:val="baseline"/>
      <w:lang w:val="en-GB"/>
    </w:rPr>
  </w:style>
  <w:style w:type="paragraph" w:styleId="ListParagraph">
    <w:name w:val="List Paragraph"/>
    <w:basedOn w:val="Normal"/>
    <w:uiPriority w:val="34"/>
    <w:rsid w:val="000D6EED"/>
    <w:pPr>
      <w:ind w:left="720"/>
      <w:contextualSpacing/>
    </w:pPr>
  </w:style>
  <w:style w:type="table" w:customStyle="1" w:styleId="Plain">
    <w:name w:val="Plain"/>
    <w:basedOn w:val="TableNormal"/>
    <w:rsid w:val="000D6EED"/>
    <w:pPr>
      <w:spacing w:after="0" w:line="240" w:lineRule="auto"/>
    </w:pPr>
    <w:tblPr/>
    <w:tcPr>
      <w:shd w:val="clear" w:color="auto" w:fill="auto"/>
      <w:tcMar>
        <w:left w:w="0" w:type="dxa"/>
        <w:right w:w="0" w:type="dxa"/>
      </w:tcMar>
    </w:tcPr>
  </w:style>
  <w:style w:type="paragraph" w:styleId="Quote">
    <w:name w:val="Quote"/>
    <w:basedOn w:val="Normal"/>
    <w:next w:val="Normal"/>
    <w:link w:val="QuoteChar"/>
    <w:uiPriority w:val="29"/>
    <w:rsid w:val="000D6EED"/>
    <w:pPr>
      <w:spacing w:before="200" w:after="160" w:line="240" w:lineRule="atLeast"/>
      <w:ind w:left="864" w:right="864"/>
      <w:jc w:val="center"/>
    </w:pPr>
    <w:rPr>
      <w:rFonts w:asciiTheme="minorHAnsi" w:eastAsiaTheme="minorHAnsi" w:hAnsiTheme="minorHAnsi"/>
      <w:i/>
      <w:iCs/>
      <w:color w:val="404040" w:themeColor="text1" w:themeTint="BF"/>
      <w:sz w:val="22"/>
    </w:rPr>
  </w:style>
  <w:style w:type="character" w:customStyle="1" w:styleId="QuoteChar">
    <w:name w:val="Quote Char"/>
    <w:basedOn w:val="DefaultParagraphFont"/>
    <w:link w:val="Quote"/>
    <w:uiPriority w:val="29"/>
    <w:rsid w:val="000D6EED"/>
    <w:rPr>
      <w:i/>
      <w:iCs/>
      <w:color w:val="404040" w:themeColor="text1" w:themeTint="BF"/>
      <w:lang w:val="en-GB"/>
    </w:rPr>
  </w:style>
  <w:style w:type="character" w:styleId="Strong">
    <w:name w:val="Strong"/>
    <w:basedOn w:val="DefaultParagraphFont"/>
    <w:uiPriority w:val="22"/>
    <w:rsid w:val="000D6EED"/>
    <w:rPr>
      <w:b/>
      <w:bCs/>
      <w:lang w:val="en-GB"/>
    </w:rPr>
  </w:style>
  <w:style w:type="table" w:customStyle="1" w:styleId="Style1">
    <w:name w:val="Style1"/>
    <w:basedOn w:val="TableNormal"/>
    <w:uiPriority w:val="99"/>
    <w:rsid w:val="000D6EED"/>
    <w:pPr>
      <w:spacing w:after="0" w:line="240" w:lineRule="auto"/>
    </w:pPr>
    <w:rPr>
      <w:rFonts w:eastAsiaTheme="minorEastAsia"/>
      <w:color w:val="000000" w:themeColor="text1"/>
      <w:sz w:val="20"/>
      <w:szCs w:val="24"/>
      <w:lang w:val="en-US" w:eastAsia="ja-JP"/>
    </w:rPr>
    <w:tblPr/>
  </w:style>
  <w:style w:type="character" w:styleId="SubtleEmphasis">
    <w:name w:val="Subtle Emphasis"/>
    <w:basedOn w:val="DefaultParagraphFont"/>
    <w:uiPriority w:val="19"/>
    <w:rsid w:val="000D6EED"/>
    <w:rPr>
      <w:i/>
      <w:iCs/>
      <w:color w:val="404040" w:themeColor="text1" w:themeTint="BF"/>
      <w:lang w:val="en-GB"/>
    </w:rPr>
  </w:style>
  <w:style w:type="character" w:styleId="SubtleReference">
    <w:name w:val="Subtle Reference"/>
    <w:basedOn w:val="DefaultParagraphFont"/>
    <w:uiPriority w:val="31"/>
    <w:rsid w:val="000D6EED"/>
    <w:rPr>
      <w:smallCaps/>
      <w:color w:val="5A5A5A" w:themeColor="text1" w:themeTint="A5"/>
      <w:lang w:val="en-GB"/>
    </w:rPr>
  </w:style>
  <w:style w:type="paragraph" w:customStyle="1" w:styleId="TableText">
    <w:name w:val="Table Text"/>
    <w:basedOn w:val="BaseTable"/>
    <w:uiPriority w:val="1"/>
    <w:qFormat/>
    <w:rsid w:val="000D6EED"/>
    <w:pPr>
      <w:spacing w:before="60" w:after="60" w:line="245" w:lineRule="auto"/>
    </w:pPr>
    <w:rPr>
      <w:sz w:val="20"/>
    </w:rPr>
  </w:style>
  <w:style w:type="paragraph" w:customStyle="1" w:styleId="TableTextHeaderBoldWhite">
    <w:name w:val="Table Text Header_Bold White"/>
    <w:basedOn w:val="TableText"/>
    <w:uiPriority w:val="17"/>
    <w:qFormat/>
    <w:rsid w:val="00BD469C"/>
    <w:rPr>
      <w:b/>
      <w:color w:val="FFFFFF" w:themeColor="background1"/>
    </w:rPr>
  </w:style>
  <w:style w:type="paragraph" w:customStyle="1" w:styleId="TableTextHeaderBold">
    <w:name w:val="Table Text_Header Bold"/>
    <w:basedOn w:val="TableText"/>
    <w:uiPriority w:val="17"/>
    <w:qFormat/>
    <w:rsid w:val="00BD469C"/>
    <w:rPr>
      <w:rFonts w:eastAsia="Times New Roman" w:cs="Open Sans"/>
      <w:b/>
    </w:rPr>
  </w:style>
  <w:style w:type="table" w:customStyle="1" w:styleId="AY">
    <w:name w:val="AY"/>
    <w:basedOn w:val="TableNormal"/>
    <w:uiPriority w:val="99"/>
    <w:rsid w:val="000D6EED"/>
    <w:pPr>
      <w:spacing w:before="40" w:after="40" w:line="240" w:lineRule="auto"/>
      <w:contextualSpacing/>
    </w:pPr>
    <w:rPr>
      <w:rFonts w:eastAsiaTheme="minorEastAsia"/>
      <w:sz w:val="24"/>
      <w:szCs w:val="24"/>
      <w:lang w:val="en-US" w:eastAsia="ja-JP"/>
    </w:rPr>
    <w:tblPr>
      <w:tblStyleRowBandSize w:val="1"/>
      <w:tblBorders>
        <w:top w:val="single" w:sz="4" w:space="0" w:color="000000" w:themeColor="text1"/>
        <w:bottom w:val="single" w:sz="4" w:space="0" w:color="000000" w:themeColor="text1"/>
      </w:tblBorders>
    </w:tblPr>
    <w:tcPr>
      <w:vAlign w:val="center"/>
    </w:tcPr>
    <w:tblStylePr w:type="firstRow">
      <w:rPr>
        <w:color w:val="FFFFFF" w:themeColor="background1"/>
      </w:rPr>
      <w:tblPr/>
      <w:tcPr>
        <w:tcBorders>
          <w:top w:val="nil"/>
          <w:left w:val="nil"/>
          <w:bottom w:val="nil"/>
          <w:right w:val="nil"/>
          <w:insideH w:val="nil"/>
          <w:insideV w:val="nil"/>
          <w:tl2br w:val="nil"/>
          <w:tr2bl w:val="nil"/>
        </w:tcBorders>
        <w:shd w:val="clear" w:color="auto" w:fill="3A4458" w:themeFill="text2"/>
      </w:tcPr>
    </w:tblStylePr>
    <w:tblStylePr w:type="lastRow">
      <w:tblPr/>
      <w:tcPr>
        <w:tcBorders>
          <w:top w:val="single" w:sz="4" w:space="0" w:color="000000" w:themeColor="text1"/>
          <w:left w:val="nil"/>
          <w:bottom w:val="single" w:sz="4" w:space="0" w:color="000000" w:themeColor="text1"/>
          <w:right w:val="nil"/>
          <w:insideH w:val="nil"/>
          <w:insideV w:val="nil"/>
          <w:tl2br w:val="nil"/>
          <w:tr2bl w:val="nil"/>
        </w:tcBorders>
      </w:tcPr>
    </w:tblStylePr>
    <w:tblStylePr w:type="band1Horz">
      <w:tblPr/>
      <w:tcPr>
        <w:tcBorders>
          <w:top w:val="single" w:sz="4" w:space="0" w:color="000000" w:themeColor="text1"/>
          <w:left w:val="nil"/>
          <w:bottom w:val="single" w:sz="4" w:space="0" w:color="000000" w:themeColor="text1"/>
          <w:right w:val="nil"/>
          <w:insideH w:val="nil"/>
          <w:insideV w:val="nil"/>
          <w:tl2br w:val="nil"/>
          <w:tr2bl w:val="nil"/>
        </w:tcBorders>
      </w:tcPr>
    </w:tblStylePr>
  </w:style>
  <w:style w:type="paragraph" w:customStyle="1" w:styleId="LeadParagraph">
    <w:name w:val="Lead Paragraph"/>
    <w:basedOn w:val="BodyText"/>
    <w:next w:val="BodyText"/>
    <w:uiPriority w:val="1"/>
    <w:qFormat/>
    <w:rsid w:val="000D6EED"/>
    <w:rPr>
      <w:b/>
      <w:bCs/>
      <w:color w:val="55489D" w:themeColor="accent1"/>
      <w:sz w:val="24"/>
      <w:szCs w:val="24"/>
    </w:rPr>
  </w:style>
  <w:style w:type="paragraph" w:styleId="NormalWeb">
    <w:name w:val="Normal (Web)"/>
    <w:basedOn w:val="Normal"/>
    <w:uiPriority w:val="99"/>
    <w:semiHidden/>
    <w:rsid w:val="000D6EED"/>
    <w:pPr>
      <w:spacing w:before="100" w:beforeAutospacing="1" w:after="100" w:afterAutospacing="1"/>
    </w:pPr>
    <w:rPr>
      <w:rFonts w:ascii="Times New Roman" w:eastAsia="Times New Roman" w:hAnsi="Times New Roman" w:cs="Times New Roman"/>
      <w:sz w:val="24"/>
      <w:szCs w:val="24"/>
    </w:rPr>
  </w:style>
  <w:style w:type="paragraph" w:customStyle="1" w:styleId="ListHeading1">
    <w:name w:val="List Heading 1"/>
    <w:basedOn w:val="Heading1"/>
    <w:next w:val="Level1"/>
    <w:uiPriority w:val="10"/>
    <w:rsid w:val="00131636"/>
    <w:pPr>
      <w:numPr>
        <w:numId w:val="8"/>
      </w:numPr>
    </w:pPr>
    <w:rPr>
      <w:rFonts w:ascii="Open Sans SemiBold" w:hAnsi="Open Sans SemiBold"/>
      <w:sz w:val="32"/>
    </w:rPr>
  </w:style>
  <w:style w:type="paragraph" w:customStyle="1" w:styleId="ListHeading2">
    <w:name w:val="List Heading 2"/>
    <w:basedOn w:val="Heading2"/>
    <w:next w:val="BodyText"/>
    <w:uiPriority w:val="10"/>
    <w:rsid w:val="00667FA9"/>
    <w:pPr>
      <w:numPr>
        <w:ilvl w:val="1"/>
        <w:numId w:val="7"/>
      </w:numPr>
    </w:pPr>
  </w:style>
  <w:style w:type="paragraph" w:customStyle="1" w:styleId="ListHeading3">
    <w:name w:val="List Heading 3"/>
    <w:basedOn w:val="Heading3"/>
    <w:next w:val="BodyText"/>
    <w:uiPriority w:val="10"/>
    <w:rsid w:val="00667FA9"/>
    <w:pPr>
      <w:numPr>
        <w:ilvl w:val="2"/>
        <w:numId w:val="7"/>
      </w:numPr>
    </w:pPr>
  </w:style>
  <w:style w:type="numbering" w:customStyle="1" w:styleId="ListHeading">
    <w:name w:val="List Heading"/>
    <w:uiPriority w:val="99"/>
    <w:rsid w:val="006E72F7"/>
    <w:pPr>
      <w:numPr>
        <w:numId w:val="3"/>
      </w:numPr>
    </w:pPr>
  </w:style>
  <w:style w:type="numbering" w:customStyle="1" w:styleId="AppendixList">
    <w:name w:val="__Appendix List"/>
    <w:uiPriority w:val="99"/>
    <w:rsid w:val="00AD3DF5"/>
    <w:pPr>
      <w:numPr>
        <w:numId w:val="4"/>
      </w:numPr>
    </w:pPr>
  </w:style>
  <w:style w:type="table" w:styleId="PlainTable1">
    <w:name w:val="Plain Table 1"/>
    <w:basedOn w:val="TableNormal"/>
    <w:uiPriority w:val="41"/>
    <w:rsid w:val="000D6E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6E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D6E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6E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0D6E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as">
    <w:name w:val="aas"/>
    <w:basedOn w:val="DefaultParagraphFont"/>
    <w:rsid w:val="007A6616"/>
    <w:rPr>
      <w:lang w:val="en-GB"/>
    </w:rPr>
  </w:style>
  <w:style w:type="paragraph" w:customStyle="1" w:styleId="Level1">
    <w:name w:val="Level 1"/>
    <w:basedOn w:val="Normal"/>
    <w:link w:val="Level1Char"/>
    <w:qFormat/>
    <w:rsid w:val="00667FA9"/>
    <w:pPr>
      <w:numPr>
        <w:ilvl w:val="1"/>
        <w:numId w:val="8"/>
      </w:numPr>
      <w:spacing w:after="240" w:line="245" w:lineRule="auto"/>
    </w:pPr>
  </w:style>
  <w:style w:type="paragraph" w:styleId="TOC9">
    <w:name w:val="toc 9"/>
    <w:basedOn w:val="Normal"/>
    <w:next w:val="Normal"/>
    <w:autoRedefine/>
    <w:uiPriority w:val="39"/>
    <w:semiHidden/>
    <w:unhideWhenUsed/>
    <w:rsid w:val="002C2870"/>
    <w:pPr>
      <w:spacing w:after="100"/>
      <w:ind w:left="1600"/>
    </w:pPr>
  </w:style>
  <w:style w:type="numbering" w:customStyle="1" w:styleId="Style2">
    <w:name w:val="Style2"/>
    <w:uiPriority w:val="99"/>
    <w:rsid w:val="00150ED6"/>
    <w:pPr>
      <w:numPr>
        <w:numId w:val="12"/>
      </w:numPr>
    </w:pPr>
  </w:style>
  <w:style w:type="paragraph" w:customStyle="1" w:styleId="Bullet1">
    <w:name w:val="Bullet 1"/>
    <w:basedOn w:val="Normal"/>
    <w:qFormat/>
    <w:rsid w:val="00E12887"/>
    <w:pPr>
      <w:numPr>
        <w:numId w:val="13"/>
      </w:numPr>
      <w:spacing w:after="120" w:line="360" w:lineRule="auto"/>
    </w:pPr>
    <w:rPr>
      <w:rFonts w:eastAsiaTheme="minorHAnsi"/>
    </w:rPr>
  </w:style>
  <w:style w:type="paragraph" w:customStyle="1" w:styleId="Bullet2">
    <w:name w:val="Bullet 2"/>
    <w:basedOn w:val="Bullet1"/>
    <w:qFormat/>
    <w:rsid w:val="00E12887"/>
    <w:pPr>
      <w:numPr>
        <w:ilvl w:val="1"/>
      </w:numPr>
    </w:pPr>
  </w:style>
  <w:style w:type="paragraph" w:customStyle="1" w:styleId="Bullet3">
    <w:name w:val="Bullet 3"/>
    <w:basedOn w:val="Bullet1"/>
    <w:qFormat/>
    <w:rsid w:val="00E12887"/>
    <w:pPr>
      <w:numPr>
        <w:ilvl w:val="2"/>
      </w:numPr>
    </w:pPr>
  </w:style>
  <w:style w:type="paragraph" w:customStyle="1" w:styleId="Bullet4">
    <w:name w:val="Bullet 4"/>
    <w:basedOn w:val="Bullet3"/>
    <w:qFormat/>
    <w:rsid w:val="00E12887"/>
    <w:pPr>
      <w:numPr>
        <w:ilvl w:val="3"/>
      </w:numPr>
    </w:pPr>
  </w:style>
  <w:style w:type="paragraph" w:styleId="FootnoteText">
    <w:name w:val="footnote text"/>
    <w:basedOn w:val="Normal"/>
    <w:link w:val="FootnoteTextChar"/>
    <w:uiPriority w:val="99"/>
    <w:unhideWhenUsed/>
    <w:rsid w:val="00E12887"/>
    <w:rPr>
      <w:rFonts w:eastAsiaTheme="minorHAnsi"/>
      <w:szCs w:val="20"/>
    </w:rPr>
  </w:style>
  <w:style w:type="character" w:customStyle="1" w:styleId="FootnoteTextChar">
    <w:name w:val="Footnote Text Char"/>
    <w:basedOn w:val="DefaultParagraphFont"/>
    <w:link w:val="FootnoteText"/>
    <w:uiPriority w:val="99"/>
    <w:rsid w:val="00E12887"/>
    <w:rPr>
      <w:rFonts w:ascii="Open Sans" w:hAnsi="Open Sans"/>
      <w:sz w:val="20"/>
      <w:szCs w:val="20"/>
    </w:rPr>
  </w:style>
  <w:style w:type="character" w:styleId="FootnoteReference">
    <w:name w:val="footnote reference"/>
    <w:basedOn w:val="DefaultParagraphFont"/>
    <w:uiPriority w:val="99"/>
    <w:unhideWhenUsed/>
    <w:rsid w:val="00E12887"/>
    <w:rPr>
      <w:vertAlign w:val="superscript"/>
    </w:rPr>
  </w:style>
  <w:style w:type="character" w:customStyle="1" w:styleId="Level1Char">
    <w:name w:val="Level 1 Char"/>
    <w:basedOn w:val="DefaultParagraphFont"/>
    <w:link w:val="Level1"/>
    <w:rsid w:val="001A784C"/>
    <w:rPr>
      <w:rFonts w:ascii="Open Sans" w:eastAsiaTheme="minorEastAsia" w:hAnsi="Open Sans"/>
      <w:sz w:val="20"/>
    </w:rPr>
  </w:style>
  <w:style w:type="table" w:customStyle="1" w:styleId="TableGrid2">
    <w:name w:val="Table Grid2"/>
    <w:basedOn w:val="TableNormal"/>
    <w:next w:val="TableGrid"/>
    <w:uiPriority w:val="59"/>
    <w:rsid w:val="001A7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64CE"/>
    <w:pPr>
      <w:spacing w:after="0" w:line="240" w:lineRule="auto"/>
    </w:pPr>
    <w:rPr>
      <w:rFonts w:ascii="Open Sans" w:eastAsiaTheme="minorEastAsia" w:hAnsi="Open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5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torbay.gov.uk/DemocraticServices/documents/b35750/Item%208%20Local%20Plan%20Review%20Local%20Development%20Scheme%20-%20Local%20Plan%20Working%20Party%20Recommendations%20Tues.pdf?T=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26CDCFDD3C42C9ACFC027155D16ACE"/>
        <w:category>
          <w:name w:val="General"/>
          <w:gallery w:val="placeholder"/>
        </w:category>
        <w:types>
          <w:type w:val="bbPlcHdr"/>
        </w:types>
        <w:behaviors>
          <w:behavior w:val="content"/>
        </w:behaviors>
        <w:guid w:val="{A8BD901D-8313-4FB0-8FA9-719147A49577}"/>
      </w:docPartPr>
      <w:docPartBody>
        <w:p w:rsidR="008756CD" w:rsidRDefault="008756CD" w:rsidP="008756CD">
          <w:pPr>
            <w:pStyle w:val="FF26CDCFDD3C42C9ACFC027155D16ACE1"/>
          </w:pPr>
          <w:r w:rsidRPr="009837F5">
            <w:rPr>
              <w:rStyle w:val="PlaceholderText"/>
            </w:rPr>
            <w:t>Add heading</w:t>
          </w:r>
        </w:p>
      </w:docPartBody>
    </w:docPart>
    <w:docPart>
      <w:docPartPr>
        <w:name w:val="4A0CF61889F74837AB6693F0F10C5763"/>
        <w:category>
          <w:name w:val="General"/>
          <w:gallery w:val="placeholder"/>
        </w:category>
        <w:types>
          <w:type w:val="bbPlcHdr"/>
        </w:types>
        <w:behaviors>
          <w:behavior w:val="content"/>
        </w:behaviors>
        <w:guid w:val="{6312F171-0EFB-40F8-B32B-24B31A4BD156}"/>
      </w:docPartPr>
      <w:docPartBody>
        <w:p w:rsidR="00152302" w:rsidRDefault="001A6F1E" w:rsidP="001A6F1E">
          <w:pPr>
            <w:pStyle w:val="4A0CF61889F74837AB6693F0F10C57631"/>
          </w:pPr>
          <w:r w:rsidRPr="00A212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SemiBold">
    <w:altName w:val="Segoe UI"/>
    <w:charset w:val="00"/>
    <w:family w:val="swiss"/>
    <w:pitch w:val="variable"/>
    <w:sig w:usb0="E00002EF" w:usb1="4000205B" w:usb2="00000028" w:usb3="00000000" w:csb0="0000019F" w:csb1="00000000"/>
  </w:font>
  <w:font w:name="GeoSlab703 Md BT">
    <w:altName w:val="Cambria"/>
    <w:charset w:val="00"/>
    <w:family w:val="roman"/>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3E"/>
    <w:rsid w:val="0000387B"/>
    <w:rsid w:val="0002378B"/>
    <w:rsid w:val="000330E1"/>
    <w:rsid w:val="00041E61"/>
    <w:rsid w:val="00085CBA"/>
    <w:rsid w:val="000957A3"/>
    <w:rsid w:val="000A4CC1"/>
    <w:rsid w:val="000A7A93"/>
    <w:rsid w:val="000D2714"/>
    <w:rsid w:val="000D75FF"/>
    <w:rsid w:val="000E4379"/>
    <w:rsid w:val="00140B6A"/>
    <w:rsid w:val="00152302"/>
    <w:rsid w:val="00153BC8"/>
    <w:rsid w:val="001623CF"/>
    <w:rsid w:val="00177E04"/>
    <w:rsid w:val="00177FF0"/>
    <w:rsid w:val="00190ED0"/>
    <w:rsid w:val="001A6F1E"/>
    <w:rsid w:val="001B63CF"/>
    <w:rsid w:val="001D083E"/>
    <w:rsid w:val="001D577E"/>
    <w:rsid w:val="001E66B5"/>
    <w:rsid w:val="001F1593"/>
    <w:rsid w:val="001F1623"/>
    <w:rsid w:val="001F70EC"/>
    <w:rsid w:val="00201111"/>
    <w:rsid w:val="0020494C"/>
    <w:rsid w:val="0021000C"/>
    <w:rsid w:val="002243CE"/>
    <w:rsid w:val="002659F6"/>
    <w:rsid w:val="00272DF4"/>
    <w:rsid w:val="00285866"/>
    <w:rsid w:val="00293106"/>
    <w:rsid w:val="002C5010"/>
    <w:rsid w:val="002D03A2"/>
    <w:rsid w:val="002D34AD"/>
    <w:rsid w:val="002E12B5"/>
    <w:rsid w:val="002E230D"/>
    <w:rsid w:val="002F0FE0"/>
    <w:rsid w:val="00300EC3"/>
    <w:rsid w:val="0030644A"/>
    <w:rsid w:val="00314F6C"/>
    <w:rsid w:val="0032580C"/>
    <w:rsid w:val="00350788"/>
    <w:rsid w:val="00361177"/>
    <w:rsid w:val="003639EC"/>
    <w:rsid w:val="003658A9"/>
    <w:rsid w:val="00367972"/>
    <w:rsid w:val="003D7D19"/>
    <w:rsid w:val="003F2044"/>
    <w:rsid w:val="0040310B"/>
    <w:rsid w:val="00404127"/>
    <w:rsid w:val="0041586F"/>
    <w:rsid w:val="00465232"/>
    <w:rsid w:val="004B60A4"/>
    <w:rsid w:val="004D1BEB"/>
    <w:rsid w:val="004E628D"/>
    <w:rsid w:val="004E6EF3"/>
    <w:rsid w:val="004F6E59"/>
    <w:rsid w:val="005041E6"/>
    <w:rsid w:val="005156A6"/>
    <w:rsid w:val="00515D42"/>
    <w:rsid w:val="00522FA2"/>
    <w:rsid w:val="00554A06"/>
    <w:rsid w:val="0056535B"/>
    <w:rsid w:val="00572202"/>
    <w:rsid w:val="00574140"/>
    <w:rsid w:val="005B0A69"/>
    <w:rsid w:val="005B2882"/>
    <w:rsid w:val="005B6C9F"/>
    <w:rsid w:val="005C6BC5"/>
    <w:rsid w:val="005E5B56"/>
    <w:rsid w:val="00612645"/>
    <w:rsid w:val="00634764"/>
    <w:rsid w:val="0064668D"/>
    <w:rsid w:val="00672813"/>
    <w:rsid w:val="006A423F"/>
    <w:rsid w:val="006A5875"/>
    <w:rsid w:val="006A5E62"/>
    <w:rsid w:val="006B045F"/>
    <w:rsid w:val="006B0C22"/>
    <w:rsid w:val="006B231E"/>
    <w:rsid w:val="006C286F"/>
    <w:rsid w:val="006D0D95"/>
    <w:rsid w:val="006E3A42"/>
    <w:rsid w:val="006E6B33"/>
    <w:rsid w:val="00704966"/>
    <w:rsid w:val="00737913"/>
    <w:rsid w:val="00753539"/>
    <w:rsid w:val="00777EB1"/>
    <w:rsid w:val="007A787B"/>
    <w:rsid w:val="00805456"/>
    <w:rsid w:val="00807436"/>
    <w:rsid w:val="008125CF"/>
    <w:rsid w:val="00840167"/>
    <w:rsid w:val="00840CF7"/>
    <w:rsid w:val="008756CD"/>
    <w:rsid w:val="008866A1"/>
    <w:rsid w:val="008B68C3"/>
    <w:rsid w:val="00904CEC"/>
    <w:rsid w:val="00925EE8"/>
    <w:rsid w:val="00942CC4"/>
    <w:rsid w:val="00962357"/>
    <w:rsid w:val="00966887"/>
    <w:rsid w:val="00980013"/>
    <w:rsid w:val="00992ABA"/>
    <w:rsid w:val="00995608"/>
    <w:rsid w:val="009A17C7"/>
    <w:rsid w:val="00A3471C"/>
    <w:rsid w:val="00A440DF"/>
    <w:rsid w:val="00A54341"/>
    <w:rsid w:val="00A66169"/>
    <w:rsid w:val="00A923EF"/>
    <w:rsid w:val="00AA0FC8"/>
    <w:rsid w:val="00AA4E65"/>
    <w:rsid w:val="00AB31A4"/>
    <w:rsid w:val="00AB3219"/>
    <w:rsid w:val="00AE1AA7"/>
    <w:rsid w:val="00B61DA7"/>
    <w:rsid w:val="00B64219"/>
    <w:rsid w:val="00BC2FD2"/>
    <w:rsid w:val="00C04EDC"/>
    <w:rsid w:val="00C14D78"/>
    <w:rsid w:val="00C33BF4"/>
    <w:rsid w:val="00C52EDF"/>
    <w:rsid w:val="00C55217"/>
    <w:rsid w:val="00C81787"/>
    <w:rsid w:val="00CA4198"/>
    <w:rsid w:val="00CC028E"/>
    <w:rsid w:val="00CD2A2C"/>
    <w:rsid w:val="00CE62B4"/>
    <w:rsid w:val="00D16BAF"/>
    <w:rsid w:val="00D25E92"/>
    <w:rsid w:val="00D4159C"/>
    <w:rsid w:val="00D4341A"/>
    <w:rsid w:val="00D76AED"/>
    <w:rsid w:val="00DF733B"/>
    <w:rsid w:val="00E26216"/>
    <w:rsid w:val="00E30B24"/>
    <w:rsid w:val="00E3112B"/>
    <w:rsid w:val="00E31537"/>
    <w:rsid w:val="00E36DCF"/>
    <w:rsid w:val="00E50BDE"/>
    <w:rsid w:val="00E67499"/>
    <w:rsid w:val="00EB52F4"/>
    <w:rsid w:val="00EB6D1C"/>
    <w:rsid w:val="00EE1ADD"/>
    <w:rsid w:val="00F24AF5"/>
    <w:rsid w:val="00F35616"/>
    <w:rsid w:val="00F45CDC"/>
    <w:rsid w:val="00FC0B57"/>
    <w:rsid w:val="00FD73DF"/>
    <w:rsid w:val="00FE71FF"/>
    <w:rsid w:val="00FF0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FC8"/>
    <w:rPr>
      <w:color w:val="808080"/>
    </w:rPr>
  </w:style>
  <w:style w:type="paragraph" w:customStyle="1" w:styleId="FF26CDCFDD3C42C9ACFC027155D16ACE1">
    <w:name w:val="FF26CDCFDD3C42C9ACFC027155D16ACE1"/>
    <w:rsid w:val="008756CD"/>
    <w:pPr>
      <w:keepNext/>
      <w:keepLines/>
      <w:spacing w:before="240" w:after="120" w:line="245" w:lineRule="auto"/>
      <w:outlineLvl w:val="0"/>
    </w:pPr>
    <w:rPr>
      <w:rFonts w:asciiTheme="majorHAnsi" w:eastAsia="Open Sans" w:hAnsiTheme="majorHAnsi" w:cs="Times New Roman"/>
      <w:b/>
      <w:color w:val="000000" w:themeColor="text1"/>
      <w:sz w:val="36"/>
      <w:lang w:eastAsia="en-US"/>
    </w:rPr>
  </w:style>
  <w:style w:type="paragraph" w:customStyle="1" w:styleId="4A0CF61889F74837AB6693F0F10C57631">
    <w:name w:val="4A0CF61889F74837AB6693F0F10C57631"/>
    <w:rsid w:val="001A6F1E"/>
    <w:pPr>
      <w:spacing w:after="0" w:line="245" w:lineRule="auto"/>
    </w:pPr>
    <w:rPr>
      <w:rFonts w:ascii="Open Sans" w:eastAsiaTheme="minorHAnsi" w:hAnsi="Open Sans"/>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Y theme">
  <a:themeElements>
    <a:clrScheme name="_AY">
      <a:dk1>
        <a:srgbClr val="000000"/>
      </a:dk1>
      <a:lt1>
        <a:srgbClr val="FFFFFF"/>
      </a:lt1>
      <a:dk2>
        <a:srgbClr val="3A4458"/>
      </a:dk2>
      <a:lt2>
        <a:srgbClr val="C8C9C4"/>
      </a:lt2>
      <a:accent1>
        <a:srgbClr val="55489D"/>
      </a:accent1>
      <a:accent2>
        <a:srgbClr val="4DB595"/>
      </a:accent2>
      <a:accent3>
        <a:srgbClr val="EF6528"/>
      </a:accent3>
      <a:accent4>
        <a:srgbClr val="7E9CD1"/>
      </a:accent4>
      <a:accent5>
        <a:srgbClr val="A67E97"/>
      </a:accent5>
      <a:accent6>
        <a:srgbClr val="7D7370"/>
      </a:accent6>
      <a:hlink>
        <a:srgbClr val="40357E"/>
      </a:hlink>
      <a:folHlink>
        <a:srgbClr val="9992C5"/>
      </a:folHlink>
    </a:clrScheme>
    <a:fontScheme name="AY fonts">
      <a:majorFont>
        <a:latin typeface="GeoSlab703 Md BT"/>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required":false,"placeholder":"","lines":0,"helpTexts":{"prefix":"","postfix":""},"spacing":{},"type":"textBox","name":"ReportClientName","label":"Client Name","fullyQualifiedName":"ReportClientName"},{"required":false,"placeholder":"","lines":0,"helpTexts":{"prefix":"","postfix":""},"spacing":{},"type":"textBox","name":"ReportTitle","label":"Title","fullyQualifiedName":"ReportTitle"},{"required":false,"helpTexts":{"prefix":"","postfix":""},"spacing":{},"type":"datePicker","name":"ReportDate","label":"Date","fullyQualifiedName":"ReportDate"}],"formDataEntries":[{"name":"ReportClientName","value":"kyi24ToPV/GMuow6Y5hiGQ=="},{"name":"ReportTitle","value":"QZjdAJSVf5SWuXhnqypOaE1Ao0nkfJClc2M7pXZiifk="},{"name":"ReportDate","value":"Sl/qQOOt+bssuHHNXFkPKw=="}]}]]></TemplafyForm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982636dce358ddca565b8f70628f5290">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74421b57a185321728b8728afeb3db0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ype":"pictureContentControl","id":"0886fd27-7c31-4c82-92cf-60a03c7d7618","elementConfiguration":{"inheritDimensions":"inheritNone","height":"2.25 cm","binding":"UserProfile.LegalEntity.Logo","removeAndKeepContent":false,"disableUpdates":false,"type":"image"}},{"type":"richTextContentControl","id":"0c22c577-4a76-4587-93be-2cfc003e43aa","elementConfiguration":{"binding":"UserProfile.Name","removeAndKeepContent":false,"disableUpdates":false,"type":"text"}},{"type":"richTextContentControl","id":"edc8e71a-ae0c-4220-a501-c79d4e288891","elementConfiguration":{"binding":"UserProfile.LegalEntity.LegalEntity","removeAndKeepContent":false,"disableUpdates":false,"type":"text"}},{"type":"richTextContentControl","id":"f4b3bd74-7b95-45a3-abb8-3a8bbeaa3a7d","elementConfiguration":{"binding":"UserProfile.Name","removeAndKeepContent":false,"disableUpdates":false,"type":"text"}},{"type":"richTextContentControl","id":"04122b9b-4a16-4ba5-90c9-41a6db424c4d","elementConfiguration":{"binding":"UserProfile.PhoneNumber","removeAndKeepContent":false,"disableUpdates":false,"type":"text"}},{"type":"richTextContentControl","id":"4dd1d4fd-df05-4227-b83a-07c3a7509d40","elementConfiguration":{"binding":"UserProfile.Mail","removeAndKeepContent":false,"disableUpdates":false,"type":"text"}},{"type":"richTextContentControl","id":"8f8378f7-a613-4ba3-8f72-a543bf5efcca","elementConfiguration":{"binding":"UserProfile.OfficeCity.Domain","removeAndKeepContent":false,"disableUpdates":false,"type":"text"}},{"type":"richTextContentControl","id":"fdf21408-2bba-4ebd-8165-232bad57450d","elementConfiguration":{"format":"{{DateFormats.CustomC}}","binding":"Form.ReportDate","removeAndKeepContent":false,"disableUpdates":false,"type":"date"}},{"type":"richTextContentControl","id":"3e430f68-8f49-4773-91f4-8a2342455040","elementConfiguration":{"binding":"UserProfile.OfficeCity.Address","removeAndKeepContent":false,"disableUpdates":false,"type":"text"}}],"transformationConfigurations":[{"language":"{{UserProfile.DocumentLanguage.Iana}}","disableUpdates":false,"type":"proofingLanguage"}],"isBaseTemplate":false,"templateName":"Standard Report A4 - Portrait (no cover image)","templateDescription":"","enableDocumentContentUpdater":false,"version":"1.14"}]]></TemplafyTemplateConfiguration>
</file>

<file path=customXml/itemProps1.xml><?xml version="1.0" encoding="utf-8"?>
<ds:datastoreItem xmlns:ds="http://schemas.openxmlformats.org/officeDocument/2006/customXml" ds:itemID="{8980F2AC-2DC3-408D-A6D5-DCC6145D6610}">
  <ds:schemaRefs/>
</ds:datastoreItem>
</file>

<file path=customXml/itemProps2.xml><?xml version="1.0" encoding="utf-8"?>
<ds:datastoreItem xmlns:ds="http://schemas.openxmlformats.org/officeDocument/2006/customXml" ds:itemID="{B87B2981-2CE6-4BB3-B23E-2CF81D9A9D1C}">
  <ds:schemaRefs>
    <ds:schemaRef ds:uri="http://schemas.microsoft.com/sharepoint/v3/contenttype/forms"/>
  </ds:schemaRefs>
</ds:datastoreItem>
</file>

<file path=customXml/itemProps3.xml><?xml version="1.0" encoding="utf-8"?>
<ds:datastoreItem xmlns:ds="http://schemas.openxmlformats.org/officeDocument/2006/customXml" ds:itemID="{390AF0B7-C20E-411F-A240-694F9E1EED61}">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4.xml><?xml version="1.0" encoding="utf-8"?>
<ds:datastoreItem xmlns:ds="http://schemas.openxmlformats.org/officeDocument/2006/customXml" ds:itemID="{02515919-DB62-4B9E-9709-D650B63A48E6}">
  <ds:schemaRefs>
    <ds:schemaRef ds:uri="http://schemas.openxmlformats.org/officeDocument/2006/bibliography"/>
  </ds:schemaRefs>
</ds:datastoreItem>
</file>

<file path=customXml/itemProps5.xml><?xml version="1.0" encoding="utf-8"?>
<ds:datastoreItem xmlns:ds="http://schemas.openxmlformats.org/officeDocument/2006/customXml" ds:itemID="{312ED361-2B4A-47B2-BFCB-C3DEA9A00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950403-D1AC-45F2-8D80-75E266090B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27757</Words>
  <Characters>158221</Characters>
  <Application>Microsoft Office Word</Application>
  <DocSecurity>0</DocSecurity>
  <Lines>1318</Lines>
  <Paragraphs>371</Paragraphs>
  <ScaleCrop>false</ScaleCrop>
  <HeadingPairs>
    <vt:vector size="2" baseType="variant">
      <vt:variant>
        <vt:lpstr>Title</vt:lpstr>
      </vt:variant>
      <vt:variant>
        <vt:i4>1</vt:i4>
      </vt:variant>
    </vt:vector>
  </HeadingPairs>
  <TitlesOfParts>
    <vt:vector size="1" baseType="lpstr">
      <vt:lpstr>Report Contents ( photo)</vt:lpstr>
    </vt:vector>
  </TitlesOfParts>
  <Company>Avison Young and Torbay Council</Company>
  <LinksUpToDate>false</LinksUpToDate>
  <CharactersWithSpaces>185607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Retail Study 2022</dc:title>
  <dc:subject>
  </dc:subject>
  <dc:creator>Morris, Matthew (Avison Young - UK)</dc:creator>
  <cp:keywords>
  </cp:keywords>
  <dc:description>
  </dc:description>
  <cp:lastModifiedBy>Massie, Nikki</cp:lastModifiedBy>
  <cp:revision>2</cp:revision>
  <dcterms:created xsi:type="dcterms:W3CDTF">2022-12-02T10:22:00Z</dcterms:created>
  <dcterms:modified xsi:type="dcterms:W3CDTF">2022-12-02T10:22:00Z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2022-02-11T14:52:03.5561633</vt:lpwstr>
  </property>
  <property fmtid="{D5CDD505-2E9C-101B-9397-08002B2CF9AE}" pid="3" name="MS_Version">
    <vt:lpwstr>1.0.6</vt:lpwstr>
  </property>
  <property fmtid="{D5CDD505-2E9C-101B-9397-08002B2CF9AE}" pid="4" name="TemplafyTenantId">
    <vt:lpwstr>avisonyoung</vt:lpwstr>
  </property>
  <property fmtid="{D5CDD505-2E9C-101B-9397-08002B2CF9AE}" pid="5" name="TemplafyTemplateId">
    <vt:lpwstr>637666087614997522</vt:lpwstr>
  </property>
  <property fmtid="{D5CDD505-2E9C-101B-9397-08002B2CF9AE}" pid="6" name="TemplafyUserProfileId">
    <vt:lpwstr>637719659073995436</vt:lpwstr>
  </property>
  <property fmtid="{D5CDD505-2E9C-101B-9397-08002B2CF9AE}" pid="7" name="TemplafyLanguageCode">
    <vt:lpwstr>en-GB</vt:lpwstr>
  </property>
  <property fmtid="{D5CDD505-2E9C-101B-9397-08002B2CF9AE}" pid="8" name="ContentTypeId">
    <vt:lpwstr>0x010100FAE2F9E21189074F9C2F026F08F36625</vt:lpwstr>
  </property>
</Properties>
</file>