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27EA" w14:textId="7B2830F8" w:rsidR="00E82D8D" w:rsidRDefault="00E82D8D" w:rsidP="007839C2"/>
    <w:tbl>
      <w:tblPr>
        <w:tblStyle w:val="TableGrid"/>
        <w:tblW w:w="10467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none" w:sz="0" w:space="0" w:color="auto"/>
          <w:insideV w:val="single" w:sz="12" w:space="0" w:color="1D4289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811"/>
      </w:tblGrid>
      <w:tr w:rsidR="00577852" w14:paraId="0C154E55" w14:textId="77777777" w:rsidTr="000C2F2F">
        <w:tc>
          <w:tcPr>
            <w:tcW w:w="3656" w:type="dxa"/>
          </w:tcPr>
          <w:p w14:paraId="2AB9A038" w14:textId="0AB988E0" w:rsidR="00577852" w:rsidRPr="00D40034" w:rsidRDefault="00577852" w:rsidP="001E0FFB">
            <w:pPr>
              <w:rPr>
                <w:rFonts w:ascii="Open Sans" w:hAnsi="Open Sans" w:cs="Open Sans"/>
                <w:bCs/>
                <w:color w:val="1D42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D4289"/>
                <w:sz w:val="28"/>
                <w:szCs w:val="28"/>
              </w:rPr>
              <w:t>Job Title:</w:t>
            </w:r>
          </w:p>
        </w:tc>
        <w:tc>
          <w:tcPr>
            <w:tcW w:w="6811" w:type="dxa"/>
          </w:tcPr>
          <w:p w14:paraId="2E4444EF" w14:textId="5BD74877" w:rsidR="00577852" w:rsidRPr="00D42342" w:rsidRDefault="00D42342" w:rsidP="001E0FFB">
            <w:pPr>
              <w:rPr>
                <w:rFonts w:ascii="Arial" w:hAnsi="Arial" w:cs="Arial"/>
                <w:sz w:val="28"/>
                <w:szCs w:val="22"/>
              </w:rPr>
            </w:pPr>
            <w:r w:rsidRPr="00D42342">
              <w:rPr>
                <w:rFonts w:ascii="Arial" w:hAnsi="Arial"/>
                <w:sz w:val="28"/>
                <w:szCs w:val="22"/>
              </w:rPr>
              <w:t xml:space="preserve">Business Support Officer – </w:t>
            </w:r>
            <w:r w:rsidR="00C71A5F">
              <w:rPr>
                <w:rFonts w:ascii="Arial" w:hAnsi="Arial"/>
                <w:sz w:val="28"/>
                <w:szCs w:val="22"/>
              </w:rPr>
              <w:t>Property Services</w:t>
            </w:r>
          </w:p>
        </w:tc>
      </w:tr>
      <w:tr w:rsidR="00577852" w14:paraId="0C25970D" w14:textId="77777777" w:rsidTr="000C2F2F">
        <w:tc>
          <w:tcPr>
            <w:tcW w:w="3656" w:type="dxa"/>
          </w:tcPr>
          <w:p w14:paraId="245F3630" w14:textId="69700D42" w:rsidR="00577852" w:rsidRPr="00D40034" w:rsidRDefault="00577852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Team/Service:</w:t>
            </w:r>
          </w:p>
        </w:tc>
        <w:tc>
          <w:tcPr>
            <w:tcW w:w="6811" w:type="dxa"/>
          </w:tcPr>
          <w:p w14:paraId="73AE98B7" w14:textId="6041EFDF" w:rsidR="00577852" w:rsidRPr="00D42342" w:rsidRDefault="00D42342" w:rsidP="001E0FFB">
            <w:pPr>
              <w:rPr>
                <w:rFonts w:ascii="Arial" w:hAnsi="Arial" w:cs="Arial"/>
                <w:sz w:val="28"/>
                <w:szCs w:val="22"/>
              </w:rPr>
            </w:pPr>
            <w:r w:rsidRPr="00D42342">
              <w:rPr>
                <w:rFonts w:ascii="Arial" w:hAnsi="Arial"/>
                <w:sz w:val="28"/>
                <w:szCs w:val="22"/>
              </w:rPr>
              <w:t>TDA Property Services</w:t>
            </w:r>
          </w:p>
        </w:tc>
      </w:tr>
      <w:tr w:rsidR="00577852" w14:paraId="52A55D9D" w14:textId="77777777" w:rsidTr="000C2F2F">
        <w:tc>
          <w:tcPr>
            <w:tcW w:w="3656" w:type="dxa"/>
          </w:tcPr>
          <w:p w14:paraId="0D7CA50D" w14:textId="39D843F6" w:rsidR="00D42342" w:rsidRPr="002E5B29" w:rsidRDefault="00577852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Responsible To:</w:t>
            </w:r>
          </w:p>
        </w:tc>
        <w:tc>
          <w:tcPr>
            <w:tcW w:w="6811" w:type="dxa"/>
          </w:tcPr>
          <w:p w14:paraId="01D49002" w14:textId="0465D111" w:rsidR="00FD2412" w:rsidRPr="005C1856" w:rsidRDefault="00D42342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Property Services Manager</w:t>
            </w:r>
          </w:p>
        </w:tc>
      </w:tr>
      <w:tr w:rsidR="002E5B29" w14:paraId="1084DEF2" w14:textId="77777777" w:rsidTr="000C2F2F">
        <w:tc>
          <w:tcPr>
            <w:tcW w:w="3656" w:type="dxa"/>
          </w:tcPr>
          <w:p w14:paraId="52D3B4A0" w14:textId="1DD97132" w:rsidR="002E5B29" w:rsidRPr="00D40034" w:rsidRDefault="002E5B29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Accountable to:</w:t>
            </w:r>
          </w:p>
        </w:tc>
        <w:tc>
          <w:tcPr>
            <w:tcW w:w="6811" w:type="dxa"/>
          </w:tcPr>
          <w:p w14:paraId="1EC54215" w14:textId="27035771" w:rsidR="002E5B29" w:rsidRDefault="007A4697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Building Services Contract </w:t>
            </w:r>
            <w:r w:rsidR="00844AD7">
              <w:rPr>
                <w:rFonts w:ascii="Arial" w:hAnsi="Arial" w:cs="Arial"/>
                <w:sz w:val="28"/>
                <w:szCs w:val="28"/>
              </w:rPr>
              <w:t>Officer</w:t>
            </w:r>
          </w:p>
        </w:tc>
      </w:tr>
      <w:tr w:rsidR="00577852" w14:paraId="76BAF934" w14:textId="77777777" w:rsidTr="000C2F2F">
        <w:trPr>
          <w:trHeight w:val="315"/>
        </w:trPr>
        <w:tc>
          <w:tcPr>
            <w:tcW w:w="3656" w:type="dxa"/>
            <w:hideMark/>
          </w:tcPr>
          <w:p w14:paraId="2D05356B" w14:textId="6C94B0F0" w:rsidR="00577852" w:rsidRPr="00D40034" w:rsidRDefault="00577852" w:rsidP="001E0FFB">
            <w:pPr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Salary</w:t>
            </w:r>
            <w:r w:rsidR="00D706AD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/Grade</w:t>
            </w: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:</w:t>
            </w:r>
          </w:p>
        </w:tc>
        <w:tc>
          <w:tcPr>
            <w:tcW w:w="6811" w:type="dxa"/>
          </w:tcPr>
          <w:p w14:paraId="3BDF0B22" w14:textId="726862C3" w:rsidR="00577852" w:rsidRPr="005C1856" w:rsidRDefault="003B6086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14:paraId="554CCC5A" w14:textId="51121B1E" w:rsidR="005C1856" w:rsidRPr="00311540" w:rsidRDefault="005C1856" w:rsidP="007839C2">
      <w:pPr>
        <w:rPr>
          <w:rFonts w:ascii="Open Sans" w:hAnsi="Open Sans" w:cs="Open Sans"/>
          <w:sz w:val="22"/>
          <w:szCs w:val="22"/>
        </w:rPr>
      </w:pPr>
    </w:p>
    <w:tbl>
      <w:tblPr>
        <w:tblW w:w="10461" w:type="dxa"/>
        <w:tblInd w:w="-5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1"/>
      </w:tblGrid>
      <w:tr w:rsidR="00357B5D" w:rsidRPr="00B00BC4" w14:paraId="5B640ABE" w14:textId="77777777" w:rsidTr="00B00BC4">
        <w:trPr>
          <w:trHeight w:val="445"/>
        </w:trPr>
        <w:tc>
          <w:tcPr>
            <w:tcW w:w="10461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BD13C35" w14:textId="2CC92E48" w:rsidR="00357B5D" w:rsidRDefault="00357B5D" w:rsidP="008E054E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Purpose of Job</w:t>
            </w:r>
          </w:p>
          <w:p w14:paraId="4A9EE15C" w14:textId="77777777" w:rsidR="00C71A5F" w:rsidRPr="00C71A5F" w:rsidRDefault="00C71A5F" w:rsidP="00C71A5F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C71A5F">
              <w:rPr>
                <w:rStyle w:val="normaltextrun"/>
                <w:rFonts w:ascii="Open Sans" w:hAnsi="Open Sans" w:cs="Open Sans"/>
                <w:bCs/>
                <w:szCs w:val="24"/>
              </w:rPr>
              <w:t>To provide excellent administrative and business support to the TDA Property Services team.</w:t>
            </w:r>
          </w:p>
          <w:p w14:paraId="4C38723E" w14:textId="77777777" w:rsidR="00C71A5F" w:rsidRPr="00C71A5F" w:rsidRDefault="00C71A5F" w:rsidP="00C71A5F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C71A5F">
              <w:rPr>
                <w:rStyle w:val="normaltextrun"/>
                <w:rFonts w:ascii="Open Sans" w:hAnsi="Open Sans" w:cs="Open Sans"/>
                <w:bCs/>
                <w:szCs w:val="24"/>
              </w:rPr>
              <w:t>Maintain and improve internal filing structures including TechForge.</w:t>
            </w:r>
          </w:p>
          <w:p w14:paraId="2C839CFA" w14:textId="77777777" w:rsidR="00C71A5F" w:rsidRPr="00C71A5F" w:rsidRDefault="00C71A5F" w:rsidP="00C71A5F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C71A5F">
              <w:rPr>
                <w:rStyle w:val="normaltextrun"/>
                <w:rFonts w:ascii="Open Sans" w:hAnsi="Open Sans" w:cs="Open Sans"/>
                <w:bCs/>
                <w:szCs w:val="24"/>
              </w:rPr>
              <w:t>To provide support to SLA Managers.</w:t>
            </w:r>
          </w:p>
          <w:p w14:paraId="7A7E53DC" w14:textId="5029DE3D" w:rsidR="008E054E" w:rsidRPr="00B00BC4" w:rsidRDefault="00C71A5F" w:rsidP="00C71A5F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  <w:r w:rsidRPr="00C71A5F">
              <w:rPr>
                <w:rStyle w:val="normaltextrun"/>
                <w:rFonts w:ascii="Open Sans" w:hAnsi="Open Sans" w:cs="Open Sans"/>
                <w:bCs/>
              </w:rPr>
              <w:t>To work as part of a team of Business Support Officers covering general duties and individual work on assigned duties or for a specific TDA area.</w:t>
            </w:r>
          </w:p>
        </w:tc>
      </w:tr>
    </w:tbl>
    <w:p w14:paraId="27FD038D" w14:textId="77777777" w:rsidR="00357B5D" w:rsidRPr="00FA3A06" w:rsidRDefault="00357B5D" w:rsidP="00357B5D">
      <w:pPr>
        <w:rPr>
          <w:rFonts w:ascii="Open Sans" w:hAnsi="Open Sans" w:cs="Open Sans"/>
          <w:bCs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FA3A06" w14:paraId="71FF13A8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662503C5" w14:textId="5A673892" w:rsidR="008E054E" w:rsidRPr="008E054E" w:rsidRDefault="00357B5D" w:rsidP="008E054E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Anticipated Outcomes of Post</w:t>
            </w:r>
          </w:p>
          <w:p w14:paraId="08C6F755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 xml:space="preserve">Create a positive first impression of TDA by being a key point of contact with customers and third parties. </w:t>
            </w:r>
          </w:p>
          <w:p w14:paraId="540B30D3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Ensure all areas of TDA are provided with a high standard of business support.</w:t>
            </w:r>
          </w:p>
          <w:p w14:paraId="4C5CEA4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Ensure customers and contacts receive the best level of customer service.</w:t>
            </w:r>
          </w:p>
          <w:p w14:paraId="6C0409F6" w14:textId="2394F858" w:rsidR="00357B5D" w:rsidRPr="00FA3A06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To meet deadlines, collate data and maintain standards relating to administrative processes.</w:t>
            </w:r>
          </w:p>
        </w:tc>
      </w:tr>
    </w:tbl>
    <w:p w14:paraId="61A20672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6B07455A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150AF75" w14:textId="77777777" w:rsidR="00FD2412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Duties and accountabilities of the post</w:t>
            </w:r>
          </w:p>
          <w:p w14:paraId="1FDE2B58" w14:textId="27A5173E" w:rsidR="00357B5D" w:rsidRPr="00FD2412" w:rsidRDefault="00FD2412" w:rsidP="00FD2412">
            <w:pPr>
              <w:spacing w:line="280" w:lineRule="atLeast"/>
              <w:ind w:left="360"/>
              <w:rPr>
                <w:rFonts w:ascii="Open Sans" w:hAnsi="Open Sans" w:cs="Open Sans"/>
                <w:bCs/>
                <w:sz w:val="28"/>
                <w:szCs w:val="28"/>
                <w:u w:val="single"/>
              </w:rPr>
            </w:pPr>
            <w:r w:rsidRPr="00FD2412">
              <w:rPr>
                <w:rFonts w:ascii="Open Sans" w:hAnsi="Open Sans" w:cs="Open Sans"/>
                <w:bCs/>
                <w:szCs w:val="24"/>
                <w:u w:val="single"/>
              </w:rPr>
              <w:t>Admin</w:t>
            </w:r>
            <w:r w:rsidR="00357B5D" w:rsidRPr="00FD2412">
              <w:rPr>
                <w:rFonts w:ascii="Open Sans" w:hAnsi="Open Sans" w:cs="Open Sans"/>
                <w:bCs/>
                <w:szCs w:val="24"/>
                <w:u w:val="single"/>
              </w:rPr>
              <w:t xml:space="preserve"> </w:t>
            </w:r>
            <w:r w:rsidR="00357B5D" w:rsidRPr="00FD2412">
              <w:rPr>
                <w:rFonts w:ascii="Open Sans" w:hAnsi="Open Sans" w:cs="Open Sans"/>
                <w:bCs/>
                <w:sz w:val="28"/>
                <w:szCs w:val="28"/>
                <w:u w:val="single"/>
              </w:rPr>
              <w:t xml:space="preserve"> </w:t>
            </w:r>
          </w:p>
          <w:p w14:paraId="5526232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Manage a demanding and reactive workload in a responsive way to ensure key objectives within Professional Services are met.</w:t>
            </w:r>
          </w:p>
          <w:p w14:paraId="331FF1E7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Diary Management.</w:t>
            </w:r>
          </w:p>
          <w:p w14:paraId="6B8FF71E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lastRenderedPageBreak/>
              <w:t>Develop Powerpoint presentations and handouts as required.</w:t>
            </w:r>
          </w:p>
          <w:p w14:paraId="0D082FB0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Liaise with framework partners and external and internal clients to obtain and exchange information relevant to project progression.</w:t>
            </w:r>
          </w:p>
          <w:p w14:paraId="0E1A3B1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Update contracts register as and when required.</w:t>
            </w:r>
          </w:p>
          <w:p w14:paraId="1F59DE7D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Report and document formatting.</w:t>
            </w:r>
          </w:p>
          <w:p w14:paraId="55B921E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Provide reception cover as and when required.</w:t>
            </w:r>
          </w:p>
          <w:p w14:paraId="3A5743A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Ensure the company’s Equal Opportunities and Health and Safety policies are applied in the work of the postholder.</w:t>
            </w:r>
          </w:p>
          <w:p w14:paraId="40CA831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To work without direct supervision and manage own workload.</w:t>
            </w:r>
          </w:p>
          <w:p w14:paraId="34137F51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To form good professional working relationships both within TDA and with external bodies.</w:t>
            </w:r>
          </w:p>
          <w:p w14:paraId="6B08133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Deal effectively and professionally with telephone calls and email correspondence into the company.</w:t>
            </w:r>
          </w:p>
          <w:p w14:paraId="2FD678E1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Managing various generic TDA team mailboxes.</w:t>
            </w:r>
          </w:p>
          <w:p w14:paraId="51E81D4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Creating, maintaining and updating of documents and spreadsheets.</w:t>
            </w:r>
          </w:p>
          <w:p w14:paraId="50B879A5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 internal filing system.</w:t>
            </w:r>
          </w:p>
          <w:p w14:paraId="501FA00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Record keeping.</w:t>
            </w:r>
          </w:p>
          <w:p w14:paraId="684A4A3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Scheduling of meetings and issuing electronic invites.</w:t>
            </w:r>
          </w:p>
          <w:p w14:paraId="050ED40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of meeting rooms/venues and arranging of catering.</w:t>
            </w:r>
          </w:p>
          <w:p w14:paraId="24E8465E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Collating and issuing of associated documents, minute taking and transcription thereof for distribution.</w:t>
            </w:r>
          </w:p>
          <w:p w14:paraId="7DE03E5D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travel and accommodation.</w:t>
            </w:r>
          </w:p>
          <w:p w14:paraId="1EC57B2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courses.</w:t>
            </w:r>
          </w:p>
          <w:p w14:paraId="191293A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Assisting with booking, scheduling, publicity, setting up and clearing down of events, providing support at events, collecting and processing of events feedback.</w:t>
            </w:r>
          </w:p>
          <w:p w14:paraId="78B783F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Project/task related research.</w:t>
            </w:r>
          </w:p>
          <w:p w14:paraId="630D068B" w14:textId="0CC7381D" w:rsid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Providing basic level training for new starters on systems, software and processes.</w:t>
            </w:r>
          </w:p>
          <w:p w14:paraId="51C05792" w14:textId="2256A68E" w:rsidR="00FD2412" w:rsidRPr="00FD2412" w:rsidRDefault="00FD2412" w:rsidP="00FD2412">
            <w:pPr>
              <w:spacing w:line="280" w:lineRule="atLeast"/>
              <w:ind w:left="425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Team Support</w:t>
            </w:r>
          </w:p>
          <w:p w14:paraId="5B6D3F30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Monitoring of the TDA Helpdesk and logging of incoming calls.</w:t>
            </w:r>
          </w:p>
          <w:p w14:paraId="091DFE6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Liaising with contractors/suppliers and following up on outstanding jobs.</w:t>
            </w:r>
          </w:p>
          <w:p w14:paraId="5EB4EFA8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Provide feedback to clients on jobs completed and/or outstanding work.</w:t>
            </w:r>
          </w:p>
          <w:p w14:paraId="5E5AFC1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Regular Customer Service Feedback Surveys on works completed and capturing, presenting data thereof.</w:t>
            </w:r>
          </w:p>
          <w:p w14:paraId="6386B69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Working in conjunction with Facilities Management regarding maintenance on Council property.</w:t>
            </w:r>
          </w:p>
          <w:p w14:paraId="421747F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lastRenderedPageBreak/>
              <w:t>Reconciliation of job sheets and invoices.</w:t>
            </w:r>
          </w:p>
          <w:p w14:paraId="1231E19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Updating and maintaining of spreadsheets.</w:t>
            </w:r>
          </w:p>
          <w:p w14:paraId="1EA95E6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Admin support for Corporate Condition Surveys and Service Level Agreements.</w:t>
            </w:r>
          </w:p>
          <w:p w14:paraId="6296DCB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Data capturing of Condition Surveys and producing of final Condition Survey Reports.</w:t>
            </w:r>
          </w:p>
          <w:p w14:paraId="509D859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SLA documentation.</w:t>
            </w:r>
          </w:p>
          <w:p w14:paraId="461B8F8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client and contractor data bases.</w:t>
            </w:r>
          </w:p>
          <w:p w14:paraId="2A5F2B48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L8MS filing system and SHE-Assure/HSB.</w:t>
            </w:r>
          </w:p>
          <w:p w14:paraId="29317FF9" w14:textId="200C23D4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of Annual Leave/Flex/Absence records within the Property Services team.</w:t>
            </w:r>
          </w:p>
        </w:tc>
      </w:tr>
    </w:tbl>
    <w:p w14:paraId="10FC7BFE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B32A048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9BFE898" w14:textId="623494D6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Give examples of the typical types of problems and decisions the post will be required to make</w:t>
            </w:r>
            <w:r w:rsidR="00612E52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 xml:space="preserve"> </w:t>
            </w:r>
          </w:p>
          <w:p w14:paraId="24A081D4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 xml:space="preserve">Learn how to balance workload and manage competing priorities ensuring deadlines are met </w:t>
            </w:r>
          </w:p>
          <w:p w14:paraId="3CA172C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Make decisions on escalating problems or phone calls and emails</w:t>
            </w:r>
          </w:p>
          <w:p w14:paraId="224AD0A2" w14:textId="18BD81E2" w:rsidR="00357B5D" w:rsidRPr="00B00BC4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Filing documentation in appropriate file location</w:t>
            </w:r>
          </w:p>
        </w:tc>
      </w:tr>
    </w:tbl>
    <w:p w14:paraId="503BC44B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4D58865" w14:textId="77777777" w:rsidTr="00B00BC4">
        <w:trPr>
          <w:trHeight w:val="1113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1FE65ECB" w14:textId="456876A2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Budgetary / Financial Responsibilities of the post</w:t>
            </w:r>
          </w:p>
          <w:p w14:paraId="1B12825D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Financial support duties using the company’s Financial Information Management System (FIMS) to enable the raising of purchase orders and issuing of invoices</w:t>
            </w:r>
          </w:p>
          <w:p w14:paraId="301FF70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Arranging for set up of new suppliers.</w:t>
            </w:r>
          </w:p>
          <w:p w14:paraId="5554F886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Completing payment voucher payments.</w:t>
            </w:r>
          </w:p>
          <w:p w14:paraId="37CF07DE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Year-end processing.</w:t>
            </w:r>
          </w:p>
          <w:p w14:paraId="63CF5AA6" w14:textId="00A10A10" w:rsidR="00CB002B" w:rsidRPr="00D42342" w:rsidRDefault="00D42342" w:rsidP="00CB002B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Checking/monitoring of budgets</w:t>
            </w:r>
          </w:p>
        </w:tc>
      </w:tr>
    </w:tbl>
    <w:p w14:paraId="2EDE485C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6311A604" w14:textId="77777777" w:rsidTr="00B00BC4">
        <w:trPr>
          <w:trHeight w:val="1162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08AB7B5" w14:textId="1F2B8993" w:rsidR="00357B5D" w:rsidRPr="00FA3A06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Supervision / Line Management Responsibilities of the post</w:t>
            </w:r>
          </w:p>
          <w:p w14:paraId="04B65CC5" w14:textId="7DA9E7EC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None</w:t>
            </w:r>
          </w:p>
        </w:tc>
      </w:tr>
    </w:tbl>
    <w:p w14:paraId="371AC6FD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02E697A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1950A218" w14:textId="37A3C082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Working Environment &amp; Conditions of the post</w:t>
            </w:r>
          </w:p>
          <w:p w14:paraId="45671F73" w14:textId="2194EBF3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Normal working environment and conditions</w:t>
            </w:r>
          </w:p>
        </w:tc>
      </w:tr>
    </w:tbl>
    <w:p w14:paraId="2F9139F9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11EF83CB" w14:textId="77777777" w:rsidTr="004F55B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7169D853" w14:textId="12804370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Physical Demands of the post</w:t>
            </w:r>
          </w:p>
          <w:p w14:paraId="049CE450" w14:textId="0EFBC5AF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Normal physical effort</w:t>
            </w:r>
          </w:p>
        </w:tc>
      </w:tr>
    </w:tbl>
    <w:p w14:paraId="2C9FB519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72A9FAC" w14:textId="77777777" w:rsidTr="004F55B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5F35C53" w14:textId="5F07D441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 xml:space="preserve">Specific Resources used by the post </w:t>
            </w:r>
          </w:p>
          <w:p w14:paraId="68DB10C0" w14:textId="77777777" w:rsidR="00357B5D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All Business Support Officers will be required to use the core systems. Other systems will be used as governed by the officer’s role.</w:t>
            </w:r>
          </w:p>
          <w:p w14:paraId="43A58F58" w14:textId="77777777" w:rsidR="00FD2412" w:rsidRPr="00FD2412" w:rsidRDefault="00FD2412" w:rsidP="00FD2412">
            <w:pPr>
              <w:spacing w:line="280" w:lineRule="atLeast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Core Systems:</w:t>
            </w:r>
          </w:p>
          <w:p w14:paraId="592B6702" w14:textId="1721AA90" w:rsidR="00FD2412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Microsoft Office, Outlook, Word, Excel, PowerPoint, FIMS (Finance), Cloud Booking (Room bookings), Workflow Max (Time recording), Tech Forge (Property Database and Helpdesk function), SHE-Assure (Health &amp; Safety online management tool), HSB (Insurance / Inspection Reports), MyView (HR Management Tool).</w:t>
            </w:r>
          </w:p>
          <w:p w14:paraId="6B5C7DAD" w14:textId="77777777" w:rsidR="00FD2412" w:rsidRPr="00FD2412" w:rsidRDefault="00FD2412" w:rsidP="00FD2412">
            <w:pPr>
              <w:spacing w:line="280" w:lineRule="atLeast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Other Systems:</w:t>
            </w:r>
          </w:p>
          <w:p w14:paraId="64298044" w14:textId="754D958E" w:rsidR="00FD2412" w:rsidRPr="00B00BC4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Supply Devon, ProContract (on-line tenders and bids), I-learn (LMS), L8MS (Water Hygiene Risk Assessments)</w:t>
            </w:r>
          </w:p>
        </w:tc>
      </w:tr>
    </w:tbl>
    <w:p w14:paraId="293C63B3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95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95"/>
      </w:tblGrid>
      <w:tr w:rsidR="00357B5D" w:rsidRPr="00B00BC4" w14:paraId="629E2B60" w14:textId="77777777" w:rsidTr="004F55B4">
        <w:trPr>
          <w:trHeight w:val="456"/>
        </w:trPr>
        <w:tc>
          <w:tcPr>
            <w:tcW w:w="10495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CC9982E" w14:textId="77777777" w:rsidR="00357B5D" w:rsidRPr="00FA3A06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Contacts and Relationships</w:t>
            </w:r>
          </w:p>
          <w:p w14:paraId="2CDFE17F" w14:textId="72B70BAC" w:rsidR="00357B5D" w:rsidRPr="00B00BC4" w:rsidRDefault="00357B5D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/>
                <w:color w:val="002F6C" w:themeColor="text2"/>
              </w:rPr>
            </w:pPr>
            <w:r w:rsidRPr="00B00BC4">
              <w:rPr>
                <w:rFonts w:ascii="Open Sans" w:hAnsi="Open Sans" w:cs="Open Sans"/>
                <w:b/>
                <w:color w:val="002F6C" w:themeColor="text2"/>
              </w:rPr>
              <w:t>External</w:t>
            </w:r>
            <w:r w:rsidR="00FD2412">
              <w:rPr>
                <w:rFonts w:ascii="Open Sans" w:hAnsi="Open Sans" w:cs="Open Sans"/>
                <w:b/>
                <w:color w:val="002F6C" w:themeColor="text2"/>
              </w:rPr>
              <w:t xml:space="preserve"> </w:t>
            </w:r>
            <w:r w:rsidR="00FD2412">
              <w:rPr>
                <w:rFonts w:ascii="Open Sans" w:hAnsi="Open Sans" w:cs="Open Sans"/>
                <w:bCs/>
                <w:color w:val="002F6C" w:themeColor="text2"/>
              </w:rPr>
              <w:t xml:space="preserve">- </w:t>
            </w:r>
            <w:r w:rsidR="00FD2412" w:rsidRPr="002E5B29">
              <w:rPr>
                <w:rFonts w:ascii="Open Sans" w:hAnsi="Open Sans" w:cs="Open Sans"/>
                <w:bCs/>
              </w:rPr>
              <w:t>TDA clients and contacts (Torbay Council and other organisations) at every level including senior management, contractors, TDA clients, Torbay Councillors.</w:t>
            </w:r>
          </w:p>
          <w:p w14:paraId="139BFF4F" w14:textId="3ED26E8B" w:rsidR="00357B5D" w:rsidRPr="00B00BC4" w:rsidRDefault="00357B5D" w:rsidP="00EB1153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/>
              </w:rPr>
            </w:pPr>
            <w:r w:rsidRPr="00B00BC4">
              <w:rPr>
                <w:rFonts w:ascii="Open Sans" w:hAnsi="Open Sans" w:cs="Open Sans"/>
                <w:b/>
                <w:color w:val="002F6C" w:themeColor="text2"/>
              </w:rPr>
              <w:t>Internal</w:t>
            </w:r>
            <w:r w:rsidR="00FD2412">
              <w:rPr>
                <w:rFonts w:ascii="Open Sans" w:hAnsi="Open Sans" w:cs="Open Sans"/>
                <w:bCs/>
                <w:color w:val="002F6C" w:themeColor="text2"/>
              </w:rPr>
              <w:t xml:space="preserve"> - </w:t>
            </w:r>
            <w:r w:rsidR="00FD2412" w:rsidRPr="002E5B29">
              <w:rPr>
                <w:rFonts w:ascii="Open Sans" w:hAnsi="Open Sans" w:cs="Open Sans"/>
                <w:bCs/>
              </w:rPr>
              <w:t>TDA Staff, TDA Board members</w:t>
            </w:r>
          </w:p>
        </w:tc>
      </w:tr>
    </w:tbl>
    <w:tbl>
      <w:tblPr>
        <w:tblpPr w:leftFromText="180" w:rightFromText="180" w:vertAnchor="text" w:horzAnchor="margin" w:tblpX="-30" w:tblpY="473"/>
        <w:tblOverlap w:val="never"/>
        <w:tblW w:w="10499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ook w:val="0000" w:firstRow="0" w:lastRow="0" w:firstColumn="0" w:lastColumn="0" w:noHBand="0" w:noVBand="0"/>
      </w:tblPr>
      <w:tblGrid>
        <w:gridCol w:w="10499"/>
      </w:tblGrid>
      <w:tr w:rsidR="008923DB" w:rsidRPr="00B00BC4" w14:paraId="0B0F2F92" w14:textId="77777777" w:rsidTr="004F55B4">
        <w:trPr>
          <w:trHeight w:val="948"/>
        </w:trPr>
        <w:tc>
          <w:tcPr>
            <w:tcW w:w="10499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480F6860" w14:textId="77777777" w:rsidR="008923DB" w:rsidRPr="00294BBC" w:rsidRDefault="008923DB" w:rsidP="003F25DC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Cs w:val="24"/>
              </w:rPr>
            </w:pPr>
            <w:r w:rsidRPr="00AF17BA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Other Duties</w:t>
            </w:r>
          </w:p>
          <w:p w14:paraId="12240637" w14:textId="308E4720" w:rsidR="008923DB" w:rsidRPr="0018714D" w:rsidRDefault="008923DB" w:rsidP="003F25DC">
            <w:pPr>
              <w:spacing w:line="280" w:lineRule="atLeast"/>
              <w:rPr>
                <w:rFonts w:ascii="Open Sans" w:hAnsi="Open Sans" w:cs="Open Sans"/>
                <w:sz w:val="22"/>
                <w:szCs w:val="22"/>
              </w:rPr>
            </w:pPr>
            <w:r w:rsidRPr="00294BBC">
              <w:rPr>
                <w:rFonts w:ascii="Open Sans" w:hAnsi="Open Sans" w:cs="Open Sans"/>
                <w:szCs w:val="24"/>
              </w:rPr>
              <w:t xml:space="preserve">    11.1 </w:t>
            </w:r>
            <w:r w:rsidR="00536BB4" w:rsidRPr="00294BBC">
              <w:rPr>
                <w:rFonts w:ascii="Open Sans" w:hAnsi="Open Sans" w:cs="Open Sans"/>
                <w:szCs w:val="24"/>
              </w:rPr>
              <w:t>To undertake additional duties as required, commensurate with the level of the job.</w:t>
            </w:r>
          </w:p>
        </w:tc>
      </w:tr>
    </w:tbl>
    <w:p w14:paraId="68F2EC1F" w14:textId="77777777" w:rsidR="00357B5D" w:rsidRPr="00B00BC4" w:rsidRDefault="00357B5D" w:rsidP="00357B5D">
      <w:pPr>
        <w:rPr>
          <w:rFonts w:ascii="Open Sans" w:hAnsi="Open Sans" w:cs="Open Sans"/>
        </w:rPr>
      </w:pPr>
    </w:p>
    <w:p w14:paraId="7AF1E30F" w14:textId="77777777" w:rsidR="008923DB" w:rsidRPr="00B00BC4" w:rsidRDefault="008923DB" w:rsidP="00357B5D">
      <w:pPr>
        <w:spacing w:line="280" w:lineRule="atLeast"/>
        <w:rPr>
          <w:rFonts w:ascii="Open Sans" w:hAnsi="Open Sans" w:cs="Open Sans"/>
        </w:rPr>
      </w:pPr>
    </w:p>
    <w:tbl>
      <w:tblPr>
        <w:tblpPr w:leftFromText="180" w:rightFromText="180" w:vertAnchor="text" w:horzAnchor="margin" w:tblpX="-15" w:tblpY="44"/>
        <w:tblW w:w="10494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ook w:val="01E0" w:firstRow="1" w:lastRow="1" w:firstColumn="1" w:lastColumn="1" w:noHBand="0" w:noVBand="0"/>
      </w:tblPr>
      <w:tblGrid>
        <w:gridCol w:w="10494"/>
      </w:tblGrid>
      <w:tr w:rsidR="002E7CA8" w:rsidRPr="00B00BC4" w14:paraId="219C92B8" w14:textId="77777777" w:rsidTr="004F55B4">
        <w:trPr>
          <w:trHeight w:val="4810"/>
        </w:trPr>
        <w:tc>
          <w:tcPr>
            <w:tcW w:w="10494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5B44AB9C" w14:textId="41DC1B95" w:rsidR="002E7CA8" w:rsidRPr="00AF17BA" w:rsidRDefault="00304BEB" w:rsidP="004F55B4">
            <w:pPr>
              <w:pStyle w:val="Heading1"/>
              <w:pBdr>
                <w:bottom w:val="none" w:sz="0" w:space="0" w:color="auto"/>
              </w:pBdr>
              <w:tabs>
                <w:tab w:val="left" w:pos="3945"/>
                <w:tab w:val="left" w:pos="4740"/>
              </w:tabs>
              <w:spacing w:after="120" w:line="280" w:lineRule="atLeast"/>
              <w:rPr>
                <w:rFonts w:ascii="Open Sans" w:hAnsi="Open Sans" w:cs="Open Sans"/>
                <w:sz w:val="28"/>
                <w:szCs w:val="28"/>
              </w:rPr>
            </w:pPr>
            <w:r w:rsidRPr="00AF17BA">
              <w:rPr>
                <w:rFonts w:ascii="Open Sans" w:hAnsi="Open Sans" w:cs="Open Sans"/>
                <w:sz w:val="28"/>
                <w:szCs w:val="28"/>
              </w:rPr>
              <w:t>Additional</w:t>
            </w:r>
            <w:r w:rsidR="002E7CA8" w:rsidRPr="00AF17BA">
              <w:rPr>
                <w:rFonts w:ascii="Open Sans" w:hAnsi="Open Sans" w:cs="Open Sans"/>
                <w:sz w:val="28"/>
                <w:szCs w:val="28"/>
              </w:rPr>
              <w:t xml:space="preserve"> Information</w:t>
            </w:r>
            <w:r w:rsidR="003738BA" w:rsidRPr="00AF17BA">
              <w:rPr>
                <w:rFonts w:ascii="Open Sans" w:hAnsi="Open Sans" w:cs="Open Sans"/>
                <w:sz w:val="28"/>
                <w:szCs w:val="28"/>
              </w:rPr>
              <w:t>:</w:t>
            </w:r>
            <w:r w:rsidR="00B00892" w:rsidRPr="00AF17BA">
              <w:rPr>
                <w:rFonts w:ascii="Open Sans" w:hAnsi="Open Sans" w:cs="Open Sans"/>
                <w:sz w:val="28"/>
                <w:szCs w:val="28"/>
              </w:rPr>
              <w:tab/>
            </w:r>
            <w:r w:rsidR="007E5A9E" w:rsidRPr="00AF17BA">
              <w:rPr>
                <w:rFonts w:ascii="Open Sans" w:hAnsi="Open Sans" w:cs="Open Sans"/>
                <w:sz w:val="28"/>
                <w:szCs w:val="28"/>
              </w:rPr>
              <w:tab/>
            </w:r>
          </w:p>
          <w:p w14:paraId="74786220" w14:textId="77777777" w:rsidR="002E7CA8" w:rsidRPr="00B00BC4" w:rsidRDefault="002E7CA8" w:rsidP="003F25DC">
            <w:pPr>
              <w:numPr>
                <w:ilvl w:val="0"/>
                <w:numId w:val="10"/>
              </w:numPr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bCs/>
                <w:sz w:val="22"/>
                <w:szCs w:val="22"/>
              </w:rPr>
              <w:t>TDA is a trading name of Torbay Economic Development Company Ltd which is a company controlled by the Council of the Borough of Torbay.</w:t>
            </w:r>
          </w:p>
          <w:p w14:paraId="6B3503AA" w14:textId="50031905" w:rsidR="00B47FA9" w:rsidRPr="00022AAA" w:rsidRDefault="002E7CA8" w:rsidP="00022AAA">
            <w:pPr>
              <w:numPr>
                <w:ilvl w:val="0"/>
                <w:numId w:val="10"/>
              </w:numPr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This post is based at </w:t>
            </w:r>
            <w:r w:rsidR="00FD2412">
              <w:rPr>
                <w:rFonts w:ascii="Open Sans" w:hAnsi="Open Sans" w:cs="Open Sans"/>
                <w:sz w:val="22"/>
                <w:szCs w:val="22"/>
              </w:rPr>
              <w:t>Tor Hill House</w:t>
            </w:r>
            <w:r w:rsidR="0008315B" w:rsidRPr="00B00B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00BC4">
              <w:rPr>
                <w:rFonts w:ascii="Open Sans" w:hAnsi="Open Sans" w:cs="Open Sans"/>
                <w:sz w:val="22"/>
                <w:szCs w:val="22"/>
              </w:rPr>
              <w:t>but the post holder may be required to move their base to any other location within the TDA at a future date.</w:t>
            </w:r>
          </w:p>
          <w:p w14:paraId="33C877D5" w14:textId="77777777" w:rsidR="003B2D8C" w:rsidRDefault="002E7CA8" w:rsidP="003F25DC">
            <w:pPr>
              <w:numPr>
                <w:ilvl w:val="0"/>
                <w:numId w:val="10"/>
              </w:numPr>
              <w:tabs>
                <w:tab w:val="left" w:pos="885"/>
              </w:tabs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Successful applicants would be expected to complete a Criminal Records Self Declaration Form. Criminal convictions will only be taken into account when they are relevant to the post. You will only be asked to disclose ‘unspent’ convictions.  </w:t>
            </w:r>
          </w:p>
          <w:p w14:paraId="08B93A5A" w14:textId="355288B2" w:rsidR="002E7CA8" w:rsidRPr="00B00BC4" w:rsidRDefault="002E7CA8" w:rsidP="003F25DC">
            <w:pPr>
              <w:numPr>
                <w:ilvl w:val="0"/>
                <w:numId w:val="10"/>
              </w:numPr>
              <w:tabs>
                <w:tab w:val="left" w:pos="885"/>
              </w:tabs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47FA9">
              <w:rPr>
                <w:rFonts w:ascii="Open Sans" w:hAnsi="Open Sans" w:cs="Open Sans"/>
                <w:sz w:val="22"/>
                <w:szCs w:val="22"/>
              </w:rPr>
              <w:t xml:space="preserve">A criminal record check </w:t>
            </w:r>
            <w:r w:rsidR="003B2D8C">
              <w:rPr>
                <w:rFonts w:ascii="Open Sans" w:hAnsi="Open Sans" w:cs="Open Sans"/>
                <w:sz w:val="22"/>
                <w:szCs w:val="22"/>
              </w:rPr>
              <w:t>(disclosure) from the DBS is required for this post and will be undertaken before appointment is confirmed.</w:t>
            </w:r>
          </w:p>
          <w:p w14:paraId="45028A31" w14:textId="2050DB42" w:rsidR="00B47FA9" w:rsidRPr="00B47FA9" w:rsidRDefault="002E7CA8" w:rsidP="00B47FA9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All staff must commit to Equal Opportunities and Anti-Discriminatory Practice.</w:t>
            </w:r>
          </w:p>
          <w:p w14:paraId="027265CB" w14:textId="1C78A9B1" w:rsidR="003B2D8C" w:rsidRPr="003B2D8C" w:rsidRDefault="00B47FA9" w:rsidP="003B2D8C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All staff must be committed to demonstrating TDAs core values of Respect, Integrity Adaptability and Empowerment. </w:t>
            </w:r>
          </w:p>
          <w:p w14:paraId="55E595FA" w14:textId="70746C42" w:rsidR="003B2D8C" w:rsidRDefault="003B2D8C" w:rsidP="003F25DC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If you are required to use your own vehicle on TDA business or drive a TDA vehicle you will be asked to provide information on any driving endorsements</w:t>
            </w:r>
          </w:p>
          <w:p w14:paraId="485FE337" w14:textId="3E462E7B" w:rsidR="00B47FA9" w:rsidRPr="00294BBC" w:rsidRDefault="002E7CA8" w:rsidP="00B47FA9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 xml:space="preserve">The post-holder is expected to familiarise themselves with and adhere to all relevant </w:t>
            </w:r>
            <w:r w:rsidR="00B47FA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TDA </w:t>
            </w:r>
            <w:r w:rsidRPr="00B00BC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Policies </w:t>
            </w:r>
            <w:r w:rsidR="00294BBC">
              <w:rPr>
                <w:rFonts w:ascii="Open Sans" w:hAnsi="Open Sans" w:cs="Open Sans"/>
                <w:color w:val="auto"/>
                <w:sz w:val="22"/>
                <w:szCs w:val="22"/>
              </w:rPr>
              <w:t>a</w:t>
            </w:r>
            <w:r w:rsidRPr="00B00BC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nd Procedures.   </w:t>
            </w:r>
          </w:p>
        </w:tc>
      </w:tr>
    </w:tbl>
    <w:p w14:paraId="206BAF84" w14:textId="7A498A79" w:rsidR="00357B5D" w:rsidRPr="00B00BC4" w:rsidRDefault="00357B5D" w:rsidP="007839C2">
      <w:pPr>
        <w:rPr>
          <w:rFonts w:ascii="Open Sans" w:hAnsi="Open Sans" w:cs="Open Sans"/>
        </w:rPr>
      </w:pPr>
    </w:p>
    <w:p w14:paraId="75514E8A" w14:textId="4B3F029D" w:rsidR="008C11A4" w:rsidRPr="00B00BC4" w:rsidRDefault="008C11A4" w:rsidP="007839C2">
      <w:pPr>
        <w:rPr>
          <w:rFonts w:ascii="Open Sans" w:hAnsi="Open Sans" w:cs="Open Sans"/>
        </w:rPr>
      </w:pPr>
    </w:p>
    <w:p w14:paraId="4B540BE3" w14:textId="7258EEE9" w:rsidR="008C11A4" w:rsidRPr="00B00BC4" w:rsidRDefault="008C11A4" w:rsidP="007839C2">
      <w:pPr>
        <w:rPr>
          <w:rFonts w:ascii="Open Sans" w:hAnsi="Open Sans" w:cs="Open Sans"/>
        </w:rPr>
      </w:pPr>
    </w:p>
    <w:p w14:paraId="6BEA852F" w14:textId="05C4FC93" w:rsidR="00434E1A" w:rsidRDefault="00434E1A" w:rsidP="007839C2">
      <w:pPr>
        <w:sectPr w:rsidR="00434E1A" w:rsidSect="00C3233D">
          <w:headerReference w:type="first" r:id="rId10"/>
          <w:pgSz w:w="11906" w:h="16838" w:code="9"/>
          <w:pgMar w:top="510" w:right="720" w:bottom="510" w:left="720" w:header="567" w:footer="284" w:gutter="0"/>
          <w:cols w:space="708"/>
          <w:titlePg/>
          <w:docGrid w:linePitch="360"/>
        </w:sectPr>
      </w:pPr>
    </w:p>
    <w:p w14:paraId="0C1A78C3" w14:textId="32742631" w:rsidR="00434E1A" w:rsidRPr="007D428B" w:rsidRDefault="00D56F36" w:rsidP="00434E1A">
      <w:pPr>
        <w:spacing w:after="0" w:line="280" w:lineRule="atLeast"/>
        <w:jc w:val="center"/>
        <w:rPr>
          <w:rFonts w:ascii="Open Sans" w:eastAsiaTheme="majorEastAsia" w:hAnsi="Open Sans" w:cs="Open Sans"/>
          <w:b/>
          <w:bCs/>
          <w:color w:val="002F6C" w:themeColor="text2"/>
          <w:sz w:val="28"/>
          <w:szCs w:val="28"/>
        </w:rPr>
      </w:pPr>
      <w:r w:rsidRPr="007D428B">
        <w:rPr>
          <w:rFonts w:ascii="Open Sans" w:eastAsiaTheme="majorEastAsia" w:hAnsi="Open Sans" w:cs="Open Sans"/>
          <w:b/>
          <w:bCs/>
          <w:color w:val="002F6C" w:themeColor="text2"/>
          <w:sz w:val="28"/>
          <w:szCs w:val="28"/>
        </w:rPr>
        <w:lastRenderedPageBreak/>
        <w:t>Person Specification</w:t>
      </w:r>
    </w:p>
    <w:p w14:paraId="6AC679BC" w14:textId="77777777" w:rsidR="00D56F36" w:rsidRPr="007D428B" w:rsidRDefault="00D56F36" w:rsidP="0018714D">
      <w:pPr>
        <w:spacing w:after="0" w:line="280" w:lineRule="atLeast"/>
        <w:rPr>
          <w:rFonts w:ascii="Open Sans" w:eastAsia="Times New Roman" w:hAnsi="Open Sans" w:cs="Open Sans"/>
          <w:b/>
          <w:szCs w:val="20"/>
        </w:rPr>
      </w:pPr>
    </w:p>
    <w:tbl>
      <w:tblPr>
        <w:tblW w:w="15026" w:type="dxa"/>
        <w:tblInd w:w="108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5907"/>
        <w:gridCol w:w="992"/>
        <w:gridCol w:w="6804"/>
      </w:tblGrid>
      <w:tr w:rsidR="00434E1A" w:rsidRPr="007D428B" w14:paraId="354CEBC8" w14:textId="77777777" w:rsidTr="00AF17BA">
        <w:tc>
          <w:tcPr>
            <w:tcW w:w="1323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D9D9D9" w:themeFill="background1" w:themeFillShade="D9"/>
            <w:vAlign w:val="center"/>
          </w:tcPr>
          <w:p w14:paraId="6E977ED8" w14:textId="77777777" w:rsidR="00434E1A" w:rsidRPr="007D428B" w:rsidRDefault="00434E1A" w:rsidP="00434E1A">
            <w:pPr>
              <w:spacing w:after="0" w:line="320" w:lineRule="atLeast"/>
              <w:rPr>
                <w:rFonts w:ascii="Open Sans" w:eastAsia="Times New Roman" w:hAnsi="Open Sans" w:cs="Open Sans"/>
                <w:b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Job Title:</w:t>
            </w:r>
          </w:p>
        </w:tc>
        <w:tc>
          <w:tcPr>
            <w:tcW w:w="5907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vAlign w:val="center"/>
          </w:tcPr>
          <w:p w14:paraId="44EA128A" w14:textId="53B23268" w:rsidR="00434E1A" w:rsidRPr="007D428B" w:rsidRDefault="002E5B29" w:rsidP="00434E1A">
            <w:pPr>
              <w:spacing w:after="0" w:line="320" w:lineRule="atLeast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szCs w:val="24"/>
              </w:rPr>
              <w:t xml:space="preserve">Business Support Officer </w:t>
            </w:r>
            <w:r w:rsidR="00C71A5F">
              <w:rPr>
                <w:rFonts w:ascii="Open Sans" w:eastAsia="Times New Roman" w:hAnsi="Open Sans" w:cs="Open Sans"/>
                <w:szCs w:val="24"/>
              </w:rPr>
              <w:t>–</w:t>
            </w:r>
            <w:r>
              <w:rPr>
                <w:rFonts w:ascii="Open Sans" w:eastAsia="Times New Roman" w:hAnsi="Open Sans" w:cs="Open Sans"/>
                <w:szCs w:val="24"/>
              </w:rPr>
              <w:t xml:space="preserve"> </w:t>
            </w:r>
            <w:r w:rsidR="00C71A5F">
              <w:rPr>
                <w:rFonts w:ascii="Open Sans" w:eastAsia="Times New Roman" w:hAnsi="Open Sans" w:cs="Open Sans"/>
                <w:szCs w:val="24"/>
              </w:rPr>
              <w:t>Property Services</w:t>
            </w:r>
          </w:p>
        </w:tc>
        <w:tc>
          <w:tcPr>
            <w:tcW w:w="992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D9D9D9" w:themeFill="background1" w:themeFillShade="D9"/>
            <w:vAlign w:val="center"/>
          </w:tcPr>
          <w:p w14:paraId="62D60B87" w14:textId="77777777" w:rsidR="00434E1A" w:rsidRPr="007D428B" w:rsidRDefault="00434E1A" w:rsidP="00434E1A">
            <w:pPr>
              <w:spacing w:after="0" w:line="320" w:lineRule="atLeast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Team:</w:t>
            </w:r>
          </w:p>
        </w:tc>
        <w:tc>
          <w:tcPr>
            <w:tcW w:w="6804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vAlign w:val="center"/>
          </w:tcPr>
          <w:p w14:paraId="48851A40" w14:textId="545C8E34" w:rsidR="00434E1A" w:rsidRPr="007D428B" w:rsidRDefault="002E5B29" w:rsidP="00434E1A">
            <w:pPr>
              <w:spacing w:after="0" w:line="320" w:lineRule="atLeast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szCs w:val="24"/>
              </w:rPr>
              <w:t>Property Services</w:t>
            </w:r>
          </w:p>
        </w:tc>
      </w:tr>
    </w:tbl>
    <w:p w14:paraId="62FE2C06" w14:textId="77777777" w:rsidR="00434E1A" w:rsidRPr="007D428B" w:rsidRDefault="00434E1A" w:rsidP="00434E1A">
      <w:pPr>
        <w:spacing w:after="0" w:line="280" w:lineRule="atLeast"/>
        <w:rPr>
          <w:rFonts w:ascii="Open Sans" w:eastAsia="Times New Roman" w:hAnsi="Open Sans" w:cs="Open Sans"/>
          <w:b/>
          <w:szCs w:val="24"/>
        </w:rPr>
      </w:pPr>
    </w:p>
    <w:tbl>
      <w:tblPr>
        <w:tblW w:w="15055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825"/>
      </w:tblGrid>
      <w:tr w:rsidR="00434E1A" w:rsidRPr="007D428B" w14:paraId="2AB98C48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4BEBD040" w14:textId="77777777" w:rsidR="00434E1A" w:rsidRPr="007D428B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szCs w:val="24"/>
                <w:u w:val="single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Skills and Effectiveness: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30A0FA92" w14:textId="77777777" w:rsidR="00434E1A" w:rsidRPr="007D428B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Skills and Effectiveness:</w:t>
            </w:r>
          </w:p>
        </w:tc>
      </w:tr>
      <w:tr w:rsidR="00434E1A" w:rsidRPr="00C71A5F" w14:paraId="30ED4260" w14:textId="77777777" w:rsidTr="004F55B4">
        <w:trPr>
          <w:trHeight w:val="2524"/>
        </w:trPr>
        <w:tc>
          <w:tcPr>
            <w:tcW w:w="7230" w:type="dxa"/>
          </w:tcPr>
          <w:p w14:paraId="28B1BE9D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Effective communication abilities</w:t>
            </w:r>
          </w:p>
          <w:p w14:paraId="4B816DD1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High degree of accuracy and attention to detail</w:t>
            </w:r>
          </w:p>
          <w:p w14:paraId="71755B57" w14:textId="08C08590" w:rsidR="00434E1A" w:rsidRPr="00C71A5F" w:rsidRDefault="00BF667C" w:rsidP="00BF667C">
            <w:pPr>
              <w:numPr>
                <w:ilvl w:val="0"/>
                <w:numId w:val="11"/>
              </w:numPr>
              <w:spacing w:after="0" w:line="280" w:lineRule="atLeast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Excellent interpersonal skills and ability to work effectively in a team</w:t>
            </w:r>
          </w:p>
          <w:p w14:paraId="4726FCFD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80" w:lineRule="atLeast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Good organisational skills with the ability to determine priorities and complete tasks within deadlines</w:t>
            </w:r>
          </w:p>
          <w:p w14:paraId="5FA680BC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A desire and willingness to learn about Property Services and the range of work we do</w:t>
            </w:r>
          </w:p>
          <w:p w14:paraId="11A593ED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Ability to multi-task and meet challenging deadlines and work with competing demands</w:t>
            </w:r>
          </w:p>
          <w:p w14:paraId="1828A698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Possess a positive attitude</w:t>
            </w:r>
          </w:p>
          <w:p w14:paraId="423AFC7E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 xml:space="preserve">Excellent customer services both internally and externally </w:t>
            </w:r>
          </w:p>
          <w:p w14:paraId="4F40D453" w14:textId="77777777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To work without direct supervision and manage own workload</w:t>
            </w:r>
          </w:p>
          <w:p w14:paraId="2B476672" w14:textId="0EC348F1" w:rsidR="00BF667C" w:rsidRPr="00C71A5F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Telephone, ICT and typing skills</w:t>
            </w:r>
          </w:p>
        </w:tc>
        <w:tc>
          <w:tcPr>
            <w:tcW w:w="7825" w:type="dxa"/>
          </w:tcPr>
          <w:p w14:paraId="6D31F768" w14:textId="2641AC79" w:rsidR="00434E1A" w:rsidRPr="00C71A5F" w:rsidRDefault="00BF667C" w:rsidP="00BF667C">
            <w:pPr>
              <w:pStyle w:val="ListParagraph"/>
              <w:numPr>
                <w:ilvl w:val="0"/>
                <w:numId w:val="12"/>
              </w:numPr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Basic financial understanding and skills</w:t>
            </w:r>
          </w:p>
        </w:tc>
      </w:tr>
    </w:tbl>
    <w:p w14:paraId="19181E71" w14:textId="77777777" w:rsidR="00434E1A" w:rsidRPr="00C71A5F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C71A5F" w14:paraId="3EA4C37A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4D54860E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Knowledge: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EA798FC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Knowledge:</w:t>
            </w:r>
          </w:p>
        </w:tc>
      </w:tr>
      <w:tr w:rsidR="00CF4C27" w:rsidRPr="00C71A5F" w14:paraId="270AD792" w14:textId="77777777" w:rsidTr="004F55B4">
        <w:tc>
          <w:tcPr>
            <w:tcW w:w="7230" w:type="dxa"/>
          </w:tcPr>
          <w:p w14:paraId="4D77677E" w14:textId="67CA9761" w:rsidR="00BF667C" w:rsidRPr="00C71A5F" w:rsidRDefault="00BF667C" w:rsidP="00294BBC">
            <w:pPr>
              <w:numPr>
                <w:ilvl w:val="0"/>
                <w:numId w:val="27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Microsoft Office (Word, Excel and Outlook)</w:t>
            </w:r>
          </w:p>
          <w:p w14:paraId="46273C2C" w14:textId="77777777" w:rsidR="00CF4C27" w:rsidRPr="00C71A5F" w:rsidRDefault="00CF4C27" w:rsidP="00CF4C27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796" w:type="dxa"/>
          </w:tcPr>
          <w:p w14:paraId="732615BC" w14:textId="2D78544C" w:rsidR="00CF4C27" w:rsidRPr="00C71A5F" w:rsidRDefault="00BF667C" w:rsidP="00294BBC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PowerPoint</w:t>
            </w:r>
          </w:p>
          <w:p w14:paraId="6A3C5161" w14:textId="25756628" w:rsidR="00BF667C" w:rsidRPr="00C71A5F" w:rsidRDefault="00BF667C" w:rsidP="00294BBC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Cs w:val="24"/>
              </w:rPr>
            </w:pPr>
            <w:r w:rsidRPr="00C71A5F">
              <w:rPr>
                <w:rFonts w:ascii="Open Sans" w:hAnsi="Open Sans" w:cs="Open Sans"/>
                <w:szCs w:val="24"/>
              </w:rPr>
              <w:t>Knowledge of building maintenance</w:t>
            </w:r>
          </w:p>
        </w:tc>
      </w:tr>
    </w:tbl>
    <w:p w14:paraId="65FCD401" w14:textId="77777777" w:rsidR="00434E1A" w:rsidRPr="00C71A5F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C71A5F" w14:paraId="5D345BED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2F5E0DA5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Experience/Achievements: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463E4044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Experience/Achievements:</w:t>
            </w:r>
          </w:p>
        </w:tc>
      </w:tr>
      <w:tr w:rsidR="00434E1A" w:rsidRPr="00C71A5F" w14:paraId="2769F29A" w14:textId="77777777" w:rsidTr="004F55B4">
        <w:trPr>
          <w:trHeight w:val="415"/>
          <w:hidden/>
        </w:trPr>
        <w:tc>
          <w:tcPr>
            <w:tcW w:w="7230" w:type="dxa"/>
          </w:tcPr>
          <w:p w14:paraId="3CB76A2A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370A9A4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7428F75B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2A644C9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1FA9AE0F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4B874386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1F364FDC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01A27F25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51F46836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284EBB2F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F6FB7AA" w14:textId="77777777" w:rsidR="00434E1A" w:rsidRPr="00C71A5F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442202A2" w14:textId="27180343" w:rsidR="004979F3" w:rsidRPr="00C71A5F" w:rsidRDefault="004979F3" w:rsidP="004979F3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1</w:t>
            </w:r>
            <w:r w:rsidR="00294BBC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2</w:t>
            </w:r>
            <w:r w:rsidRPr="00C71A5F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.</w:t>
            </w:r>
            <w:r w:rsidRPr="00C71A5F">
              <w:rPr>
                <w:rFonts w:ascii="Open Sans" w:eastAsia="Times New Roman" w:hAnsi="Open Sans" w:cs="Open Sans"/>
                <w:szCs w:val="24"/>
              </w:rPr>
              <w:tab/>
              <w:t>Working in an office environment</w:t>
            </w:r>
          </w:p>
          <w:p w14:paraId="2BE5DA70" w14:textId="71BB6D42" w:rsidR="00434E1A" w:rsidRPr="00C71A5F" w:rsidRDefault="00294BBC" w:rsidP="004979F3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13</w:t>
            </w:r>
            <w:r w:rsidR="004979F3" w:rsidRPr="00C71A5F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.</w:t>
            </w:r>
            <w:r w:rsidR="004979F3" w:rsidRPr="00C71A5F">
              <w:rPr>
                <w:rFonts w:ascii="Open Sans" w:eastAsia="Times New Roman" w:hAnsi="Open Sans" w:cs="Open Sans"/>
                <w:szCs w:val="24"/>
              </w:rPr>
              <w:tab/>
              <w:t>Working successfully with external agencies, consultants and public</w:t>
            </w:r>
          </w:p>
        </w:tc>
        <w:tc>
          <w:tcPr>
            <w:tcW w:w="7796" w:type="dxa"/>
          </w:tcPr>
          <w:p w14:paraId="70D77169" w14:textId="3D60713D" w:rsidR="00934437" w:rsidRPr="00C71A5F" w:rsidRDefault="00934437" w:rsidP="00294B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Working in a professional environment</w:t>
            </w:r>
          </w:p>
          <w:p w14:paraId="1426B079" w14:textId="0981A665" w:rsidR="00934437" w:rsidRPr="00C71A5F" w:rsidRDefault="00934437" w:rsidP="00294B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Local Government</w:t>
            </w:r>
          </w:p>
          <w:p w14:paraId="2BF9C0E6" w14:textId="6AC7B9C6" w:rsidR="00434E1A" w:rsidRPr="00C71A5F" w:rsidRDefault="00934437" w:rsidP="00294B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Working with a wide range of software systems</w:t>
            </w:r>
          </w:p>
        </w:tc>
      </w:tr>
    </w:tbl>
    <w:p w14:paraId="268CB685" w14:textId="77777777" w:rsidR="00434E1A" w:rsidRPr="00C71A5F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C71A5F" w14:paraId="2DD26093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7F42C51C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Qualifications/Professional Memberships: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F90B73C" w14:textId="77777777" w:rsidR="00434E1A" w:rsidRPr="00C71A5F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Qualifications/Professional Memberships:</w:t>
            </w:r>
          </w:p>
        </w:tc>
      </w:tr>
      <w:tr w:rsidR="00434E1A" w:rsidRPr="00C71A5F" w14:paraId="31A37693" w14:textId="77777777" w:rsidTr="004F55B4">
        <w:tc>
          <w:tcPr>
            <w:tcW w:w="7230" w:type="dxa"/>
          </w:tcPr>
          <w:p w14:paraId="7ACFB0D4" w14:textId="39A307A3" w:rsidR="00434E1A" w:rsidRPr="00C71A5F" w:rsidRDefault="00934437" w:rsidP="00294B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GCSE/NVQ 2 or equivalent</w:t>
            </w:r>
          </w:p>
        </w:tc>
        <w:tc>
          <w:tcPr>
            <w:tcW w:w="7796" w:type="dxa"/>
          </w:tcPr>
          <w:p w14:paraId="0CBFB585" w14:textId="77777777" w:rsidR="00434E1A" w:rsidRPr="00C71A5F" w:rsidRDefault="00434E1A" w:rsidP="00434E1A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14:paraId="6708B546" w14:textId="77777777" w:rsidR="00434E1A" w:rsidRPr="00C71A5F" w:rsidRDefault="00434E1A" w:rsidP="00434E1A">
      <w:pPr>
        <w:spacing w:line="280" w:lineRule="atLeast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434E1A" w:rsidRPr="00C71A5F" w14:paraId="289A7E3E" w14:textId="77777777" w:rsidTr="0018714D">
        <w:trPr>
          <w:trHeight w:val="2097"/>
        </w:trPr>
        <w:tc>
          <w:tcPr>
            <w:tcW w:w="1502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</w:tcPr>
          <w:p w14:paraId="541F3065" w14:textId="64184288" w:rsidR="00434E1A" w:rsidRPr="00C71A5F" w:rsidRDefault="00434E1A" w:rsidP="00795BAD">
            <w:pPr>
              <w:keepNext/>
              <w:shd w:val="clear" w:color="auto" w:fill="D9D9D9" w:themeFill="background1" w:themeFillShade="D9"/>
              <w:spacing w:after="0" w:line="280" w:lineRule="atLeast"/>
              <w:outlineLvl w:val="3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–</w:t>
            </w:r>
            <w:r w:rsidRPr="00C71A5F">
              <w:rPr>
                <w:rFonts w:ascii="Open Sans" w:eastAsia="Times New Roman" w:hAnsi="Open Sans" w:cs="Open Sans"/>
                <w:color w:val="002060"/>
                <w:szCs w:val="24"/>
              </w:rPr>
              <w:t xml:space="preserve"> </w:t>
            </w:r>
            <w:r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Other requirements of the job role</w:t>
            </w:r>
            <w:r w:rsidR="006D5AB2" w:rsidRPr="00C71A5F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:</w:t>
            </w:r>
          </w:p>
          <w:p w14:paraId="67F7C6F5" w14:textId="77777777" w:rsidR="004979F3" w:rsidRPr="00C71A5F" w:rsidRDefault="004979F3" w:rsidP="004979F3">
            <w:pPr>
              <w:pStyle w:val="ListParagraph"/>
              <w:numPr>
                <w:ilvl w:val="0"/>
                <w:numId w:val="19"/>
              </w:numPr>
              <w:rPr>
                <w:rFonts w:ascii="Open Sans" w:eastAsia="Times New Roman" w:hAnsi="Open Sans" w:cs="Open Sans"/>
                <w:szCs w:val="24"/>
              </w:rPr>
            </w:pPr>
            <w:r w:rsidRPr="00C71A5F">
              <w:rPr>
                <w:rFonts w:ascii="Open Sans" w:eastAsia="Times New Roman" w:hAnsi="Open Sans" w:cs="Open Sans"/>
                <w:szCs w:val="24"/>
              </w:rPr>
              <w:t>Ability to travel efficiently around the Bay in order to carry out duties if required</w:t>
            </w:r>
          </w:p>
          <w:p w14:paraId="0035BCD9" w14:textId="77777777" w:rsidR="00434E1A" w:rsidRPr="00C71A5F" w:rsidRDefault="00434E1A" w:rsidP="00434E1A">
            <w:pPr>
              <w:spacing w:after="0" w:line="280" w:lineRule="atLeast"/>
              <w:ind w:left="360"/>
              <w:jc w:val="both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14:paraId="49E9C6D9" w14:textId="77777777" w:rsidR="00434E1A" w:rsidRPr="00434E1A" w:rsidRDefault="00434E1A" w:rsidP="00434E1A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3F93DDD1" w14:textId="31B4F2C7" w:rsidR="00434E1A" w:rsidRPr="00434E1A" w:rsidRDefault="00434E1A" w:rsidP="00D56F36"/>
    <w:sectPr w:rsidR="00434E1A" w:rsidRPr="00434E1A" w:rsidSect="004F55B4">
      <w:footerReference w:type="default" r:id="rId11"/>
      <w:pgSz w:w="16838" w:h="11906" w:orient="landscape" w:code="9"/>
      <w:pgMar w:top="720" w:right="510" w:bottom="426" w:left="51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0E0" w14:textId="77777777" w:rsidR="002C0549" w:rsidRDefault="002C0549" w:rsidP="008952DF">
      <w:r>
        <w:separator/>
      </w:r>
    </w:p>
  </w:endnote>
  <w:endnote w:type="continuationSeparator" w:id="0">
    <w:p w14:paraId="60AE99DE" w14:textId="77777777" w:rsidR="002C0549" w:rsidRDefault="002C0549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434E1A" w:rsidRPr="00E400F1" w14:paraId="771A3CE0" w14:textId="77777777" w:rsidTr="00B076EC">
      <w:tc>
        <w:tcPr>
          <w:tcW w:w="10456" w:type="dxa"/>
        </w:tcPr>
        <w:sdt>
          <w:sdtPr>
            <w:rPr>
              <w:color w:val="44546A"/>
            </w:rPr>
            <w:id w:val="-3552635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8C84C0C" w14:textId="61BE9D86" w:rsidR="00434E1A" w:rsidRPr="00434E1A" w:rsidRDefault="00434E1A" w:rsidP="00434E1A">
              <w:pPr>
                <w:pStyle w:val="Footer"/>
                <w:jc w:val="right"/>
                <w:rPr>
                  <w:color w:val="44546A"/>
                </w:rPr>
              </w:pPr>
              <w:r w:rsidRPr="00434E1A">
                <w:rPr>
                  <w:noProof/>
                  <w:color w:val="44546A"/>
                </w:rPr>
                <w:t xml:space="preserve">  </w:t>
              </w:r>
            </w:p>
          </w:sdtContent>
        </w:sdt>
      </w:tc>
    </w:tr>
  </w:tbl>
  <w:p w14:paraId="449E5962" w14:textId="68AE16B0" w:rsidR="00434E1A" w:rsidRDefault="00434E1A">
    <w:pPr>
      <w:spacing w:after="0" w:line="240" w:lineRule="auto"/>
    </w:pPr>
    <w:r w:rsidRPr="00434E1A">
      <w:rPr>
        <w:noProof/>
        <w:color w:val="44546A"/>
      </w:rPr>
      <w:drawing>
        <wp:anchor distT="0" distB="0" distL="114300" distR="114300" simplePos="0" relativeHeight="251660288" behindDoc="0" locked="0" layoutInCell="1" allowOverlap="1" wp14:anchorId="09D7CFC2" wp14:editId="1CF81169">
          <wp:simplePos x="0" y="0"/>
          <wp:positionH relativeFrom="column">
            <wp:posOffset>8515350</wp:posOffset>
          </wp:positionH>
          <wp:positionV relativeFrom="paragraph">
            <wp:posOffset>-683895</wp:posOffset>
          </wp:positionV>
          <wp:extent cx="1325880" cy="660400"/>
          <wp:effectExtent l="0" t="0" r="762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97D1" w14:textId="77777777" w:rsidR="002C0549" w:rsidRDefault="002C0549" w:rsidP="008952DF">
      <w:r>
        <w:separator/>
      </w:r>
    </w:p>
  </w:footnote>
  <w:footnote w:type="continuationSeparator" w:id="0">
    <w:p w14:paraId="4FF33CAD" w14:textId="77777777" w:rsidR="002C0549" w:rsidRDefault="002C0549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A6B4" w14:textId="77777777" w:rsidR="00C3233D" w:rsidRDefault="00C3233D" w:rsidP="00C3233D">
    <w:pPr>
      <w:jc w:val="right"/>
      <w:rPr>
        <w:sz w:val="44"/>
        <w:szCs w:val="44"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5B2E9CAE" wp14:editId="263DA557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89" cy="1885950"/>
          <wp:effectExtent l="0" t="0" r="0" b="0"/>
          <wp:wrapNone/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344"/>
                  <a:stretch/>
                </pic:blipFill>
                <pic:spPr bwMode="auto">
                  <a:xfrm>
                    <a:off x="0" y="0"/>
                    <a:ext cx="7552689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3AA">
      <w:rPr>
        <w:sz w:val="44"/>
        <w:szCs w:val="44"/>
      </w:rPr>
      <w:t xml:space="preserve">  </w:t>
    </w:r>
    <w:r w:rsidRPr="004D53AA">
      <w:rPr>
        <w:sz w:val="44"/>
        <w:szCs w:val="44"/>
      </w:rPr>
      <w:tab/>
    </w:r>
  </w:p>
  <w:p w14:paraId="7934019B" w14:textId="77777777" w:rsidR="00C3233D" w:rsidRPr="004D53AA" w:rsidRDefault="00C3233D" w:rsidP="00C3233D">
    <w:pPr>
      <w:tabs>
        <w:tab w:val="left" w:pos="8610"/>
        <w:tab w:val="right" w:pos="15818"/>
      </w:tabs>
      <w:jc w:val="right"/>
      <w:rPr>
        <w:rFonts w:ascii="Open Sans ExtraBold" w:hAnsi="Open Sans ExtraBold" w:cs="Open Sans ExtraBold"/>
        <w:color w:val="002F6C" w:themeColor="text2"/>
        <w:sz w:val="44"/>
        <w:szCs w:val="44"/>
      </w:rPr>
    </w:pPr>
    <w:r w:rsidRPr="004D53AA">
      <w:rPr>
        <w:rStyle w:val="Heading1Char"/>
        <w:rFonts w:ascii="Open Sans" w:hAnsi="Open Sans" w:cs="Open Sans"/>
        <w:b/>
        <w:bCs/>
        <w:sz w:val="44"/>
        <w:szCs w:val="44"/>
      </w:rPr>
      <w:t>Job Description</w:t>
    </w:r>
  </w:p>
  <w:p w14:paraId="0F04832F" w14:textId="41E02CEE" w:rsidR="008E5105" w:rsidRDefault="008E5105" w:rsidP="008E5105">
    <w:pPr>
      <w:tabs>
        <w:tab w:val="left" w:pos="1275"/>
        <w:tab w:val="right" w:pos="15818"/>
      </w:tabs>
      <w:rPr>
        <w:sz w:val="44"/>
        <w:szCs w:val="44"/>
      </w:rPr>
    </w:pPr>
  </w:p>
  <w:p w14:paraId="3B87769C" w14:textId="77777777" w:rsidR="008E5105" w:rsidRDefault="008E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86"/>
    <w:multiLevelType w:val="hybridMultilevel"/>
    <w:tmpl w:val="E1228500"/>
    <w:lvl w:ilvl="0" w:tplc="5BA05F92">
      <w:start w:val="14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F313E"/>
    <w:multiLevelType w:val="multilevel"/>
    <w:tmpl w:val="AFFC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FD0A42"/>
    <w:multiLevelType w:val="multilevel"/>
    <w:tmpl w:val="4CEA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99"/>
        </w:tabs>
        <w:ind w:left="1199" w:hanging="774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01A5C77"/>
    <w:multiLevelType w:val="hybridMultilevel"/>
    <w:tmpl w:val="F0964C3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7CD3F04"/>
    <w:multiLevelType w:val="hybridMultilevel"/>
    <w:tmpl w:val="C972956C"/>
    <w:lvl w:ilvl="0" w:tplc="5DDE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927"/>
    <w:multiLevelType w:val="multilevel"/>
    <w:tmpl w:val="E6946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87F96"/>
    <w:multiLevelType w:val="multilevel"/>
    <w:tmpl w:val="DF6A8278"/>
    <w:lvl w:ilvl="0">
      <w:start w:val="2"/>
      <w:numFmt w:val="decimal"/>
      <w:lvlText w:val="%1."/>
      <w:lvlJc w:val="left"/>
      <w:pPr>
        <w:ind w:left="390" w:hanging="390"/>
      </w:pPr>
      <w:rPr>
        <w:rFonts w:ascii="Open Sans" w:hAnsi="Open Sans" w:cs="Open San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Open Sans" w:hAnsi="Open Sans" w:cs="Open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hAnsi="Open Sans" w:cs="Open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hAnsi="Open Sans" w:cs="Open Sans" w:hint="default"/>
      </w:rPr>
    </w:lvl>
  </w:abstractNum>
  <w:abstractNum w:abstractNumId="9" w15:restartNumberingAfterBreak="0">
    <w:nsid w:val="1A421CA9"/>
    <w:multiLevelType w:val="hybridMultilevel"/>
    <w:tmpl w:val="C944C606"/>
    <w:lvl w:ilvl="0" w:tplc="46FE10AE">
      <w:start w:val="1"/>
      <w:numFmt w:val="decimal"/>
      <w:lvlText w:val="%1."/>
      <w:lvlJc w:val="left"/>
      <w:pPr>
        <w:ind w:left="720" w:hanging="360"/>
      </w:pPr>
      <w:rPr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5560D"/>
    <w:multiLevelType w:val="hybridMultilevel"/>
    <w:tmpl w:val="7972799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0074A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9934B6"/>
    <w:multiLevelType w:val="hybridMultilevel"/>
    <w:tmpl w:val="316A17AE"/>
    <w:lvl w:ilvl="0" w:tplc="F1944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26AB6"/>
    <w:multiLevelType w:val="hybridMultilevel"/>
    <w:tmpl w:val="17DA4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38E4"/>
    <w:multiLevelType w:val="hybridMultilevel"/>
    <w:tmpl w:val="6B4CC976"/>
    <w:lvl w:ilvl="0" w:tplc="29F4E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F7848"/>
    <w:multiLevelType w:val="hybridMultilevel"/>
    <w:tmpl w:val="C338D372"/>
    <w:lvl w:ilvl="0" w:tplc="6B70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74A6" w:themeColor="accent1" w:themeShade="BF"/>
      </w:rPr>
    </w:lvl>
    <w:lvl w:ilvl="1" w:tplc="7310C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6392"/>
    <w:multiLevelType w:val="multilevel"/>
    <w:tmpl w:val="3A4C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Open Sans" w:hAnsi="Open Sans" w:cs="Open San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Open Sans" w:hAnsi="Open Sans" w:cs="Open San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Open Sans" w:hAnsi="Open Sans" w:cs="Open San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Open Sans" w:hAnsi="Open Sans" w:cs="Open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Open Sans" w:hAnsi="Open Sans"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Open Sans" w:hAnsi="Open Sans"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Open Sans" w:hAnsi="Open Sans"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Open Sans" w:hAnsi="Open Sans" w:cs="Open Sans" w:hint="default"/>
      </w:rPr>
    </w:lvl>
  </w:abstractNum>
  <w:abstractNum w:abstractNumId="19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4CA2F2E"/>
    <w:multiLevelType w:val="hybridMultilevel"/>
    <w:tmpl w:val="7972799E"/>
    <w:lvl w:ilvl="0" w:tplc="41CA4DC4">
      <w:start w:val="1"/>
      <w:numFmt w:val="decimal"/>
      <w:lvlText w:val="%1."/>
      <w:lvlJc w:val="left"/>
      <w:pPr>
        <w:ind w:left="644" w:hanging="360"/>
      </w:pPr>
      <w:rPr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27581A"/>
    <w:multiLevelType w:val="hybridMultilevel"/>
    <w:tmpl w:val="6D54D058"/>
    <w:lvl w:ilvl="0" w:tplc="1A36FEA2">
      <w:start w:val="1"/>
      <w:numFmt w:val="decimal"/>
      <w:lvlText w:val="%1."/>
      <w:lvlJc w:val="left"/>
      <w:pPr>
        <w:ind w:left="720" w:hanging="360"/>
      </w:pPr>
      <w:rPr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001E0"/>
    <w:multiLevelType w:val="hybridMultilevel"/>
    <w:tmpl w:val="DF7E8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23AA"/>
    <w:multiLevelType w:val="hybridMultilevel"/>
    <w:tmpl w:val="D750D00C"/>
    <w:lvl w:ilvl="0" w:tplc="5FA22614">
      <w:start w:val="1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53BB"/>
    <w:multiLevelType w:val="hybridMultilevel"/>
    <w:tmpl w:val="D40EDF42"/>
    <w:lvl w:ilvl="0" w:tplc="9CE8E6BE">
      <w:start w:val="4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D053C"/>
    <w:multiLevelType w:val="hybridMultilevel"/>
    <w:tmpl w:val="092C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5BA"/>
    <w:multiLevelType w:val="hybridMultilevel"/>
    <w:tmpl w:val="BC8CF032"/>
    <w:lvl w:ilvl="0" w:tplc="7AD0E302">
      <w:start w:val="2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5919933">
    <w:abstractNumId w:val="26"/>
  </w:num>
  <w:num w:numId="2" w16cid:durableId="1455297093">
    <w:abstractNumId w:val="2"/>
  </w:num>
  <w:num w:numId="3" w16cid:durableId="16659517">
    <w:abstractNumId w:val="29"/>
  </w:num>
  <w:num w:numId="4" w16cid:durableId="1296989360">
    <w:abstractNumId w:val="17"/>
  </w:num>
  <w:num w:numId="5" w16cid:durableId="513805441">
    <w:abstractNumId w:val="25"/>
  </w:num>
  <w:num w:numId="6" w16cid:durableId="341204935">
    <w:abstractNumId w:val="11"/>
  </w:num>
  <w:num w:numId="7" w16cid:durableId="1010255529">
    <w:abstractNumId w:val="1"/>
  </w:num>
  <w:num w:numId="8" w16cid:durableId="1072003053">
    <w:abstractNumId w:val="10"/>
  </w:num>
  <w:num w:numId="9" w16cid:durableId="739593882">
    <w:abstractNumId w:val="4"/>
  </w:num>
  <w:num w:numId="10" w16cid:durableId="515773018">
    <w:abstractNumId w:val="16"/>
  </w:num>
  <w:num w:numId="11" w16cid:durableId="607353919">
    <w:abstractNumId w:val="20"/>
  </w:num>
  <w:num w:numId="12" w16cid:durableId="900216228">
    <w:abstractNumId w:val="21"/>
  </w:num>
  <w:num w:numId="13" w16cid:durableId="78910914">
    <w:abstractNumId w:val="6"/>
  </w:num>
  <w:num w:numId="14" w16cid:durableId="1539002836">
    <w:abstractNumId w:val="22"/>
  </w:num>
  <w:num w:numId="15" w16cid:durableId="1929607218">
    <w:abstractNumId w:val="7"/>
  </w:num>
  <w:num w:numId="16" w16cid:durableId="666831010">
    <w:abstractNumId w:val="18"/>
  </w:num>
  <w:num w:numId="17" w16cid:durableId="416287160">
    <w:abstractNumId w:val="3"/>
  </w:num>
  <w:num w:numId="18" w16cid:durableId="195626615">
    <w:abstractNumId w:val="8"/>
  </w:num>
  <w:num w:numId="19" w16cid:durableId="474183880">
    <w:abstractNumId w:val="27"/>
  </w:num>
  <w:num w:numId="20" w16cid:durableId="175922164">
    <w:abstractNumId w:val="19"/>
  </w:num>
  <w:num w:numId="21" w16cid:durableId="85537089">
    <w:abstractNumId w:val="5"/>
  </w:num>
  <w:num w:numId="22" w16cid:durableId="165487612">
    <w:abstractNumId w:val="12"/>
  </w:num>
  <w:num w:numId="23" w16cid:durableId="2097094008">
    <w:abstractNumId w:val="14"/>
  </w:num>
  <w:num w:numId="24" w16cid:durableId="171645316">
    <w:abstractNumId w:val="15"/>
  </w:num>
  <w:num w:numId="25" w16cid:durableId="1583832817">
    <w:abstractNumId w:val="9"/>
  </w:num>
  <w:num w:numId="26" w16cid:durableId="459350253">
    <w:abstractNumId w:val="13"/>
  </w:num>
  <w:num w:numId="27" w16cid:durableId="488249530">
    <w:abstractNumId w:val="23"/>
  </w:num>
  <w:num w:numId="28" w16cid:durableId="743837762">
    <w:abstractNumId w:val="28"/>
  </w:num>
  <w:num w:numId="29" w16cid:durableId="1399593951">
    <w:abstractNumId w:val="24"/>
  </w:num>
  <w:num w:numId="30" w16cid:durableId="2321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2"/>
    <w:rsid w:val="00022AAA"/>
    <w:rsid w:val="0002446C"/>
    <w:rsid w:val="0008315B"/>
    <w:rsid w:val="000B5DDE"/>
    <w:rsid w:val="000C2F2F"/>
    <w:rsid w:val="000D54AD"/>
    <w:rsid w:val="0012426C"/>
    <w:rsid w:val="00126E15"/>
    <w:rsid w:val="00141FDE"/>
    <w:rsid w:val="00150799"/>
    <w:rsid w:val="0018714D"/>
    <w:rsid w:val="00197B79"/>
    <w:rsid w:val="001B642F"/>
    <w:rsid w:val="001E0FFB"/>
    <w:rsid w:val="0025608F"/>
    <w:rsid w:val="00265E8E"/>
    <w:rsid w:val="00294BBC"/>
    <w:rsid w:val="002C0549"/>
    <w:rsid w:val="002E5B29"/>
    <w:rsid w:val="002E7CA8"/>
    <w:rsid w:val="00304BEB"/>
    <w:rsid w:val="00311540"/>
    <w:rsid w:val="00324433"/>
    <w:rsid w:val="003530E9"/>
    <w:rsid w:val="00357B5D"/>
    <w:rsid w:val="00363A16"/>
    <w:rsid w:val="003738BA"/>
    <w:rsid w:val="003B2D8C"/>
    <w:rsid w:val="003B6086"/>
    <w:rsid w:val="003D033D"/>
    <w:rsid w:val="003F25DC"/>
    <w:rsid w:val="00402342"/>
    <w:rsid w:val="004067A0"/>
    <w:rsid w:val="00434E1A"/>
    <w:rsid w:val="004356F8"/>
    <w:rsid w:val="004404F5"/>
    <w:rsid w:val="00483968"/>
    <w:rsid w:val="00492E76"/>
    <w:rsid w:val="0049312B"/>
    <w:rsid w:val="004979F3"/>
    <w:rsid w:val="004A4B5D"/>
    <w:rsid w:val="004C0EDB"/>
    <w:rsid w:val="004D53AA"/>
    <w:rsid w:val="004F55B4"/>
    <w:rsid w:val="00520C03"/>
    <w:rsid w:val="0052470E"/>
    <w:rsid w:val="00535E8E"/>
    <w:rsid w:val="00536BB4"/>
    <w:rsid w:val="00577852"/>
    <w:rsid w:val="005C1856"/>
    <w:rsid w:val="005C4795"/>
    <w:rsid w:val="005D594C"/>
    <w:rsid w:val="00612421"/>
    <w:rsid w:val="00612E52"/>
    <w:rsid w:val="0065240B"/>
    <w:rsid w:val="00682C97"/>
    <w:rsid w:val="006D5AB2"/>
    <w:rsid w:val="006F6D2B"/>
    <w:rsid w:val="00712583"/>
    <w:rsid w:val="00726EA3"/>
    <w:rsid w:val="007455B3"/>
    <w:rsid w:val="007839C2"/>
    <w:rsid w:val="00795BAD"/>
    <w:rsid w:val="007A4697"/>
    <w:rsid w:val="007C339D"/>
    <w:rsid w:val="007D428B"/>
    <w:rsid w:val="007E5A9E"/>
    <w:rsid w:val="00833775"/>
    <w:rsid w:val="0083385A"/>
    <w:rsid w:val="00844AD7"/>
    <w:rsid w:val="008637CD"/>
    <w:rsid w:val="0088673E"/>
    <w:rsid w:val="008912F6"/>
    <w:rsid w:val="008923DB"/>
    <w:rsid w:val="008952DF"/>
    <w:rsid w:val="008C11A4"/>
    <w:rsid w:val="008D78F7"/>
    <w:rsid w:val="008E054E"/>
    <w:rsid w:val="008E5105"/>
    <w:rsid w:val="008F2DDA"/>
    <w:rsid w:val="009255E9"/>
    <w:rsid w:val="00934437"/>
    <w:rsid w:val="00945701"/>
    <w:rsid w:val="009B41EF"/>
    <w:rsid w:val="00A84A53"/>
    <w:rsid w:val="00AB154B"/>
    <w:rsid w:val="00AB42CC"/>
    <w:rsid w:val="00AF17BA"/>
    <w:rsid w:val="00AF592C"/>
    <w:rsid w:val="00B00892"/>
    <w:rsid w:val="00B00BC4"/>
    <w:rsid w:val="00B076EC"/>
    <w:rsid w:val="00B237C0"/>
    <w:rsid w:val="00B377FC"/>
    <w:rsid w:val="00B40AE2"/>
    <w:rsid w:val="00B47FA9"/>
    <w:rsid w:val="00B530D1"/>
    <w:rsid w:val="00B56BF9"/>
    <w:rsid w:val="00B92B2E"/>
    <w:rsid w:val="00BF667C"/>
    <w:rsid w:val="00C00AB0"/>
    <w:rsid w:val="00C1784F"/>
    <w:rsid w:val="00C3233D"/>
    <w:rsid w:val="00C520E4"/>
    <w:rsid w:val="00C71A5F"/>
    <w:rsid w:val="00CB002B"/>
    <w:rsid w:val="00CD0DF6"/>
    <w:rsid w:val="00CF4C27"/>
    <w:rsid w:val="00D30E08"/>
    <w:rsid w:val="00D40034"/>
    <w:rsid w:val="00D42342"/>
    <w:rsid w:val="00D55473"/>
    <w:rsid w:val="00D56F36"/>
    <w:rsid w:val="00D706AD"/>
    <w:rsid w:val="00DE6118"/>
    <w:rsid w:val="00E078E6"/>
    <w:rsid w:val="00E400F1"/>
    <w:rsid w:val="00E806C4"/>
    <w:rsid w:val="00E82D8D"/>
    <w:rsid w:val="00EB1153"/>
    <w:rsid w:val="00EB6BD0"/>
    <w:rsid w:val="00ED4CC9"/>
    <w:rsid w:val="00F47794"/>
    <w:rsid w:val="00F66B9C"/>
    <w:rsid w:val="00F8175B"/>
    <w:rsid w:val="00F87B8D"/>
    <w:rsid w:val="00FA3A06"/>
    <w:rsid w:val="00FB2294"/>
    <w:rsid w:val="00FC47FA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C9D6D"/>
  <w15:chartTrackingRefBased/>
  <w15:docId w15:val="{DA8EA467-4AE1-4331-A78B-9A9A98F3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customStyle="1" w:styleId="paragraph">
    <w:name w:val="paragraph"/>
    <w:basedOn w:val="Normal"/>
    <w:rsid w:val="005C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C1856"/>
  </w:style>
  <w:style w:type="character" w:customStyle="1" w:styleId="eop">
    <w:name w:val="eop"/>
    <w:basedOn w:val="DefaultParagraphFont"/>
    <w:rsid w:val="005C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3" ma:contentTypeDescription="Create a new document." ma:contentTypeScope="" ma:versionID="70aeba29c748bfe7049f4fc6f9cc7c34">
  <xsd:schema xmlns:xsd="http://www.w3.org/2001/XMLSchema" xmlns:xs="http://www.w3.org/2001/XMLSchema" xmlns:p="http://schemas.microsoft.com/office/2006/metadata/properties" xmlns:ns2="16fbf6d9-dcba-4dc3-b1ab-77eb1e59aac7" xmlns:ns3="050197e2-6909-47c4-b8a9-68dd5deb0545" targetNamespace="http://schemas.microsoft.com/office/2006/metadata/properties" ma:root="true" ma:fieldsID="7d53155f615e677f7582cd5e4989e259" ns2:_="" ns3:_="">
    <xsd:import namespace="16fbf6d9-dcba-4dc3-b1ab-77eb1e59aac7"/>
    <xsd:import namespace="050197e2-6909-47c4-b8a9-68dd5deb0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97e2-6909-47c4-b8a9-68dd5deb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ED6A-6214-43BD-8FDD-5B3C62B2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bf6d9-dcba-4dc3-b1ab-77eb1e59aac7"/>
    <ds:schemaRef ds:uri="050197e2-6909-47c4-b8a9-68dd5deb0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Haime</dc:creator>
  <cp:keywords/>
  <dc:description/>
  <cp:lastModifiedBy>Michelle Gruber</cp:lastModifiedBy>
  <cp:revision>4</cp:revision>
  <dcterms:created xsi:type="dcterms:W3CDTF">2022-04-28T12:07:00Z</dcterms:created>
  <dcterms:modified xsi:type="dcterms:W3CDTF">2022-04-28T12:16:00Z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</Properties>
</file>