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9E65EC" w:rsidRPr="002B13CB" w14:paraId="59D9977F" w14:textId="77777777" w:rsidTr="00EB1049">
        <w:tc>
          <w:tcPr>
            <w:tcW w:w="10632" w:type="dxa"/>
            <w:gridSpan w:val="2"/>
          </w:tcPr>
          <w:p w14:paraId="16EE9512" w14:textId="37994BE0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1A067D">
              <w:rPr>
                <w:b/>
              </w:rPr>
              <w:t>: Yellow site – minor constraints</w:t>
            </w:r>
          </w:p>
        </w:tc>
      </w:tr>
      <w:tr w:rsidR="00EA76CC" w:rsidRPr="002B13CB" w14:paraId="4AAD99C4" w14:textId="77777777" w:rsidTr="00A6325D">
        <w:tc>
          <w:tcPr>
            <w:tcW w:w="2977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7655" w:type="dxa"/>
          </w:tcPr>
          <w:p w14:paraId="4B7E6320" w14:textId="08EA027F" w:rsidR="00EA76CC" w:rsidRPr="002B13CB" w:rsidRDefault="00627D76" w:rsidP="003F777D">
            <w:pPr>
              <w:rPr>
                <w:b/>
              </w:rPr>
            </w:pPr>
            <w:r>
              <w:rPr>
                <w:b/>
              </w:rPr>
              <w:t xml:space="preserve">Torquay </w:t>
            </w:r>
          </w:p>
        </w:tc>
      </w:tr>
      <w:tr w:rsidR="00EA76CC" w:rsidRPr="002B13CB" w14:paraId="0127FAA1" w14:textId="77777777" w:rsidTr="00A6325D">
        <w:tc>
          <w:tcPr>
            <w:tcW w:w="2977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7655" w:type="dxa"/>
          </w:tcPr>
          <w:p w14:paraId="328A5D3F" w14:textId="49F77F14" w:rsidR="00EA76CC" w:rsidRPr="003F777D" w:rsidRDefault="00D21F21" w:rsidP="00F7459D">
            <w:r w:rsidRPr="00D21F21">
              <w:t>R/O Edinburgh Villas, off McKay Avenue &amp; Newton Road</w:t>
            </w:r>
          </w:p>
        </w:tc>
      </w:tr>
      <w:tr w:rsidR="004361B3" w:rsidRPr="002B13CB" w14:paraId="3FA2E022" w14:textId="77777777" w:rsidTr="00A6325D">
        <w:tc>
          <w:tcPr>
            <w:tcW w:w="2977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7655" w:type="dxa"/>
          </w:tcPr>
          <w:p w14:paraId="23744C61" w14:textId="3FF4B297" w:rsidR="004361B3" w:rsidRPr="003F777D" w:rsidRDefault="00E950A9" w:rsidP="00F7459D">
            <w:proofErr w:type="gramStart"/>
            <w:r>
              <w:t>Vacant  site</w:t>
            </w:r>
            <w:proofErr w:type="gramEnd"/>
          </w:p>
        </w:tc>
      </w:tr>
      <w:tr w:rsidR="004361B3" w:rsidRPr="002B13CB" w14:paraId="2D6D30DD" w14:textId="77777777" w:rsidTr="00A6325D">
        <w:tc>
          <w:tcPr>
            <w:tcW w:w="2977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7655" w:type="dxa"/>
          </w:tcPr>
          <w:p w14:paraId="4BFC69A1" w14:textId="51043338" w:rsidR="004361B3" w:rsidRPr="003F777D" w:rsidRDefault="007A1DD6" w:rsidP="00F7459D">
            <w:r>
              <w:t>0.29ha</w:t>
            </w:r>
          </w:p>
        </w:tc>
      </w:tr>
      <w:tr w:rsidR="00121165" w:rsidRPr="002B13CB" w14:paraId="69A06E6E" w14:textId="77777777" w:rsidTr="00EB1049">
        <w:tc>
          <w:tcPr>
            <w:tcW w:w="10632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053061DA" w:rsidR="00F743DA" w:rsidRDefault="00EC09DD" w:rsidP="00A228ED">
            <w:r>
              <w:rPr>
                <w:noProof/>
              </w:rPr>
              <w:drawing>
                <wp:inline distT="0" distB="0" distL="0" distR="0" wp14:anchorId="1D5D179F" wp14:editId="4C2F0491">
                  <wp:extent cx="3154696" cy="3324225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098" cy="333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1049">
              <w:rPr>
                <w:noProof/>
              </w:rPr>
              <w:drawing>
                <wp:inline distT="0" distB="0" distL="0" distR="0" wp14:anchorId="2C26A5F0" wp14:editId="65B2F400">
                  <wp:extent cx="3201134" cy="3314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892" cy="332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00A6325D">
        <w:tc>
          <w:tcPr>
            <w:tcW w:w="2977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7655" w:type="dxa"/>
          </w:tcPr>
          <w:p w14:paraId="7177EB18" w14:textId="6D2363B7" w:rsidR="00F7459D" w:rsidRPr="003F777D" w:rsidRDefault="008B56AD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2021T095</w:t>
            </w:r>
          </w:p>
        </w:tc>
      </w:tr>
      <w:tr w:rsidR="001C70E8" w:rsidRPr="002B13CB" w14:paraId="7C80FDAD" w14:textId="77777777" w:rsidTr="00A6325D">
        <w:tc>
          <w:tcPr>
            <w:tcW w:w="2977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7655" w:type="dxa"/>
          </w:tcPr>
          <w:p w14:paraId="7447AB3B" w14:textId="7BC13B89" w:rsidR="00135146" w:rsidRPr="003F777D" w:rsidRDefault="00D22BCC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75</w:t>
            </w:r>
          </w:p>
        </w:tc>
      </w:tr>
      <w:tr w:rsidR="00F13BF4" w:rsidRPr="002B13CB" w14:paraId="160921AF" w14:textId="77777777" w:rsidTr="00A6325D">
        <w:tc>
          <w:tcPr>
            <w:tcW w:w="2977" w:type="dxa"/>
          </w:tcPr>
          <w:p w14:paraId="7B90D0CD" w14:textId="6DDE3F4C" w:rsidR="00F13BF4" w:rsidRDefault="00F13BF4" w:rsidP="004361B3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7655" w:type="dxa"/>
          </w:tcPr>
          <w:p w14:paraId="1B7027FF" w14:textId="77777777" w:rsidR="00627D76" w:rsidRPr="007E1823" w:rsidRDefault="001A067D" w:rsidP="00F13BF4">
            <w:pPr>
              <w:rPr>
                <w:color w:val="002060"/>
              </w:rPr>
            </w:pPr>
            <w:hyperlink r:id="rId11" w:history="1">
              <w:r w:rsidR="00D22BCC" w:rsidRPr="007E1823">
                <w:rPr>
                  <w:rStyle w:val="Hyperlink"/>
                  <w:color w:val="002060"/>
                </w:rPr>
                <w:t>P/2012/1264</w:t>
              </w:r>
            </w:hyperlink>
            <w:r w:rsidR="00AD7052" w:rsidRPr="007E1823">
              <w:rPr>
                <w:color w:val="002060"/>
              </w:rPr>
              <w:t xml:space="preserve">: Development of site comprising 25 Retirement Living Apartments and 50 Assisted Living Extra Care Apartments with associated parking, </w:t>
            </w:r>
            <w:proofErr w:type="gramStart"/>
            <w:r w:rsidR="00AD7052" w:rsidRPr="007E1823">
              <w:rPr>
                <w:color w:val="002060"/>
              </w:rPr>
              <w:t>landscaping</w:t>
            </w:r>
            <w:proofErr w:type="gramEnd"/>
            <w:r w:rsidR="00AD7052" w:rsidRPr="007E1823">
              <w:rPr>
                <w:color w:val="002060"/>
              </w:rPr>
              <w:t xml:space="preserve"> and servicing and communal and care facilities.</w:t>
            </w:r>
          </w:p>
          <w:p w14:paraId="438204AF" w14:textId="77777777" w:rsidR="00A6325D" w:rsidRPr="007E1823" w:rsidRDefault="00A6325D" w:rsidP="00F13BF4">
            <w:pPr>
              <w:rPr>
                <w:color w:val="002060"/>
              </w:rPr>
            </w:pPr>
            <w:r w:rsidRPr="007E1823">
              <w:rPr>
                <w:color w:val="002060"/>
              </w:rPr>
              <w:t>Permission with Legal Agreement Feb 2013</w:t>
            </w:r>
            <w:r w:rsidR="00D01873" w:rsidRPr="007E1823">
              <w:rPr>
                <w:color w:val="002060"/>
              </w:rPr>
              <w:t xml:space="preserve"> (McCarthy &amp; Stone)</w:t>
            </w:r>
          </w:p>
          <w:p w14:paraId="7DA74B85" w14:textId="01308AE5" w:rsidR="00E170AD" w:rsidRPr="003F777D" w:rsidRDefault="00E170AD" w:rsidP="00F13BF4">
            <w:pPr>
              <w:rPr>
                <w:color w:val="FF0000"/>
              </w:rPr>
            </w:pPr>
            <w:r w:rsidRPr="007E1823">
              <w:rPr>
                <w:color w:val="002060"/>
              </w:rPr>
              <w:t>Torre Marine, Torquay</w:t>
            </w:r>
            <w:r w:rsidRPr="007E1823">
              <w:rPr>
                <w:color w:val="002060"/>
              </w:rPr>
              <w:tab/>
            </w:r>
            <w:hyperlink r:id="rId12" w:history="1">
              <w:r w:rsidR="00AB592B" w:rsidRPr="007E1823">
                <w:rPr>
                  <w:rStyle w:val="Hyperlink"/>
                  <w:color w:val="002060"/>
                </w:rPr>
                <w:t>P/2016/1047</w:t>
              </w:r>
            </w:hyperlink>
            <w:r w:rsidR="00AB592B" w:rsidRPr="007E1823">
              <w:rPr>
                <w:color w:val="002060"/>
              </w:rPr>
              <w:t xml:space="preserve"> | Construction of new building to provide up to 75 one and two bedroom apartments. | Land At Barton Road Torquay permission 17.11.17</w:t>
            </w:r>
            <w:r w:rsidR="00AB592B" w:rsidRPr="007E1823">
              <w:rPr>
                <w:color w:val="002060"/>
              </w:rPr>
              <w:tab/>
            </w:r>
            <w:hyperlink r:id="rId13" w:history="1">
              <w:r w:rsidR="00C52B71" w:rsidRPr="00C52B71">
                <w:rPr>
                  <w:rStyle w:val="Hyperlink"/>
                </w:rPr>
                <w:t>Committee Report</w:t>
              </w:r>
            </w:hyperlink>
            <w:r w:rsidR="00C52B71">
              <w:rPr>
                <w:color w:val="002060"/>
              </w:rPr>
              <w:t>:</w:t>
            </w:r>
          </w:p>
        </w:tc>
      </w:tr>
      <w:tr w:rsidR="00F13BF4" w:rsidRPr="002B13CB" w14:paraId="15B6F10E" w14:textId="77777777" w:rsidTr="00A6325D">
        <w:tc>
          <w:tcPr>
            <w:tcW w:w="2977" w:type="dxa"/>
          </w:tcPr>
          <w:p w14:paraId="775DED7E" w14:textId="6265C3EC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7655" w:type="dxa"/>
          </w:tcPr>
          <w:p w14:paraId="696D0071" w14:textId="5B01A6FF" w:rsidR="00F13BF4" w:rsidRPr="007E1823" w:rsidRDefault="00D01873" w:rsidP="00F743DA">
            <w:pPr>
              <w:outlineLvl w:val="0"/>
              <w:rPr>
                <w:noProof/>
                <w:color w:val="002060"/>
              </w:rPr>
            </w:pPr>
            <w:r w:rsidRPr="007E1823">
              <w:rPr>
                <w:noProof/>
                <w:color w:val="002060"/>
              </w:rPr>
              <w:t xml:space="preserve">Yes 2012 application by McCarthy &amp; Stone. Site now owned TBC. Taken forward by </w:t>
            </w:r>
            <w:r w:rsidR="004B5FFB" w:rsidRPr="007E1823">
              <w:rPr>
                <w:noProof/>
                <w:color w:val="002060"/>
              </w:rPr>
              <w:t>TDA/</w:t>
            </w:r>
            <w:r w:rsidRPr="007E1823">
              <w:rPr>
                <w:noProof/>
                <w:color w:val="002060"/>
              </w:rPr>
              <w:t>Tor Vista</w:t>
            </w:r>
            <w:r w:rsidR="004B5FFB" w:rsidRPr="007E1823">
              <w:rPr>
                <w:noProof/>
                <w:color w:val="002060"/>
              </w:rPr>
              <w:t xml:space="preserve"> on </w:t>
            </w:r>
            <w:r w:rsidR="008B18D7" w:rsidRPr="007E1823">
              <w:rPr>
                <w:noProof/>
                <w:color w:val="002060"/>
              </w:rPr>
              <w:t>5YLS</w:t>
            </w:r>
          </w:p>
        </w:tc>
      </w:tr>
      <w:tr w:rsidR="004361B3" w:rsidRPr="002B13CB" w14:paraId="5C5FF4CE" w14:textId="77777777" w:rsidTr="00A6325D">
        <w:tc>
          <w:tcPr>
            <w:tcW w:w="2977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7655" w:type="dxa"/>
          </w:tcPr>
          <w:p w14:paraId="051D9EC1" w14:textId="130036BB" w:rsidR="004361B3" w:rsidRPr="007E1823" w:rsidRDefault="00805306" w:rsidP="00F13BF4">
            <w:pPr>
              <w:rPr>
                <w:color w:val="002060"/>
              </w:rPr>
            </w:pPr>
            <w:r w:rsidRPr="007E1823">
              <w:rPr>
                <w:color w:val="002060"/>
              </w:rPr>
              <w:t>yes</w:t>
            </w:r>
          </w:p>
        </w:tc>
      </w:tr>
      <w:tr w:rsidR="00F13BF4" w:rsidRPr="002B13CB" w14:paraId="3B6534BD" w14:textId="77777777" w:rsidTr="00A6325D">
        <w:tc>
          <w:tcPr>
            <w:tcW w:w="2977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7655" w:type="dxa"/>
          </w:tcPr>
          <w:p w14:paraId="0E32514A" w14:textId="4E3B6D73" w:rsidR="00F13BF4" w:rsidRPr="007E1823" w:rsidRDefault="00805306" w:rsidP="00F13BF4">
            <w:pPr>
              <w:rPr>
                <w:color w:val="002060"/>
              </w:rPr>
            </w:pPr>
            <w:r w:rsidRPr="007E1823">
              <w:rPr>
                <w:color w:val="002060"/>
              </w:rPr>
              <w:t>yes</w:t>
            </w:r>
          </w:p>
        </w:tc>
      </w:tr>
      <w:tr w:rsidR="00F13BF4" w:rsidRPr="002B13CB" w14:paraId="0FCC394E" w14:textId="77777777" w:rsidTr="00A6325D">
        <w:tc>
          <w:tcPr>
            <w:tcW w:w="2977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7655" w:type="dxa"/>
          </w:tcPr>
          <w:p w14:paraId="382F75F0" w14:textId="30F64C00" w:rsidR="00F13BF4" w:rsidRPr="007E1823" w:rsidRDefault="00F13BF4" w:rsidP="00F13BF4">
            <w:pPr>
              <w:rPr>
                <w:color w:val="002060"/>
              </w:rPr>
            </w:pPr>
          </w:p>
        </w:tc>
      </w:tr>
      <w:tr w:rsidR="00135146" w:rsidRPr="002B13CB" w14:paraId="4252E7D4" w14:textId="77777777" w:rsidTr="00A6325D">
        <w:tc>
          <w:tcPr>
            <w:tcW w:w="2977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7655" w:type="dxa"/>
          </w:tcPr>
          <w:p w14:paraId="3DB0CA6F" w14:textId="2CFE2B63" w:rsidR="00135146" w:rsidRPr="007E1823" w:rsidRDefault="008B18D7" w:rsidP="00135146">
            <w:pPr>
              <w:rPr>
                <w:color w:val="002060"/>
              </w:rPr>
            </w:pPr>
            <w:r w:rsidRPr="007E1823">
              <w:rPr>
                <w:color w:val="002060"/>
              </w:rPr>
              <w:t>Vacant clear site</w:t>
            </w:r>
          </w:p>
        </w:tc>
      </w:tr>
      <w:tr w:rsidR="00135146" w:rsidRPr="002B13CB" w14:paraId="3EAB270D" w14:textId="77777777" w:rsidTr="00A6325D">
        <w:tc>
          <w:tcPr>
            <w:tcW w:w="2977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7655" w:type="dxa"/>
          </w:tcPr>
          <w:p w14:paraId="1D6ECC95" w14:textId="7C22346C" w:rsidR="00135146" w:rsidRPr="007E1823" w:rsidRDefault="00135146" w:rsidP="00135146">
            <w:pPr>
              <w:rPr>
                <w:color w:val="002060"/>
              </w:rPr>
            </w:pPr>
          </w:p>
        </w:tc>
      </w:tr>
      <w:tr w:rsidR="004361B3" w:rsidRPr="002B13CB" w14:paraId="30099193" w14:textId="77777777" w:rsidTr="00A6325D">
        <w:tc>
          <w:tcPr>
            <w:tcW w:w="2977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7655" w:type="dxa"/>
          </w:tcPr>
          <w:p w14:paraId="1E5B4F9A" w14:textId="04F3FC91" w:rsidR="004361B3" w:rsidRPr="007E1823" w:rsidRDefault="008B18D7" w:rsidP="00135146">
            <w:pPr>
              <w:rPr>
                <w:color w:val="002060"/>
              </w:rPr>
            </w:pPr>
            <w:r w:rsidRPr="007E1823">
              <w:rPr>
                <w:color w:val="002060"/>
              </w:rPr>
              <w:t>75 units identified in 5YLS</w:t>
            </w:r>
            <w:r w:rsidR="00875EF2" w:rsidRPr="007E1823">
              <w:rPr>
                <w:color w:val="002060"/>
              </w:rPr>
              <w:t xml:space="preserve"> 23/24</w:t>
            </w:r>
          </w:p>
        </w:tc>
      </w:tr>
      <w:tr w:rsidR="00135146" w:rsidRPr="002B13CB" w14:paraId="77CD6EF4" w14:textId="77777777" w:rsidTr="00A6325D">
        <w:tc>
          <w:tcPr>
            <w:tcW w:w="2977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7655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9E65EC" w14:paraId="2C22CF48" w14:textId="77777777" w:rsidTr="009429A8">
        <w:tc>
          <w:tcPr>
            <w:tcW w:w="10632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674BBB1C" w14:textId="77777777" w:rsidR="0095177A" w:rsidRPr="00675E5B" w:rsidRDefault="0095177A" w:rsidP="0095177A"/>
          <w:p w14:paraId="1ED352F9" w14:textId="7633BA9F" w:rsidR="00135146" w:rsidRDefault="00675E5B" w:rsidP="00135146">
            <w:r>
              <w:rPr>
                <w:color w:val="FF0000"/>
              </w:rPr>
              <w:lastRenderedPageBreak/>
              <w:t xml:space="preserve"> </w:t>
            </w:r>
            <w:r w:rsidR="00D00707" w:rsidRPr="007E1823">
              <w:rPr>
                <w:color w:val="002060"/>
              </w:rPr>
              <w:t xml:space="preserve">75 units (P/2016/1047 permitted 17.11.17). Site has extant planning permission for a flatted development. Likely to start on site within the next financial year. Council owned. SJ (TDA) advised </w:t>
            </w:r>
            <w:proofErr w:type="spellStart"/>
            <w:r w:rsidR="00D00707" w:rsidRPr="007E1823">
              <w:rPr>
                <w:color w:val="002060"/>
              </w:rPr>
              <w:t>appl</w:t>
            </w:r>
            <w:proofErr w:type="spellEnd"/>
            <w:r w:rsidR="00D00707" w:rsidRPr="007E1823">
              <w:rPr>
                <w:color w:val="002060"/>
              </w:rPr>
              <w:t xml:space="preserve"> will be for 78 units. 75 used due to previous permitted apps at this level.</w:t>
            </w:r>
          </w:p>
        </w:tc>
      </w:tr>
      <w:tr w:rsidR="009E65EC" w14:paraId="0F189CEC" w14:textId="77777777" w:rsidTr="009429A8">
        <w:tc>
          <w:tcPr>
            <w:tcW w:w="2977" w:type="dxa"/>
          </w:tcPr>
          <w:p w14:paraId="4E76D92B" w14:textId="77777777" w:rsidR="009E65EC" w:rsidRDefault="009E65EC" w:rsidP="00A228ED">
            <w:r>
              <w:lastRenderedPageBreak/>
              <w:t>The next 5 years</w:t>
            </w:r>
          </w:p>
        </w:tc>
        <w:tc>
          <w:tcPr>
            <w:tcW w:w="7655" w:type="dxa"/>
          </w:tcPr>
          <w:p w14:paraId="4076228F" w14:textId="604CA05F" w:rsidR="009E65EC" w:rsidRPr="007E1823" w:rsidRDefault="00627D76" w:rsidP="003A244A">
            <w:pPr>
              <w:rPr>
                <w:color w:val="002060"/>
              </w:rPr>
            </w:pPr>
            <w:r w:rsidRPr="007E1823">
              <w:rPr>
                <w:color w:val="002060"/>
              </w:rPr>
              <w:t>0</w:t>
            </w:r>
          </w:p>
        </w:tc>
      </w:tr>
      <w:tr w:rsidR="009E65EC" w14:paraId="5B2BD75D" w14:textId="77777777" w:rsidTr="009429A8">
        <w:tc>
          <w:tcPr>
            <w:tcW w:w="2977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7655" w:type="dxa"/>
          </w:tcPr>
          <w:p w14:paraId="0772D396" w14:textId="59D3F382" w:rsidR="009E65EC" w:rsidRPr="007E1823" w:rsidRDefault="00F06C9C" w:rsidP="00A228ED">
            <w:pPr>
              <w:rPr>
                <w:color w:val="002060"/>
              </w:rPr>
            </w:pPr>
            <w:r w:rsidRPr="007E1823">
              <w:rPr>
                <w:color w:val="002060"/>
              </w:rPr>
              <w:t>75</w:t>
            </w:r>
          </w:p>
        </w:tc>
      </w:tr>
      <w:tr w:rsidR="009E65EC" w14:paraId="6E5C2AEE" w14:textId="77777777" w:rsidTr="009429A8">
        <w:tc>
          <w:tcPr>
            <w:tcW w:w="2977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7655" w:type="dxa"/>
          </w:tcPr>
          <w:p w14:paraId="4D4F1818" w14:textId="54C72884" w:rsidR="009E65EC" w:rsidRPr="007E1823" w:rsidRDefault="009E65EC" w:rsidP="00A228ED">
            <w:pPr>
              <w:rPr>
                <w:color w:val="002060"/>
              </w:rPr>
            </w:pPr>
          </w:p>
        </w:tc>
      </w:tr>
      <w:tr w:rsidR="009E65EC" w14:paraId="57973947" w14:textId="77777777" w:rsidTr="009429A8">
        <w:tc>
          <w:tcPr>
            <w:tcW w:w="2977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7655" w:type="dxa"/>
          </w:tcPr>
          <w:p w14:paraId="3AAE9BAE" w14:textId="77777777" w:rsidR="009E65EC" w:rsidRPr="007E1823" w:rsidRDefault="009E65EC" w:rsidP="00A228ED">
            <w:pPr>
              <w:rPr>
                <w:color w:val="002060"/>
              </w:rPr>
            </w:pPr>
          </w:p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8EA" w14:textId="77777777" w:rsidR="00401DB5" w:rsidRDefault="00401DB5" w:rsidP="009E65EC">
      <w:pPr>
        <w:spacing w:after="0" w:line="240" w:lineRule="auto"/>
      </w:pPr>
      <w:r>
        <w:separator/>
      </w:r>
    </w:p>
  </w:endnote>
  <w:endnote w:type="continuationSeparator" w:id="0">
    <w:p w14:paraId="07E64DFD" w14:textId="77777777" w:rsidR="00401DB5" w:rsidRDefault="00401DB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2F58B0" w:rsidRPr="002F58B0">
      <w:rPr>
        <w:rFonts w:ascii="Arial" w:eastAsiaTheme="majorEastAsia" w:hAnsi="Arial" w:cs="Arial"/>
        <w:noProof/>
        <w:sz w:val="20"/>
        <w:szCs w:val="20"/>
      </w:rPr>
      <w:t>2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FF1" w14:textId="77777777" w:rsidR="00401DB5" w:rsidRDefault="00401DB5" w:rsidP="009E65EC">
      <w:pPr>
        <w:spacing w:after="0" w:line="240" w:lineRule="auto"/>
      </w:pPr>
      <w:r>
        <w:separator/>
      </w:r>
    </w:p>
  </w:footnote>
  <w:footnote w:type="continuationSeparator" w:id="0">
    <w:p w14:paraId="229AAE57" w14:textId="77777777" w:rsidR="00401DB5" w:rsidRDefault="00401DB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BFA3A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0318B"/>
    <w:rsid w:val="00106986"/>
    <w:rsid w:val="00107BE8"/>
    <w:rsid w:val="00121165"/>
    <w:rsid w:val="00133370"/>
    <w:rsid w:val="00133D37"/>
    <w:rsid w:val="00135146"/>
    <w:rsid w:val="00172F71"/>
    <w:rsid w:val="001733A8"/>
    <w:rsid w:val="001A067D"/>
    <w:rsid w:val="001C5A09"/>
    <w:rsid w:val="001C70E8"/>
    <w:rsid w:val="001F65E6"/>
    <w:rsid w:val="00242DDA"/>
    <w:rsid w:val="00247134"/>
    <w:rsid w:val="00270E33"/>
    <w:rsid w:val="002C2C7D"/>
    <w:rsid w:val="002F58B0"/>
    <w:rsid w:val="003961B7"/>
    <w:rsid w:val="003A244A"/>
    <w:rsid w:val="003E6B14"/>
    <w:rsid w:val="003F777D"/>
    <w:rsid w:val="00401DB5"/>
    <w:rsid w:val="00411C11"/>
    <w:rsid w:val="004361B3"/>
    <w:rsid w:val="004A1A6E"/>
    <w:rsid w:val="004B39FD"/>
    <w:rsid w:val="004B5FFB"/>
    <w:rsid w:val="004F0E3B"/>
    <w:rsid w:val="00510B8B"/>
    <w:rsid w:val="0051685F"/>
    <w:rsid w:val="0054349D"/>
    <w:rsid w:val="00627D76"/>
    <w:rsid w:val="006372F8"/>
    <w:rsid w:val="00645CDA"/>
    <w:rsid w:val="00675E5B"/>
    <w:rsid w:val="00677CC6"/>
    <w:rsid w:val="006B0B13"/>
    <w:rsid w:val="006F2ACC"/>
    <w:rsid w:val="007255F1"/>
    <w:rsid w:val="00784732"/>
    <w:rsid w:val="007A1DD6"/>
    <w:rsid w:val="007C624A"/>
    <w:rsid w:val="007E1823"/>
    <w:rsid w:val="00805306"/>
    <w:rsid w:val="00820DB0"/>
    <w:rsid w:val="00875EF2"/>
    <w:rsid w:val="00881E28"/>
    <w:rsid w:val="008B18D7"/>
    <w:rsid w:val="008B56AD"/>
    <w:rsid w:val="009372AD"/>
    <w:rsid w:val="009429A8"/>
    <w:rsid w:val="0095177A"/>
    <w:rsid w:val="00953B94"/>
    <w:rsid w:val="00972D03"/>
    <w:rsid w:val="009E65EC"/>
    <w:rsid w:val="00A16829"/>
    <w:rsid w:val="00A6325D"/>
    <w:rsid w:val="00A71842"/>
    <w:rsid w:val="00A87A88"/>
    <w:rsid w:val="00AA250E"/>
    <w:rsid w:val="00AA5616"/>
    <w:rsid w:val="00AB592B"/>
    <w:rsid w:val="00AD57C3"/>
    <w:rsid w:val="00AD7052"/>
    <w:rsid w:val="00B32730"/>
    <w:rsid w:val="00C52B71"/>
    <w:rsid w:val="00CB69F1"/>
    <w:rsid w:val="00CE2FC7"/>
    <w:rsid w:val="00D00707"/>
    <w:rsid w:val="00D00A6B"/>
    <w:rsid w:val="00D0154E"/>
    <w:rsid w:val="00D01873"/>
    <w:rsid w:val="00D21F21"/>
    <w:rsid w:val="00D22BCC"/>
    <w:rsid w:val="00D72B46"/>
    <w:rsid w:val="00DD1689"/>
    <w:rsid w:val="00DE680A"/>
    <w:rsid w:val="00E16782"/>
    <w:rsid w:val="00E170AD"/>
    <w:rsid w:val="00E9100C"/>
    <w:rsid w:val="00E950A9"/>
    <w:rsid w:val="00EA76CC"/>
    <w:rsid w:val="00EB1049"/>
    <w:rsid w:val="00EC09DD"/>
    <w:rsid w:val="00F06C9C"/>
    <w:rsid w:val="00F13BF4"/>
    <w:rsid w:val="00F14570"/>
    <w:rsid w:val="00F54649"/>
    <w:rsid w:val="00F67B04"/>
    <w:rsid w:val="00F743DA"/>
    <w:rsid w:val="00F7459D"/>
    <w:rsid w:val="00F85EBC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  <w:style w:type="character" w:styleId="Hyperlink">
    <w:name w:val="Hyperlink"/>
    <w:basedOn w:val="DefaultParagraphFont"/>
    <w:uiPriority w:val="99"/>
    <w:unhideWhenUsed/>
    <w:rsid w:val="00F87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rbay.gov.uk/W2Planning/StreamDocPage/obj.pdf?DocNo=12627611&amp;PageNo=1&amp;content=obj.pdf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torbay.gov.uk/newpublicaccess/caseDetails.do?caseType=Application&amp;keyVal=ODMY3UQIJ2R0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rbay.gov.uk/newpublicaccess/caseDetails.do?caseType=Application&amp;keyVal=MDTU7FQI22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e08795-e594-43a2-9ea7-16e3644ae68e">
      <UserInfo>
        <DisplayName/>
        <AccountId xsi:nil="true"/>
        <AccountType/>
      </UserInfo>
    </SharedWithUsers>
    <MediaLengthInSeconds xmlns="216be0e3-fb59-44d6-9a08-5c3bad261b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04B12-5D8F-4D4F-B94F-F4583086A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66458-7400-4D40-9C39-0C9D0F3AE5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6be0e3-fb59-44d6-9a08-5c3bad261b2e"/>
    <ds:schemaRef ds:uri="21e08795-e594-43a2-9ea7-16e3644ae68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FFFE3E-5FBB-4ED6-BAA6-592E4156A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3</cp:revision>
  <dcterms:created xsi:type="dcterms:W3CDTF">2021-10-01T08:13:00Z</dcterms:created>
  <dcterms:modified xsi:type="dcterms:W3CDTF">2021-12-20T17:23:00Z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17647300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