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0E106C96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E721D1">
              <w:rPr>
                <w:b/>
              </w:rPr>
              <w:t xml:space="preserve">: </w:t>
            </w:r>
            <w:r w:rsidR="00E721D1">
              <w:rPr>
                <w:b/>
              </w:rPr>
              <w:t>Yellow site – minor constraints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0092B540" w:rsidR="00EA76CC" w:rsidRPr="002B13CB" w:rsidRDefault="009E283D" w:rsidP="003F777D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</w:tc>
      </w:tr>
      <w:tr w:rsidR="00EA76CC" w:rsidRPr="002B13CB" w14:paraId="0127FAA1" w14:textId="77777777" w:rsidTr="009E283D">
        <w:trPr>
          <w:trHeight w:val="70"/>
        </w:trPr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0DAB3C79" w:rsidR="00EA76CC" w:rsidRPr="003F777D" w:rsidRDefault="005F7BF0" w:rsidP="00A228ED">
            <w:r>
              <w:t xml:space="preserve">Former </w:t>
            </w:r>
            <w:r w:rsidR="00FC2729">
              <w:t>St Georges Hall</w:t>
            </w:r>
            <w:r>
              <w:t xml:space="preserve"> (Working Links</w:t>
            </w:r>
            <w:proofErr w:type="gramStart"/>
            <w:r>
              <w:t xml:space="preserve">) </w:t>
            </w:r>
            <w:r w:rsidR="00FC2729">
              <w:t>,</w:t>
            </w:r>
            <w:proofErr w:type="gramEnd"/>
            <w:r w:rsidR="00FC2729">
              <w:t xml:space="preserve"> Lower Union Lane </w:t>
            </w:r>
          </w:p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383" w:type="dxa"/>
          </w:tcPr>
          <w:p w14:paraId="7177EB18" w14:textId="43084CDC" w:rsidR="009E65EC" w:rsidRPr="003F777D" w:rsidRDefault="009E283D" w:rsidP="00F13BF4">
            <w:pPr>
              <w:outlineLvl w:val="0"/>
              <w:rPr>
                <w:noProof/>
              </w:rPr>
            </w:pPr>
            <w:r>
              <w:rPr>
                <w:noProof/>
              </w:rPr>
              <w:t>21T084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30797029" w:rsidR="00135146" w:rsidRPr="003F777D" w:rsidRDefault="009E283D" w:rsidP="00A228ED">
            <w:pPr>
              <w:outlineLvl w:val="0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383" w:type="dxa"/>
          </w:tcPr>
          <w:p w14:paraId="7DA74B85" w14:textId="1D4395BE" w:rsidR="00F13BF4" w:rsidRPr="005F7BF0" w:rsidRDefault="005F7BF0" w:rsidP="00F13BF4">
            <w:pPr>
              <w:rPr>
                <w:color w:val="FF0000"/>
              </w:rPr>
            </w:pPr>
            <w:proofErr w:type="gramStart"/>
            <w:r w:rsidRPr="005F7BF0">
              <w:t xml:space="preserve">Yes </w:t>
            </w:r>
            <w:r>
              <w:t xml:space="preserve"> -</w:t>
            </w:r>
            <w:proofErr w:type="gramEnd"/>
            <w:r>
              <w:t xml:space="preserve"> very sustainable town centre site.  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383" w:type="dxa"/>
          </w:tcPr>
          <w:p w14:paraId="696D0071" w14:textId="0159B4A9" w:rsidR="00F13BF4" w:rsidRPr="00675E5B" w:rsidRDefault="005F7BF0" w:rsidP="00F13BF4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Not clear – knowledge site. Not being actively promoted 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EF8CBB8" w:rsidR="00F13BF4" w:rsidRPr="00675E5B" w:rsidRDefault="005F7BF0" w:rsidP="00F13BF4">
            <w:r>
              <w:t xml:space="preserve">Yes. Need to include flood resilience on ground floor but otherwise a very sustainable site. </w:t>
            </w:r>
          </w:p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662F6C87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7F5FCD5C" w:rsidR="00135146" w:rsidRPr="00EA76CC" w:rsidRDefault="00FC2729" w:rsidP="00135146">
            <w:r>
              <w:t xml:space="preserve">Class E (p/2009/0950: change of use to employment agency.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1D6ECC95" w14:textId="6DAA59E2" w:rsidR="00135146" w:rsidRPr="00EA76CC" w:rsidRDefault="005F7BF0" w:rsidP="00135146">
            <w:r>
              <w:t xml:space="preserve">Former Hall/ job centre/shop off Union Street. 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4BC8F78B" w14:textId="5FEBF700" w:rsidR="00135146" w:rsidRPr="00F14570" w:rsidRDefault="005F7BF0" w:rsidP="00135146">
            <w:r>
              <w:t>0.01</w:t>
            </w:r>
          </w:p>
        </w:tc>
      </w:tr>
      <w:tr w:rsidR="005F7BF0" w:rsidRPr="002B13CB" w14:paraId="774BF609" w14:textId="77777777" w:rsidTr="00F37CCA">
        <w:tc>
          <w:tcPr>
            <w:tcW w:w="9016" w:type="dxa"/>
            <w:gridSpan w:val="2"/>
          </w:tcPr>
          <w:p w14:paraId="59D8EE2F" w14:textId="77777777" w:rsidR="005F7BF0" w:rsidRDefault="005F7BF0" w:rsidP="00135146"/>
          <w:p w14:paraId="1B145D4C" w14:textId="7DAEF783" w:rsidR="005F7BF0" w:rsidRPr="00F14570" w:rsidRDefault="005F7BF0" w:rsidP="00135146">
            <w:r>
              <w:rPr>
                <w:noProof/>
              </w:rPr>
              <w:drawing>
                <wp:inline distT="0" distB="0" distL="0" distR="0" wp14:anchorId="16182B39" wp14:editId="06D849A5">
                  <wp:extent cx="1647825" cy="1784559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58" cy="179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5A65EF" wp14:editId="7D8A8E64">
                  <wp:extent cx="3704589" cy="22631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168" cy="226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41509A5C" w:rsidR="009E65EC" w:rsidRDefault="009E65EC" w:rsidP="003A244A"/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A6FA5B2" w:rsidR="009E65EC" w:rsidRDefault="005F7BF0" w:rsidP="00A228ED">
            <w:r>
              <w:t>6</w:t>
            </w:r>
          </w:p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20D29358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84A1" w14:textId="77777777" w:rsidR="00F10847" w:rsidRDefault="00F10847" w:rsidP="009E65EC">
      <w:pPr>
        <w:spacing w:after="0" w:line="240" w:lineRule="auto"/>
      </w:pPr>
      <w:r>
        <w:separator/>
      </w:r>
    </w:p>
  </w:endnote>
  <w:endnote w:type="continuationSeparator" w:id="0">
    <w:p w14:paraId="0CBDE284" w14:textId="77777777" w:rsidR="00F10847" w:rsidRDefault="00F10847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75E5B" w:rsidRPr="00675E5B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51A7" w14:textId="77777777" w:rsidR="00F10847" w:rsidRDefault="00F10847" w:rsidP="009E65EC">
      <w:pPr>
        <w:spacing w:after="0" w:line="240" w:lineRule="auto"/>
      </w:pPr>
      <w:r>
        <w:separator/>
      </w:r>
    </w:p>
  </w:footnote>
  <w:footnote w:type="continuationSeparator" w:id="0">
    <w:p w14:paraId="0565F832" w14:textId="77777777" w:rsidR="00F10847" w:rsidRDefault="00F10847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F777D"/>
    <w:rsid w:val="00411C11"/>
    <w:rsid w:val="004B39FD"/>
    <w:rsid w:val="004F0E3B"/>
    <w:rsid w:val="0051685F"/>
    <w:rsid w:val="005F7BF0"/>
    <w:rsid w:val="00640BE3"/>
    <w:rsid w:val="00645CDA"/>
    <w:rsid w:val="00675E5B"/>
    <w:rsid w:val="00677CC6"/>
    <w:rsid w:val="006F2ACC"/>
    <w:rsid w:val="00784732"/>
    <w:rsid w:val="007C624A"/>
    <w:rsid w:val="00820DB0"/>
    <w:rsid w:val="00881E28"/>
    <w:rsid w:val="0095177A"/>
    <w:rsid w:val="00953B94"/>
    <w:rsid w:val="009E283D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D00A6B"/>
    <w:rsid w:val="00D0154E"/>
    <w:rsid w:val="00D72B46"/>
    <w:rsid w:val="00DD1689"/>
    <w:rsid w:val="00DE680A"/>
    <w:rsid w:val="00E16782"/>
    <w:rsid w:val="00E721D1"/>
    <w:rsid w:val="00E9100C"/>
    <w:rsid w:val="00EA76CC"/>
    <w:rsid w:val="00F10847"/>
    <w:rsid w:val="00F13BF4"/>
    <w:rsid w:val="00F14570"/>
    <w:rsid w:val="00F54649"/>
    <w:rsid w:val="00F67B04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1DE8C-7FE9-40BF-9E94-BDF126CC8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DA5BE-EF2B-404F-A78A-5CE1F347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9A566-DF88-4D1E-99EB-66B1991E3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3</cp:revision>
  <dcterms:created xsi:type="dcterms:W3CDTF">2021-10-07T17:17:00Z</dcterms:created>
  <dcterms:modified xsi:type="dcterms:W3CDTF">2021-12-20T17:27:00Z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