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35"/>
        <w:gridCol w:w="7345"/>
      </w:tblGrid>
      <w:tr w:rsidR="27655EA8" w14:paraId="57B5E408" w14:textId="77777777" w:rsidTr="00383568">
        <w:tc>
          <w:tcPr>
            <w:tcW w:w="10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89811" w14:textId="415ECC8B" w:rsidR="27655EA8" w:rsidRDefault="27655EA8">
            <w:r w:rsidRPr="27655EA8">
              <w:rPr>
                <w:rFonts w:ascii="Calibri" w:eastAsia="Calibri" w:hAnsi="Calibri" w:cs="Calibri"/>
                <w:b/>
                <w:bCs/>
              </w:rPr>
              <w:t>SITE OVERVIEW</w:t>
            </w:r>
            <w:r w:rsidR="001F68D3">
              <w:rPr>
                <w:rFonts w:eastAsia="Times New Roman" w:cstheme="minorHAnsi"/>
                <w:b/>
                <w:bCs/>
                <w:lang w:val="en-GB" w:eastAsia="en-GB"/>
              </w:rPr>
              <w:t>: Yellow – minor constraints</w:t>
            </w:r>
            <w:r w:rsidR="001F68D3" w:rsidRPr="00AB35B8">
              <w:rPr>
                <w:rFonts w:eastAsia="Times New Roman" w:cstheme="minorHAnsi"/>
                <w:lang w:val="en-GB" w:eastAsia="en-GB"/>
              </w:rPr>
              <w:t> </w:t>
            </w:r>
          </w:p>
        </w:tc>
      </w:tr>
      <w:tr w:rsidR="27655EA8" w14:paraId="05A216E0" w14:textId="77777777" w:rsidTr="00383568"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94432" w14:textId="501E6D03" w:rsidR="27655EA8" w:rsidRDefault="27655EA8">
            <w:r w:rsidRPr="27655EA8">
              <w:rPr>
                <w:rFonts w:ascii="Calibri" w:eastAsia="Calibri" w:hAnsi="Calibri" w:cs="Calibri"/>
                <w:b/>
                <w:bCs/>
              </w:rPr>
              <w:t xml:space="preserve">Town   </w:t>
            </w:r>
          </w:p>
        </w:tc>
        <w:tc>
          <w:tcPr>
            <w:tcW w:w="7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9903A" w14:textId="43C191C2" w:rsidR="27655EA8" w:rsidRDefault="27655EA8">
            <w:r w:rsidRPr="27655EA8">
              <w:rPr>
                <w:rFonts w:ascii="Calibri" w:eastAsia="Calibri" w:hAnsi="Calibri" w:cs="Calibri"/>
                <w:b/>
                <w:bCs/>
              </w:rPr>
              <w:t>Torquay</w:t>
            </w:r>
          </w:p>
        </w:tc>
      </w:tr>
      <w:tr w:rsidR="27655EA8" w14:paraId="362794C8" w14:textId="77777777" w:rsidTr="00383568"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E8297" w14:textId="1B6E9EF9" w:rsidR="27655EA8" w:rsidRDefault="27655EA8">
            <w:r w:rsidRPr="27655EA8">
              <w:rPr>
                <w:rFonts w:ascii="Calibri" w:eastAsia="Calibri" w:hAnsi="Calibri" w:cs="Calibri"/>
                <w:b/>
                <w:bCs/>
              </w:rPr>
              <w:t>Site Name</w:t>
            </w:r>
          </w:p>
        </w:tc>
        <w:tc>
          <w:tcPr>
            <w:tcW w:w="7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69752" w14:textId="4F92E9E7" w:rsidR="27655EA8" w:rsidRDefault="27655EA8">
            <w:r w:rsidRPr="27655EA8">
              <w:rPr>
                <w:rFonts w:ascii="Calibri" w:eastAsia="Calibri" w:hAnsi="Calibri" w:cs="Calibri"/>
              </w:rPr>
              <w:t xml:space="preserve">Land adjacent to Broadley Drive, </w:t>
            </w:r>
            <w:proofErr w:type="spellStart"/>
            <w:r w:rsidRPr="27655EA8">
              <w:rPr>
                <w:rFonts w:ascii="Calibri" w:eastAsia="Calibri" w:hAnsi="Calibri" w:cs="Calibri"/>
              </w:rPr>
              <w:t>Livermead</w:t>
            </w:r>
            <w:proofErr w:type="spellEnd"/>
          </w:p>
        </w:tc>
      </w:tr>
      <w:tr w:rsidR="27655EA8" w14:paraId="5E1BDFDB" w14:textId="77777777" w:rsidTr="00383568"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25725" w14:textId="5D0BDA64" w:rsidR="27655EA8" w:rsidRDefault="27655EA8">
            <w:r w:rsidRPr="27655EA8">
              <w:rPr>
                <w:rFonts w:ascii="Calibri" w:eastAsia="Calibri" w:hAnsi="Calibri" w:cs="Calibri"/>
                <w:b/>
                <w:bCs/>
              </w:rPr>
              <w:t>HELAA Reference no.</w:t>
            </w:r>
          </w:p>
        </w:tc>
        <w:tc>
          <w:tcPr>
            <w:tcW w:w="7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58BE7" w14:textId="1796B798" w:rsidR="27655EA8" w:rsidRDefault="27655EA8">
            <w:r w:rsidRPr="27655EA8">
              <w:rPr>
                <w:rFonts w:ascii="Calibri" w:eastAsia="Calibri" w:hAnsi="Calibri" w:cs="Calibri"/>
              </w:rPr>
              <w:t>21T050</w:t>
            </w:r>
          </w:p>
        </w:tc>
      </w:tr>
      <w:tr w:rsidR="00383568" w14:paraId="0BB86C2F" w14:textId="77777777" w:rsidTr="00383568">
        <w:tc>
          <w:tcPr>
            <w:tcW w:w="3135" w:type="dxa"/>
          </w:tcPr>
          <w:p w14:paraId="170AD2C7" w14:textId="77777777" w:rsidR="00383568" w:rsidRDefault="00383568" w:rsidP="00872F48">
            <w:r w:rsidRPr="27655EA8">
              <w:rPr>
                <w:rFonts w:ascii="Calibri" w:eastAsia="Calibri" w:hAnsi="Calibri" w:cs="Calibri"/>
                <w:b/>
                <w:bCs/>
              </w:rPr>
              <w:t>Approx. yield</w:t>
            </w:r>
          </w:p>
        </w:tc>
        <w:tc>
          <w:tcPr>
            <w:tcW w:w="7345" w:type="dxa"/>
          </w:tcPr>
          <w:p w14:paraId="1544CEA6" w14:textId="77777777" w:rsidR="00383568" w:rsidRDefault="00383568" w:rsidP="00872F48">
            <w:r w:rsidRPr="27655EA8">
              <w:rPr>
                <w:rFonts w:ascii="Calibri" w:eastAsia="Calibri" w:hAnsi="Calibri" w:cs="Calibri"/>
              </w:rPr>
              <w:t>50</w:t>
            </w:r>
            <w:r w:rsidRPr="27655EA8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27655EA8" w14:paraId="4F3E494E" w14:textId="77777777" w:rsidTr="00383568">
        <w:tc>
          <w:tcPr>
            <w:tcW w:w="10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FCAA8" w14:textId="06AB305B" w:rsidR="62FF2489" w:rsidRDefault="00383568" w:rsidP="27655EA8">
            <w:r>
              <w:rPr>
                <w:noProof/>
              </w:rPr>
              <w:drawing>
                <wp:inline distT="0" distB="0" distL="0" distR="0" wp14:anchorId="706AC4BC" wp14:editId="4B0A4A8B">
                  <wp:extent cx="5972175" cy="42767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175" cy="427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27655EA8" w14:paraId="01FE7CDC" w14:textId="77777777" w:rsidTr="00383568"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3792B" w14:textId="6710627C" w:rsidR="27655EA8" w:rsidRDefault="27655EA8">
            <w:r w:rsidRPr="27655EA8">
              <w:rPr>
                <w:rFonts w:ascii="Calibri" w:eastAsia="Calibri" w:hAnsi="Calibri" w:cs="Calibri"/>
                <w:b/>
                <w:bCs/>
              </w:rPr>
              <w:t>Suitable</w:t>
            </w:r>
          </w:p>
        </w:tc>
        <w:tc>
          <w:tcPr>
            <w:tcW w:w="7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121BF" w14:textId="5577E03F" w:rsidR="27655EA8" w:rsidRDefault="27655EA8">
            <w:r w:rsidRPr="27655EA8">
              <w:rPr>
                <w:rFonts w:ascii="Calibri" w:eastAsia="Calibri" w:hAnsi="Calibri" w:cs="Calibri"/>
                <w:color w:val="000000" w:themeColor="text1"/>
              </w:rPr>
              <w:t xml:space="preserve">While the site is located at the edge of the settlement boundary, it is within 10min walking distance of bus stops, a local </w:t>
            </w:r>
            <w:proofErr w:type="gramStart"/>
            <w:r w:rsidRPr="27655EA8">
              <w:rPr>
                <w:rFonts w:ascii="Calibri" w:eastAsia="Calibri" w:hAnsi="Calibri" w:cs="Calibri"/>
                <w:color w:val="000000" w:themeColor="text1"/>
              </w:rPr>
              <w:t>shop</w:t>
            </w:r>
            <w:proofErr w:type="gramEnd"/>
            <w:r w:rsidRPr="27655EA8">
              <w:rPr>
                <w:rFonts w:ascii="Calibri" w:eastAsia="Calibri" w:hAnsi="Calibri" w:cs="Calibri"/>
                <w:color w:val="000000" w:themeColor="text1"/>
              </w:rPr>
              <w:t xml:space="preserve"> and a primary school, and within 20min walking distance of the Preston District Centre. Subject to adequate mitigation of any ecological impacts, the site is considered suitable for housing development.</w:t>
            </w:r>
          </w:p>
        </w:tc>
      </w:tr>
      <w:tr w:rsidR="27655EA8" w14:paraId="046F2B4E" w14:textId="77777777" w:rsidTr="00383568"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A85B1" w14:textId="42D320E0" w:rsidR="27655EA8" w:rsidRDefault="27655EA8">
            <w:r w:rsidRPr="27655EA8">
              <w:rPr>
                <w:rFonts w:ascii="Calibri" w:eastAsia="Calibri" w:hAnsi="Calibri" w:cs="Calibri"/>
                <w:b/>
                <w:bCs/>
              </w:rPr>
              <w:t>Available</w:t>
            </w:r>
          </w:p>
        </w:tc>
        <w:tc>
          <w:tcPr>
            <w:tcW w:w="7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331FE0" w14:textId="59C80508" w:rsidR="27655EA8" w:rsidRDefault="27655EA8">
            <w:r w:rsidRPr="27655EA8">
              <w:rPr>
                <w:rFonts w:ascii="Calibri" w:eastAsia="Calibri" w:hAnsi="Calibri" w:cs="Calibri"/>
                <w:color w:val="000000" w:themeColor="text1"/>
              </w:rPr>
              <w:t xml:space="preserve">The site was promoted for development </w:t>
            </w:r>
            <w:r w:rsidR="00383568">
              <w:rPr>
                <w:rFonts w:ascii="Calibri" w:eastAsia="Calibri" w:hAnsi="Calibri" w:cs="Calibri"/>
                <w:color w:val="000000" w:themeColor="text1"/>
              </w:rPr>
              <w:t>to this HELAA</w:t>
            </w:r>
            <w:r w:rsidRPr="27655EA8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</w:tr>
      <w:tr w:rsidR="27655EA8" w14:paraId="495A629A" w14:textId="77777777" w:rsidTr="00383568"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5DC77" w14:textId="02EE46E2" w:rsidR="27655EA8" w:rsidRDefault="27655EA8">
            <w:r w:rsidRPr="27655EA8">
              <w:rPr>
                <w:rFonts w:ascii="Calibri" w:eastAsia="Calibri" w:hAnsi="Calibri" w:cs="Calibri"/>
                <w:b/>
                <w:bCs/>
              </w:rPr>
              <w:t>Achievable</w:t>
            </w:r>
          </w:p>
        </w:tc>
        <w:tc>
          <w:tcPr>
            <w:tcW w:w="7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DCA99" w14:textId="350D879C" w:rsidR="27655EA8" w:rsidRDefault="27655EA8">
            <w:r w:rsidRPr="27655EA8">
              <w:rPr>
                <w:rFonts w:ascii="Calibri" w:eastAsia="Calibri" w:hAnsi="Calibri" w:cs="Calibri"/>
                <w:color w:val="000000" w:themeColor="text1"/>
              </w:rPr>
              <w:t xml:space="preserve">Subject to successful resolution of the possible ransom strip, and subject to any necessary ecological mitigation, development of the site is likely to be achievable. The site received a </w:t>
            </w:r>
            <w:proofErr w:type="spellStart"/>
            <w:r w:rsidRPr="27655EA8">
              <w:rPr>
                <w:rFonts w:ascii="Calibri" w:eastAsia="Calibri" w:hAnsi="Calibri" w:cs="Calibri"/>
                <w:color w:val="000000" w:themeColor="text1"/>
              </w:rPr>
              <w:t>favourable</w:t>
            </w:r>
            <w:proofErr w:type="spellEnd"/>
            <w:r w:rsidRPr="27655EA8">
              <w:rPr>
                <w:rFonts w:ascii="Calibri" w:eastAsia="Calibri" w:hAnsi="Calibri" w:cs="Calibri"/>
                <w:color w:val="000000" w:themeColor="text1"/>
              </w:rPr>
              <w:t xml:space="preserve"> response from developers at the 2021 HELAA Panel.</w:t>
            </w:r>
          </w:p>
        </w:tc>
      </w:tr>
      <w:tr w:rsidR="27655EA8" w14:paraId="65AEC551" w14:textId="77777777" w:rsidTr="00383568"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8D9F1" w14:textId="3676E83C" w:rsidR="27655EA8" w:rsidRDefault="27655EA8">
            <w:r w:rsidRPr="27655EA8">
              <w:rPr>
                <w:rFonts w:ascii="Calibri" w:eastAsia="Calibri" w:hAnsi="Calibri" w:cs="Calibri"/>
                <w:b/>
                <w:bCs/>
              </w:rPr>
              <w:t>Customer Reference no.</w:t>
            </w:r>
          </w:p>
        </w:tc>
        <w:tc>
          <w:tcPr>
            <w:tcW w:w="7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FCF68" w14:textId="0A496EC9" w:rsidR="27655EA8" w:rsidRDefault="27655EA8">
            <w:r w:rsidRPr="27655EA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7655EA8" w14:paraId="3BB39E2F" w14:textId="77777777" w:rsidTr="00383568"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8F419" w14:textId="09D3FB3A" w:rsidR="27655EA8" w:rsidRDefault="27655EA8">
            <w:r w:rsidRPr="27655EA8">
              <w:rPr>
                <w:rFonts w:ascii="Calibri" w:eastAsia="Calibri" w:hAnsi="Calibri" w:cs="Calibri"/>
                <w:b/>
                <w:bCs/>
              </w:rPr>
              <w:t xml:space="preserve">Source of Site (call for sites, Local Plan allocation etc.).  </w:t>
            </w:r>
          </w:p>
        </w:tc>
        <w:tc>
          <w:tcPr>
            <w:tcW w:w="7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8FE77" w14:textId="45F94026" w:rsidR="27655EA8" w:rsidRDefault="00383568">
            <w:r>
              <w:rPr>
                <w:rFonts w:ascii="Calibri" w:eastAsia="Calibri" w:hAnsi="Calibri" w:cs="Calibri"/>
                <w:color w:val="000000" w:themeColor="text1"/>
              </w:rPr>
              <w:t>Call for Sites</w:t>
            </w:r>
          </w:p>
        </w:tc>
      </w:tr>
      <w:tr w:rsidR="27655EA8" w14:paraId="3AE25DCA" w14:textId="77777777" w:rsidTr="00383568"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3E9D9" w14:textId="7999B3CF" w:rsidR="27655EA8" w:rsidRDefault="27655EA8">
            <w:r w:rsidRPr="27655EA8">
              <w:rPr>
                <w:rFonts w:ascii="Calibri" w:eastAsia="Calibri" w:hAnsi="Calibri" w:cs="Calibri"/>
                <w:b/>
                <w:bCs/>
              </w:rPr>
              <w:t>Current use</w:t>
            </w:r>
          </w:p>
        </w:tc>
        <w:tc>
          <w:tcPr>
            <w:tcW w:w="7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FE53D" w14:textId="0DD7BBD3" w:rsidR="27655EA8" w:rsidRDefault="27655EA8">
            <w:r w:rsidRPr="27655EA8">
              <w:rPr>
                <w:rFonts w:ascii="Calibri" w:eastAsia="Calibri" w:hAnsi="Calibri" w:cs="Calibri"/>
              </w:rPr>
              <w:t>Agriculture</w:t>
            </w:r>
          </w:p>
        </w:tc>
      </w:tr>
      <w:tr w:rsidR="27655EA8" w14:paraId="41FB1E81" w14:textId="77777777" w:rsidTr="00383568"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C3D26" w14:textId="7600457F" w:rsidR="27655EA8" w:rsidRDefault="27655EA8">
            <w:r w:rsidRPr="27655EA8">
              <w:rPr>
                <w:rFonts w:ascii="Calibri" w:eastAsia="Calibri" w:hAnsi="Calibri" w:cs="Calibri"/>
                <w:b/>
                <w:bCs/>
              </w:rPr>
              <w:t>Site descriptions</w:t>
            </w:r>
          </w:p>
        </w:tc>
        <w:tc>
          <w:tcPr>
            <w:tcW w:w="7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07FFF" w14:textId="7D0BD03C" w:rsidR="27655EA8" w:rsidRDefault="27655EA8">
            <w:r w:rsidRPr="27655EA8">
              <w:rPr>
                <w:rFonts w:ascii="Calibri" w:eastAsia="Calibri" w:hAnsi="Calibri" w:cs="Calibri"/>
              </w:rPr>
              <w:t xml:space="preserve">Agricultural field at the edge of the settlement to the rear of Nos. 99-113 Broadley at the top of </w:t>
            </w:r>
            <w:proofErr w:type="spellStart"/>
            <w:r w:rsidRPr="27655EA8">
              <w:rPr>
                <w:rFonts w:ascii="Calibri" w:eastAsia="Calibri" w:hAnsi="Calibri" w:cs="Calibri"/>
              </w:rPr>
              <w:t>Livermead</w:t>
            </w:r>
            <w:proofErr w:type="spellEnd"/>
            <w:r w:rsidRPr="27655EA8">
              <w:rPr>
                <w:rFonts w:ascii="Calibri" w:eastAsia="Calibri" w:hAnsi="Calibri" w:cs="Calibri"/>
              </w:rPr>
              <w:t xml:space="preserve">, with </w:t>
            </w:r>
            <w:proofErr w:type="spellStart"/>
            <w:r w:rsidRPr="27655EA8">
              <w:rPr>
                <w:rFonts w:ascii="Calibri" w:eastAsia="Calibri" w:hAnsi="Calibri" w:cs="Calibri"/>
              </w:rPr>
              <w:t>Manscombe</w:t>
            </w:r>
            <w:proofErr w:type="spellEnd"/>
            <w:r w:rsidRPr="27655EA8">
              <w:rPr>
                <w:rFonts w:ascii="Calibri" w:eastAsia="Calibri" w:hAnsi="Calibri" w:cs="Calibri"/>
              </w:rPr>
              <w:t xml:space="preserve"> Wood to the north, </w:t>
            </w:r>
            <w:proofErr w:type="spellStart"/>
            <w:r w:rsidRPr="27655EA8">
              <w:rPr>
                <w:rFonts w:ascii="Calibri" w:eastAsia="Calibri" w:hAnsi="Calibri" w:cs="Calibri"/>
              </w:rPr>
              <w:t>Scadson</w:t>
            </w:r>
            <w:proofErr w:type="spellEnd"/>
            <w:r w:rsidRPr="27655EA8">
              <w:rPr>
                <w:rFonts w:ascii="Calibri" w:eastAsia="Calibri" w:hAnsi="Calibri" w:cs="Calibri"/>
              </w:rPr>
              <w:t xml:space="preserve"> Woods to the south, and an agricultural field to the west beyond a footpath which runs along the western boundary of the site. The western half </w:t>
            </w:r>
            <w:r w:rsidRPr="27655EA8">
              <w:rPr>
                <w:rFonts w:ascii="Calibri" w:eastAsia="Calibri" w:hAnsi="Calibri" w:cs="Calibri"/>
              </w:rPr>
              <w:lastRenderedPageBreak/>
              <w:t xml:space="preserve">of the site slopes </w:t>
            </w:r>
            <w:proofErr w:type="gramStart"/>
            <w:r w:rsidRPr="27655EA8">
              <w:rPr>
                <w:rFonts w:ascii="Calibri" w:eastAsia="Calibri" w:hAnsi="Calibri" w:cs="Calibri"/>
              </w:rPr>
              <w:t>fairly gently</w:t>
            </w:r>
            <w:proofErr w:type="gramEnd"/>
            <w:r w:rsidRPr="27655EA8">
              <w:rPr>
                <w:rFonts w:ascii="Calibri" w:eastAsia="Calibri" w:hAnsi="Calibri" w:cs="Calibri"/>
              </w:rPr>
              <w:t xml:space="preserve"> downhill towards the west, with the gradient becoming steeper towards the southwestern corner of the site.</w:t>
            </w:r>
          </w:p>
        </w:tc>
      </w:tr>
      <w:tr w:rsidR="27655EA8" w14:paraId="4F473C69" w14:textId="77777777" w:rsidTr="00383568"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8DF3B" w14:textId="667621A3" w:rsidR="27655EA8" w:rsidRDefault="27655EA8">
            <w:r w:rsidRPr="27655EA8">
              <w:rPr>
                <w:rFonts w:ascii="Calibri" w:eastAsia="Calibri" w:hAnsi="Calibri" w:cs="Calibri"/>
                <w:b/>
                <w:bCs/>
              </w:rPr>
              <w:lastRenderedPageBreak/>
              <w:t>Total site area (ha)</w:t>
            </w:r>
          </w:p>
        </w:tc>
        <w:tc>
          <w:tcPr>
            <w:tcW w:w="7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A3E42" w14:textId="7B8132A5" w:rsidR="27655EA8" w:rsidRDefault="27655EA8">
            <w:r w:rsidRPr="27655EA8">
              <w:rPr>
                <w:rFonts w:ascii="Calibri" w:eastAsia="Calibri" w:hAnsi="Calibri" w:cs="Calibri"/>
                <w:color w:val="000000" w:themeColor="text1"/>
              </w:rPr>
              <w:t>3.19</w:t>
            </w:r>
          </w:p>
        </w:tc>
      </w:tr>
      <w:tr w:rsidR="27655EA8" w14:paraId="2133B45F" w14:textId="77777777" w:rsidTr="00383568"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035CA" w14:textId="7A81B736" w:rsidR="27655EA8" w:rsidRDefault="00383568">
            <w:r>
              <w:rPr>
                <w:rFonts w:ascii="Calibri" w:eastAsia="Calibri" w:hAnsi="Calibri" w:cs="Calibri"/>
                <w:b/>
                <w:bCs/>
              </w:rPr>
              <w:t>Developable</w:t>
            </w:r>
            <w:r w:rsidR="27655EA8" w:rsidRPr="27655EA8">
              <w:rPr>
                <w:rFonts w:ascii="Calibri" w:eastAsia="Calibri" w:hAnsi="Calibri" w:cs="Calibri"/>
                <w:b/>
                <w:bCs/>
              </w:rPr>
              <w:t xml:space="preserve"> site area (ha)</w:t>
            </w:r>
          </w:p>
        </w:tc>
        <w:tc>
          <w:tcPr>
            <w:tcW w:w="7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55A0C" w14:textId="7DF09FFF" w:rsidR="27655EA8" w:rsidRDefault="27655EA8">
            <w:r w:rsidRPr="27655EA8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27655EA8" w14:paraId="3CB5FBA6" w14:textId="77777777" w:rsidTr="00383568">
        <w:tc>
          <w:tcPr>
            <w:tcW w:w="10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9437C3" w14:textId="2B1F3E8D" w:rsidR="27655EA8" w:rsidRDefault="27655EA8">
            <w:r w:rsidRPr="27655EA8">
              <w:rPr>
                <w:rFonts w:ascii="Calibri" w:eastAsia="Calibri" w:hAnsi="Calibri" w:cs="Calibri"/>
                <w:i/>
                <w:iCs/>
              </w:rPr>
              <w:t xml:space="preserve"> </w:t>
            </w:r>
          </w:p>
        </w:tc>
      </w:tr>
      <w:tr w:rsidR="27655EA8" w14:paraId="431C06BD" w14:textId="77777777" w:rsidTr="00383568">
        <w:tc>
          <w:tcPr>
            <w:tcW w:w="10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82D91" w14:textId="53224504" w:rsidR="27655EA8" w:rsidRDefault="27655EA8">
            <w:r w:rsidRPr="27655EA8">
              <w:rPr>
                <w:rFonts w:ascii="Calibri" w:eastAsia="Calibri" w:hAnsi="Calibri" w:cs="Calibri"/>
              </w:rPr>
              <w:t xml:space="preserve"> </w:t>
            </w:r>
          </w:p>
          <w:p w14:paraId="55E61ED0" w14:textId="448E41F7" w:rsidR="27655EA8" w:rsidRDefault="27655EA8">
            <w:r w:rsidRPr="27655EA8">
              <w:rPr>
                <w:rFonts w:ascii="Calibri" w:eastAsia="Calibri" w:hAnsi="Calibri" w:cs="Calibri"/>
                <w:b/>
                <w:bCs/>
              </w:rPr>
              <w:t>SUITABILITY ASSESSMENT: STAGE A</w:t>
            </w:r>
          </w:p>
          <w:p w14:paraId="710113D7" w14:textId="7BF9E507" w:rsidR="27655EA8" w:rsidRDefault="27655EA8">
            <w:r w:rsidRPr="27655EA8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27655EA8" w14:paraId="4CA152E4" w14:textId="77777777" w:rsidTr="00383568"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3A46F9" w14:textId="1341C111" w:rsidR="27655EA8" w:rsidRDefault="00383568">
            <w:r>
              <w:rPr>
                <w:rFonts w:ascii="Calibri" w:eastAsia="Calibri" w:hAnsi="Calibri" w:cs="Calibri"/>
                <w:b/>
                <w:bCs/>
              </w:rPr>
              <w:t>Strategic potential</w:t>
            </w:r>
          </w:p>
        </w:tc>
        <w:tc>
          <w:tcPr>
            <w:tcW w:w="7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C35D5" w14:textId="2ECF1C5C" w:rsidR="27655EA8" w:rsidRDefault="27655EA8">
            <w:r w:rsidRPr="27655EA8">
              <w:rPr>
                <w:rFonts w:ascii="Calibri" w:eastAsia="Calibri" w:hAnsi="Calibri" w:cs="Calibri"/>
                <w:color w:val="000000" w:themeColor="text1"/>
              </w:rPr>
              <w:t>Yes</w:t>
            </w:r>
          </w:p>
        </w:tc>
      </w:tr>
      <w:tr w:rsidR="00383568" w14:paraId="02CA2DC0" w14:textId="77777777" w:rsidTr="00383568"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C66A8" w14:textId="40713DA4" w:rsidR="00383568" w:rsidRPr="27655EA8" w:rsidRDefault="00383568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Housing?</w:t>
            </w:r>
          </w:p>
        </w:tc>
        <w:tc>
          <w:tcPr>
            <w:tcW w:w="7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B0D4D" w14:textId="713749FD" w:rsidR="00383568" w:rsidRPr="27655EA8" w:rsidRDefault="00383568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Yes</w:t>
            </w:r>
          </w:p>
        </w:tc>
      </w:tr>
      <w:tr w:rsidR="27655EA8" w14:paraId="7D00E998" w14:textId="77777777" w:rsidTr="00383568"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F3BC5" w14:textId="47409D46" w:rsidR="27655EA8" w:rsidRDefault="27655EA8">
            <w:r w:rsidRPr="27655EA8">
              <w:rPr>
                <w:rFonts w:ascii="Calibri" w:eastAsia="Calibri" w:hAnsi="Calibri" w:cs="Calibri"/>
                <w:b/>
                <w:bCs/>
              </w:rPr>
              <w:t>Employment?</w:t>
            </w:r>
          </w:p>
        </w:tc>
        <w:tc>
          <w:tcPr>
            <w:tcW w:w="7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93B16" w14:textId="1CAB566C" w:rsidR="27655EA8" w:rsidRDefault="27655EA8">
            <w:r w:rsidRPr="27655EA8">
              <w:rPr>
                <w:rFonts w:ascii="Calibri" w:eastAsia="Calibri" w:hAnsi="Calibri" w:cs="Calibri"/>
              </w:rPr>
              <w:t>The site may have some limited potential to support employment uses, although the site is at the edge of a residential area and potentially not well located for employment uses.</w:t>
            </w:r>
          </w:p>
        </w:tc>
      </w:tr>
      <w:tr w:rsidR="27655EA8" w14:paraId="7F483A9D" w14:textId="77777777" w:rsidTr="00383568"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9E0C3" w14:textId="4C0E9056" w:rsidR="27655EA8" w:rsidRDefault="27655EA8">
            <w:r w:rsidRPr="27655EA8">
              <w:rPr>
                <w:rFonts w:ascii="Calibri" w:eastAsia="Calibri" w:hAnsi="Calibri" w:cs="Calibri"/>
                <w:b/>
                <w:bCs/>
              </w:rPr>
              <w:t>Other Use?</w:t>
            </w:r>
          </w:p>
        </w:tc>
        <w:tc>
          <w:tcPr>
            <w:tcW w:w="7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E636F" w14:textId="7B9FF233" w:rsidR="27655EA8" w:rsidRDefault="27655EA8">
            <w:r w:rsidRPr="27655EA8">
              <w:rPr>
                <w:rFonts w:ascii="Calibri" w:eastAsia="Calibri" w:hAnsi="Calibri" w:cs="Calibri"/>
              </w:rPr>
              <w:t>Agriculture, food production. Older persons housing?</w:t>
            </w:r>
          </w:p>
        </w:tc>
      </w:tr>
      <w:tr w:rsidR="27655EA8" w14:paraId="1B22D633" w14:textId="77777777" w:rsidTr="00383568">
        <w:trPr>
          <w:trHeight w:val="570"/>
        </w:trPr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237CC" w14:textId="28EF92BF" w:rsidR="27655EA8" w:rsidRDefault="27655EA8">
            <w:r w:rsidRPr="27655EA8">
              <w:rPr>
                <w:rFonts w:ascii="Calibri" w:eastAsia="Calibri" w:hAnsi="Calibri" w:cs="Calibri"/>
                <w:b/>
                <w:bCs/>
              </w:rPr>
              <w:t>Biodiversity- Within SAC/SSSI</w:t>
            </w:r>
          </w:p>
        </w:tc>
        <w:tc>
          <w:tcPr>
            <w:tcW w:w="7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CA7A6" w14:textId="1D6AABC7" w:rsidR="27655EA8" w:rsidRDefault="27655EA8">
            <w:r w:rsidRPr="27655EA8">
              <w:rPr>
                <w:rFonts w:ascii="Calibri" w:eastAsia="Calibri" w:hAnsi="Calibri" w:cs="Calibri"/>
                <w:color w:val="000000" w:themeColor="text1"/>
              </w:rPr>
              <w:t xml:space="preserve">Within South Hams SAC Landscape Connectivity Zone, </w:t>
            </w:r>
            <w:proofErr w:type="spellStart"/>
            <w:r w:rsidRPr="27655EA8">
              <w:rPr>
                <w:rFonts w:ascii="Calibri" w:eastAsia="Calibri" w:hAnsi="Calibri" w:cs="Calibri"/>
                <w:color w:val="000000" w:themeColor="text1"/>
              </w:rPr>
              <w:t>Cirl</w:t>
            </w:r>
            <w:proofErr w:type="spellEnd"/>
            <w:r w:rsidRPr="27655EA8">
              <w:rPr>
                <w:rFonts w:ascii="Calibri" w:eastAsia="Calibri" w:hAnsi="Calibri" w:cs="Calibri"/>
                <w:color w:val="000000" w:themeColor="text1"/>
              </w:rPr>
              <w:t xml:space="preserve"> Bunting Consultation Zone, and Greater Crested Newt Consultation Zone.</w:t>
            </w:r>
          </w:p>
          <w:p w14:paraId="08EC9DED" w14:textId="7E36AD00" w:rsidR="27655EA8" w:rsidRDefault="27655EA8">
            <w:proofErr w:type="spellStart"/>
            <w:r w:rsidRPr="27655EA8">
              <w:rPr>
                <w:rFonts w:ascii="Calibri" w:eastAsia="Calibri" w:hAnsi="Calibri" w:cs="Calibri"/>
                <w:color w:val="000000" w:themeColor="text1"/>
              </w:rPr>
              <w:t>Manscombe</w:t>
            </w:r>
            <w:proofErr w:type="spellEnd"/>
            <w:r w:rsidRPr="27655EA8">
              <w:rPr>
                <w:rFonts w:ascii="Calibri" w:eastAsia="Calibri" w:hAnsi="Calibri" w:cs="Calibri"/>
                <w:color w:val="000000" w:themeColor="text1"/>
              </w:rPr>
              <w:t xml:space="preserve"> Plantation to the north of the site falls within </w:t>
            </w:r>
            <w:proofErr w:type="spellStart"/>
            <w:r w:rsidRPr="27655EA8">
              <w:rPr>
                <w:rFonts w:ascii="Calibri" w:eastAsia="Calibri" w:hAnsi="Calibri" w:cs="Calibri"/>
                <w:color w:val="000000" w:themeColor="text1"/>
              </w:rPr>
              <w:t>Cockington</w:t>
            </w:r>
            <w:proofErr w:type="spellEnd"/>
            <w:r w:rsidRPr="27655EA8">
              <w:rPr>
                <w:rFonts w:ascii="Calibri" w:eastAsia="Calibri" w:hAnsi="Calibri" w:cs="Calibri"/>
                <w:color w:val="000000" w:themeColor="text1"/>
              </w:rPr>
              <w:t xml:space="preserve"> Country Park and the </w:t>
            </w:r>
            <w:proofErr w:type="spellStart"/>
            <w:r w:rsidRPr="27655EA8">
              <w:rPr>
                <w:rFonts w:ascii="Calibri" w:eastAsia="Calibri" w:hAnsi="Calibri" w:cs="Calibri"/>
                <w:color w:val="000000" w:themeColor="text1"/>
              </w:rPr>
              <w:t>Cockington</w:t>
            </w:r>
            <w:proofErr w:type="spellEnd"/>
            <w:r w:rsidRPr="27655EA8">
              <w:rPr>
                <w:rFonts w:ascii="Calibri" w:eastAsia="Calibri" w:hAnsi="Calibri" w:cs="Calibri"/>
                <w:color w:val="000000" w:themeColor="text1"/>
              </w:rPr>
              <w:t xml:space="preserve"> Court Local Nature Reserve. The woodland to the south of the site falls within the </w:t>
            </w:r>
            <w:proofErr w:type="spellStart"/>
            <w:r w:rsidRPr="27655EA8">
              <w:rPr>
                <w:rFonts w:ascii="Calibri" w:eastAsia="Calibri" w:hAnsi="Calibri" w:cs="Calibri"/>
                <w:color w:val="000000" w:themeColor="text1"/>
              </w:rPr>
              <w:t>Scadson</w:t>
            </w:r>
            <w:proofErr w:type="spellEnd"/>
            <w:r w:rsidRPr="27655EA8">
              <w:rPr>
                <w:rFonts w:ascii="Calibri" w:eastAsia="Calibri" w:hAnsi="Calibri" w:cs="Calibri"/>
                <w:color w:val="000000" w:themeColor="text1"/>
              </w:rPr>
              <w:t>/Ten Acre Brake Local Nature Reserve.</w:t>
            </w:r>
          </w:p>
        </w:tc>
      </w:tr>
      <w:tr w:rsidR="27655EA8" w14:paraId="4C393E51" w14:textId="77777777" w:rsidTr="00383568"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A781D" w14:textId="08BA47C0" w:rsidR="27655EA8" w:rsidRDefault="27655EA8">
            <w:r w:rsidRPr="27655EA8">
              <w:rPr>
                <w:rFonts w:ascii="Calibri" w:eastAsia="Calibri" w:hAnsi="Calibri" w:cs="Calibri"/>
                <w:b/>
                <w:bCs/>
              </w:rPr>
              <w:t>Flood Zone 3b</w:t>
            </w:r>
          </w:p>
        </w:tc>
        <w:tc>
          <w:tcPr>
            <w:tcW w:w="7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9E2D8" w14:textId="072A529D" w:rsidR="27655EA8" w:rsidRDefault="27655EA8">
            <w:r w:rsidRPr="27655EA8">
              <w:rPr>
                <w:rFonts w:ascii="Calibri" w:eastAsia="Calibri" w:hAnsi="Calibri" w:cs="Calibri"/>
                <w:color w:val="000000" w:themeColor="text1"/>
              </w:rPr>
              <w:t>No</w:t>
            </w:r>
          </w:p>
        </w:tc>
      </w:tr>
      <w:tr w:rsidR="27655EA8" w14:paraId="3FD87FD2" w14:textId="77777777" w:rsidTr="00383568"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0E110" w14:textId="2D6B7D6F" w:rsidR="27655EA8" w:rsidRDefault="27655EA8">
            <w:r w:rsidRPr="27655EA8">
              <w:rPr>
                <w:rFonts w:ascii="Calibri" w:eastAsia="Calibri" w:hAnsi="Calibri" w:cs="Calibri"/>
                <w:b/>
                <w:bCs/>
              </w:rPr>
              <w:t>Other NPPF Showstoppers (not policy constraints)</w:t>
            </w:r>
          </w:p>
        </w:tc>
        <w:tc>
          <w:tcPr>
            <w:tcW w:w="7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576DC" w14:textId="554DD865" w:rsidR="27655EA8" w:rsidRDefault="27655EA8">
            <w:r w:rsidRPr="27655EA8">
              <w:rPr>
                <w:rFonts w:ascii="Calibri" w:eastAsia="Calibri" w:hAnsi="Calibri" w:cs="Calibri"/>
                <w:color w:val="000000" w:themeColor="text1"/>
              </w:rPr>
              <w:t>No</w:t>
            </w:r>
          </w:p>
        </w:tc>
      </w:tr>
      <w:tr w:rsidR="27655EA8" w14:paraId="0C117500" w14:textId="77777777" w:rsidTr="00383568">
        <w:trPr>
          <w:trHeight w:val="221"/>
        </w:trPr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C0B0C" w14:textId="0EB4C9CB" w:rsidR="27655EA8" w:rsidRDefault="27655EA8">
            <w:r w:rsidRPr="27655EA8">
              <w:rPr>
                <w:rFonts w:ascii="Calibri" w:eastAsia="Calibri" w:hAnsi="Calibri" w:cs="Calibri"/>
                <w:b/>
                <w:bCs/>
              </w:rPr>
              <w:t>Conclusion</w:t>
            </w:r>
          </w:p>
        </w:tc>
        <w:tc>
          <w:tcPr>
            <w:tcW w:w="7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5B47D" w14:textId="0FA6FD93" w:rsidR="27655EA8" w:rsidRDefault="27655EA8">
            <w:r w:rsidRPr="27655EA8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</w:tbl>
    <w:p w14:paraId="6D6452CD" w14:textId="2938D780" w:rsidR="00127A7A" w:rsidRDefault="35CBC65F">
      <w:r w:rsidRPr="27655EA8">
        <w:rPr>
          <w:rFonts w:ascii="Arial" w:eastAsia="Arial" w:hAnsi="Arial" w:cs="Aria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09"/>
        <w:gridCol w:w="7371"/>
      </w:tblGrid>
      <w:tr w:rsidR="27655EA8" w14:paraId="70A779E2" w14:textId="77777777" w:rsidTr="7B4BD680">
        <w:tc>
          <w:tcPr>
            <w:tcW w:w="10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41905" w14:textId="73538EBB" w:rsidR="27655EA8" w:rsidRDefault="27655EA8">
            <w:r w:rsidRPr="27655EA8">
              <w:rPr>
                <w:rFonts w:ascii="Calibri" w:eastAsia="Calibri" w:hAnsi="Calibri" w:cs="Calibri"/>
              </w:rPr>
              <w:t xml:space="preserve"> </w:t>
            </w:r>
          </w:p>
          <w:p w14:paraId="68A651D4" w14:textId="2331BD63" w:rsidR="27655EA8" w:rsidRDefault="27655EA8">
            <w:r w:rsidRPr="27655EA8">
              <w:rPr>
                <w:rFonts w:ascii="Calibri" w:eastAsia="Calibri" w:hAnsi="Calibri" w:cs="Calibri"/>
                <w:b/>
                <w:bCs/>
              </w:rPr>
              <w:t xml:space="preserve">SUITABILITY ASSESSMENT: STAGE B </w:t>
            </w:r>
          </w:p>
          <w:p w14:paraId="24A855C0" w14:textId="1A544BAD" w:rsidR="27655EA8" w:rsidRDefault="27655EA8">
            <w:r w:rsidRPr="27655EA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7655EA8" w14:paraId="1470129C" w14:textId="77777777" w:rsidTr="7B4BD680">
        <w:trPr>
          <w:trHeight w:val="48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4C2B8" w14:textId="6F76F51D" w:rsidR="27655EA8" w:rsidRDefault="27655EA8">
            <w:r w:rsidRPr="27655EA8">
              <w:rPr>
                <w:rFonts w:ascii="Calibri" w:eastAsia="Calibri" w:hAnsi="Calibri" w:cs="Calibri"/>
                <w:b/>
                <w:bCs/>
              </w:rPr>
              <w:t>Access</w:t>
            </w:r>
          </w:p>
        </w:tc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5B405" w14:textId="7AE68EFB" w:rsidR="27655EA8" w:rsidRDefault="27655EA8">
            <w:r w:rsidRPr="27655EA8">
              <w:rPr>
                <w:rFonts w:ascii="Calibri" w:eastAsia="Calibri" w:hAnsi="Calibri" w:cs="Calibri"/>
                <w:color w:val="000000" w:themeColor="text1"/>
              </w:rPr>
              <w:t xml:space="preserve">Access is possible from </w:t>
            </w:r>
            <w:proofErr w:type="spellStart"/>
            <w:r w:rsidRPr="27655EA8">
              <w:rPr>
                <w:rFonts w:ascii="Calibri" w:eastAsia="Calibri" w:hAnsi="Calibri" w:cs="Calibri"/>
                <w:color w:val="000000" w:themeColor="text1"/>
              </w:rPr>
              <w:t>Broadpark</w:t>
            </w:r>
            <w:proofErr w:type="spellEnd"/>
            <w:r w:rsidRPr="27655EA8">
              <w:rPr>
                <w:rFonts w:ascii="Calibri" w:eastAsia="Calibri" w:hAnsi="Calibri" w:cs="Calibri"/>
                <w:color w:val="000000" w:themeColor="text1"/>
              </w:rPr>
              <w:t xml:space="preserve"> Road (although this would potentially be subject to a ransom strip).</w:t>
            </w:r>
            <w:r w:rsidRPr="27655EA8">
              <w:rPr>
                <w:rFonts w:ascii="Calibri" w:eastAsia="Calibri" w:hAnsi="Calibri" w:cs="Calibri"/>
              </w:rPr>
              <w:t xml:space="preserve">   </w:t>
            </w:r>
          </w:p>
        </w:tc>
      </w:tr>
      <w:tr w:rsidR="27655EA8" w14:paraId="181A4BFA" w14:textId="77777777" w:rsidTr="7B4BD680"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C8CF2" w14:textId="0E5A0246" w:rsidR="27655EA8" w:rsidRDefault="27655EA8">
            <w:r w:rsidRPr="27655EA8">
              <w:rPr>
                <w:rFonts w:ascii="Calibri" w:eastAsia="Calibri" w:hAnsi="Calibri" w:cs="Calibri"/>
                <w:b/>
                <w:bCs/>
              </w:rPr>
              <w:t>Flood risk, water quality and drainage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5F440" w14:textId="2DADF1E7" w:rsidR="27655EA8" w:rsidRDefault="27655EA8">
            <w:r w:rsidRPr="27655EA8">
              <w:rPr>
                <w:rFonts w:ascii="Calibri" w:eastAsia="Calibri" w:hAnsi="Calibri" w:cs="Calibri"/>
                <w:color w:val="000000" w:themeColor="text1"/>
              </w:rPr>
              <w:t>No significant constraints.</w:t>
            </w:r>
          </w:p>
        </w:tc>
      </w:tr>
      <w:tr w:rsidR="27655EA8" w14:paraId="2B4DE04E" w14:textId="77777777" w:rsidTr="7B4BD680"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2253B" w14:textId="2FC308A0" w:rsidR="27655EA8" w:rsidRDefault="27655EA8">
            <w:r w:rsidRPr="27655EA8">
              <w:rPr>
                <w:rFonts w:ascii="Calibri" w:eastAsia="Calibri" w:hAnsi="Calibri" w:cs="Calibri"/>
                <w:b/>
                <w:bCs/>
              </w:rPr>
              <w:t xml:space="preserve">Heritage and Archaeology (including distance from assets). 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7B73F" w14:textId="4E197D3C" w:rsidR="27655EA8" w:rsidRDefault="27655EA8">
            <w:proofErr w:type="spellStart"/>
            <w:r w:rsidRPr="27655EA8">
              <w:rPr>
                <w:rFonts w:ascii="Calibri" w:eastAsia="Calibri" w:hAnsi="Calibri" w:cs="Calibri"/>
                <w:color w:val="000000" w:themeColor="text1"/>
              </w:rPr>
              <w:t>Manscombe</w:t>
            </w:r>
            <w:proofErr w:type="spellEnd"/>
            <w:r w:rsidRPr="27655EA8">
              <w:rPr>
                <w:rFonts w:ascii="Calibri" w:eastAsia="Calibri" w:hAnsi="Calibri" w:cs="Calibri"/>
                <w:color w:val="000000" w:themeColor="text1"/>
              </w:rPr>
              <w:t xml:space="preserve"> Wood to the north of the site falls within the </w:t>
            </w:r>
            <w:proofErr w:type="spellStart"/>
            <w:r w:rsidRPr="27655EA8">
              <w:rPr>
                <w:rFonts w:ascii="Calibri" w:eastAsia="Calibri" w:hAnsi="Calibri" w:cs="Calibri"/>
                <w:color w:val="000000" w:themeColor="text1"/>
              </w:rPr>
              <w:t>Cockington</w:t>
            </w:r>
            <w:proofErr w:type="spellEnd"/>
            <w:r w:rsidRPr="27655EA8">
              <w:rPr>
                <w:rFonts w:ascii="Calibri" w:eastAsia="Calibri" w:hAnsi="Calibri" w:cs="Calibri"/>
                <w:color w:val="000000" w:themeColor="text1"/>
              </w:rPr>
              <w:t xml:space="preserve"> Conservation Area, although this is unlikely to be a significant constraint to development (as the historic significance of the conservation area primarily derives from the buildings and grounds of </w:t>
            </w:r>
            <w:proofErr w:type="spellStart"/>
            <w:r w:rsidRPr="27655EA8">
              <w:rPr>
                <w:rFonts w:ascii="Calibri" w:eastAsia="Calibri" w:hAnsi="Calibri" w:cs="Calibri"/>
                <w:color w:val="000000" w:themeColor="text1"/>
              </w:rPr>
              <w:t>Cockington</w:t>
            </w:r>
            <w:proofErr w:type="spellEnd"/>
            <w:r w:rsidRPr="27655EA8">
              <w:rPr>
                <w:rFonts w:ascii="Calibri" w:eastAsia="Calibri" w:hAnsi="Calibri" w:cs="Calibri"/>
                <w:color w:val="000000" w:themeColor="text1"/>
              </w:rPr>
              <w:t xml:space="preserve"> Court).</w:t>
            </w:r>
          </w:p>
          <w:p w14:paraId="369DA74B" w14:textId="654D894F" w:rsidR="27655EA8" w:rsidRDefault="27655EA8">
            <w:r w:rsidRPr="27655EA8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07B6E7E8" w14:textId="754AE633" w:rsidR="27655EA8" w:rsidRDefault="27655EA8">
            <w:r w:rsidRPr="27655EA8">
              <w:rPr>
                <w:rFonts w:ascii="Calibri" w:eastAsia="Calibri" w:hAnsi="Calibri" w:cs="Calibri"/>
                <w:color w:val="000000" w:themeColor="text1"/>
              </w:rPr>
              <w:t xml:space="preserve">There is a Grade II Listed barn approximately 250m to the northwest of the site, although visually separated from the site by </w:t>
            </w:r>
            <w:proofErr w:type="spellStart"/>
            <w:r w:rsidRPr="27655EA8">
              <w:rPr>
                <w:rFonts w:ascii="Calibri" w:eastAsia="Calibri" w:hAnsi="Calibri" w:cs="Calibri"/>
                <w:color w:val="000000" w:themeColor="text1"/>
              </w:rPr>
              <w:t>Manscombe</w:t>
            </w:r>
            <w:proofErr w:type="spellEnd"/>
            <w:r w:rsidRPr="27655EA8">
              <w:rPr>
                <w:rFonts w:ascii="Calibri" w:eastAsia="Calibri" w:hAnsi="Calibri" w:cs="Calibri"/>
                <w:color w:val="000000" w:themeColor="text1"/>
              </w:rPr>
              <w:t xml:space="preserve"> Wood.</w:t>
            </w:r>
          </w:p>
          <w:p w14:paraId="6D37EBC5" w14:textId="50858700" w:rsidR="27655EA8" w:rsidRDefault="27655EA8">
            <w:r w:rsidRPr="27655EA8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724329E2" w14:textId="2E5B5763" w:rsidR="27655EA8" w:rsidRDefault="27655EA8">
            <w:r w:rsidRPr="27655EA8">
              <w:rPr>
                <w:rFonts w:ascii="Calibri" w:eastAsia="Calibri" w:hAnsi="Calibri" w:cs="Calibri"/>
              </w:rPr>
              <w:t xml:space="preserve">The site has some archaeological </w:t>
            </w:r>
            <w:proofErr w:type="gramStart"/>
            <w:r w:rsidRPr="27655EA8">
              <w:rPr>
                <w:rFonts w:ascii="Calibri" w:eastAsia="Calibri" w:hAnsi="Calibri" w:cs="Calibri"/>
              </w:rPr>
              <w:t>potential</w:t>
            </w:r>
            <w:proofErr w:type="gramEnd"/>
            <w:r w:rsidRPr="27655EA8">
              <w:rPr>
                <w:rFonts w:ascii="Calibri" w:eastAsia="Calibri" w:hAnsi="Calibri" w:cs="Calibri"/>
              </w:rPr>
              <w:t xml:space="preserve"> and a </w:t>
            </w:r>
            <w:proofErr w:type="spellStart"/>
            <w:r w:rsidRPr="27655EA8">
              <w:rPr>
                <w:rFonts w:ascii="Calibri" w:eastAsia="Calibri" w:hAnsi="Calibri" w:cs="Calibri"/>
              </w:rPr>
              <w:t>programme</w:t>
            </w:r>
            <w:proofErr w:type="spellEnd"/>
            <w:r w:rsidRPr="27655EA8">
              <w:rPr>
                <w:rFonts w:ascii="Calibri" w:eastAsia="Calibri" w:hAnsi="Calibri" w:cs="Calibri"/>
              </w:rPr>
              <w:t xml:space="preserve"> of archaeological mitigation may be required.</w:t>
            </w:r>
          </w:p>
        </w:tc>
      </w:tr>
      <w:tr w:rsidR="27655EA8" w14:paraId="1FB0865A" w14:textId="77777777" w:rsidTr="7B4BD680"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EA0E5" w14:textId="1CA9F4F3" w:rsidR="27655EA8" w:rsidRDefault="27655EA8">
            <w:r w:rsidRPr="27655EA8">
              <w:rPr>
                <w:rFonts w:ascii="Calibri" w:eastAsia="Calibri" w:hAnsi="Calibri" w:cs="Calibri"/>
                <w:b/>
                <w:bCs/>
              </w:rPr>
              <w:t>Infrastructure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1A4B7" w14:textId="08F6704B" w:rsidR="27655EA8" w:rsidRDefault="27655EA8">
            <w:r w:rsidRPr="27655EA8">
              <w:rPr>
                <w:rFonts w:ascii="Calibri" w:eastAsia="Calibri" w:hAnsi="Calibri" w:cs="Calibri"/>
                <w:color w:val="000000" w:themeColor="text1"/>
              </w:rPr>
              <w:t xml:space="preserve">Access, </w:t>
            </w:r>
            <w:proofErr w:type="gramStart"/>
            <w:r w:rsidRPr="27655EA8">
              <w:rPr>
                <w:rFonts w:ascii="Calibri" w:eastAsia="Calibri" w:hAnsi="Calibri" w:cs="Calibri"/>
                <w:color w:val="000000" w:themeColor="text1"/>
              </w:rPr>
              <w:t>drainage</w:t>
            </w:r>
            <w:proofErr w:type="gramEnd"/>
            <w:r w:rsidRPr="27655EA8">
              <w:rPr>
                <w:rFonts w:ascii="Calibri" w:eastAsia="Calibri" w:hAnsi="Calibri" w:cs="Calibri"/>
                <w:color w:val="000000" w:themeColor="text1"/>
              </w:rPr>
              <w:t xml:space="preserve"> and sewage connections could be taken from the adjacent residential developed land to the east.</w:t>
            </w:r>
          </w:p>
        </w:tc>
      </w:tr>
      <w:tr w:rsidR="27655EA8" w14:paraId="14711C41" w14:textId="77777777" w:rsidTr="7B4BD680"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F8CE1" w14:textId="720AE7AD" w:rsidR="27655EA8" w:rsidRDefault="27655EA8">
            <w:r w:rsidRPr="27655EA8">
              <w:rPr>
                <w:rFonts w:ascii="Calibri" w:eastAsia="Calibri" w:hAnsi="Calibri" w:cs="Calibri"/>
              </w:rPr>
              <w:t>Landscape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68D04" w14:textId="1E7A9CF4" w:rsidR="27655EA8" w:rsidRDefault="27655EA8">
            <w:r w:rsidRPr="27655EA8">
              <w:rPr>
                <w:rFonts w:ascii="Calibri" w:eastAsia="Calibri" w:hAnsi="Calibri" w:cs="Calibri"/>
              </w:rPr>
              <w:t>Countryside area - LCA - Area of Local Character: Type 1G Rolling Farmland.</w:t>
            </w:r>
          </w:p>
          <w:p w14:paraId="423639E9" w14:textId="58CEA2EA" w:rsidR="27655EA8" w:rsidRDefault="27655EA8">
            <w:r w:rsidRPr="27655EA8">
              <w:rPr>
                <w:rFonts w:ascii="Calibri" w:eastAsia="Calibri" w:hAnsi="Calibri" w:cs="Calibri"/>
              </w:rPr>
              <w:t xml:space="preserve"> </w:t>
            </w:r>
          </w:p>
          <w:p w14:paraId="5E32BFBA" w14:textId="7D320F2B" w:rsidR="27655EA8" w:rsidRDefault="27655EA8">
            <w:r w:rsidRPr="27655EA8">
              <w:rPr>
                <w:rFonts w:ascii="Calibri" w:eastAsia="Calibri" w:hAnsi="Calibri" w:cs="Calibri"/>
              </w:rPr>
              <w:t>Devon Wide Landscape Character Type 3A: Upper Farmed &amp; Wooded Valley Slopes.</w:t>
            </w:r>
          </w:p>
          <w:p w14:paraId="533EFE20" w14:textId="453BDF34" w:rsidR="27655EA8" w:rsidRDefault="27655EA8">
            <w:r w:rsidRPr="27655EA8">
              <w:rPr>
                <w:rFonts w:ascii="Calibri" w:eastAsia="Calibri" w:hAnsi="Calibri" w:cs="Calibri"/>
              </w:rPr>
              <w:t xml:space="preserve"> </w:t>
            </w:r>
          </w:p>
          <w:p w14:paraId="4F30EF2D" w14:textId="7CA162BD" w:rsidR="27655EA8" w:rsidRDefault="27655EA8">
            <w:r w:rsidRPr="27655EA8">
              <w:rPr>
                <w:rFonts w:ascii="Calibri" w:eastAsia="Calibri" w:hAnsi="Calibri" w:cs="Calibri"/>
              </w:rPr>
              <w:lastRenderedPageBreak/>
              <w:t>Overall rated Moderately Sensitive in LCA. LCA Management Strategy: Conserve.</w:t>
            </w:r>
          </w:p>
          <w:p w14:paraId="4C84E604" w14:textId="2693BF6E" w:rsidR="27655EA8" w:rsidRDefault="27655EA8" w:rsidP="00763E11">
            <w:r w:rsidRPr="27655EA8">
              <w:rPr>
                <w:rFonts w:ascii="Calibri" w:eastAsia="Calibri" w:hAnsi="Calibri" w:cs="Calibri"/>
              </w:rPr>
              <w:t>Landscape impact is lessened by partial screening due to adjacent woodland to the north and south.</w:t>
            </w:r>
          </w:p>
        </w:tc>
      </w:tr>
      <w:tr w:rsidR="27655EA8" w14:paraId="219DF755" w14:textId="77777777" w:rsidTr="7B4BD680"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AE1F4" w14:textId="0DB8E6E7" w:rsidR="27655EA8" w:rsidRDefault="27655EA8">
            <w:r w:rsidRPr="27655EA8">
              <w:rPr>
                <w:rFonts w:ascii="Calibri" w:eastAsia="Calibri" w:hAnsi="Calibri" w:cs="Calibri"/>
                <w:b/>
                <w:bCs/>
              </w:rPr>
              <w:lastRenderedPageBreak/>
              <w:t>Ecology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84479" w14:textId="283027F7" w:rsidR="27655EA8" w:rsidRDefault="27655EA8">
            <w:r w:rsidRPr="27655EA8">
              <w:rPr>
                <w:rFonts w:ascii="Calibri" w:eastAsia="Calibri" w:hAnsi="Calibri" w:cs="Calibri"/>
                <w:color w:val="000000" w:themeColor="text1"/>
              </w:rPr>
              <w:t xml:space="preserve">Located within the South Hams SAC GHB Landscape Connectivity Zone, the Greater Crested Newt Consultation Zone, and the </w:t>
            </w:r>
            <w:proofErr w:type="spellStart"/>
            <w:r w:rsidRPr="27655EA8">
              <w:rPr>
                <w:rFonts w:ascii="Calibri" w:eastAsia="Calibri" w:hAnsi="Calibri" w:cs="Calibri"/>
                <w:color w:val="000000" w:themeColor="text1"/>
              </w:rPr>
              <w:t>Cirl</w:t>
            </w:r>
            <w:proofErr w:type="spellEnd"/>
            <w:r w:rsidRPr="27655EA8">
              <w:rPr>
                <w:rFonts w:ascii="Calibri" w:eastAsia="Calibri" w:hAnsi="Calibri" w:cs="Calibri"/>
                <w:color w:val="000000" w:themeColor="text1"/>
              </w:rPr>
              <w:t xml:space="preserve"> Bunting Consultation Zone. </w:t>
            </w:r>
          </w:p>
          <w:p w14:paraId="4AD93ECB" w14:textId="0573DCE4" w:rsidR="27655EA8" w:rsidRDefault="27655EA8">
            <w:proofErr w:type="spellStart"/>
            <w:r w:rsidRPr="27655EA8">
              <w:rPr>
                <w:rFonts w:ascii="Calibri" w:eastAsia="Calibri" w:hAnsi="Calibri" w:cs="Calibri"/>
                <w:color w:val="000000" w:themeColor="text1"/>
              </w:rPr>
              <w:t>Manscombe</w:t>
            </w:r>
            <w:proofErr w:type="spellEnd"/>
            <w:r w:rsidRPr="27655EA8">
              <w:rPr>
                <w:rFonts w:ascii="Calibri" w:eastAsia="Calibri" w:hAnsi="Calibri" w:cs="Calibri"/>
                <w:color w:val="000000" w:themeColor="text1"/>
              </w:rPr>
              <w:t xml:space="preserve"> Plantation to the north of the site falls within </w:t>
            </w:r>
            <w:proofErr w:type="spellStart"/>
            <w:r w:rsidRPr="27655EA8">
              <w:rPr>
                <w:rFonts w:ascii="Calibri" w:eastAsia="Calibri" w:hAnsi="Calibri" w:cs="Calibri"/>
                <w:color w:val="000000" w:themeColor="text1"/>
              </w:rPr>
              <w:t>Cockington</w:t>
            </w:r>
            <w:proofErr w:type="spellEnd"/>
            <w:r w:rsidRPr="27655EA8">
              <w:rPr>
                <w:rFonts w:ascii="Calibri" w:eastAsia="Calibri" w:hAnsi="Calibri" w:cs="Calibri"/>
                <w:color w:val="000000" w:themeColor="text1"/>
              </w:rPr>
              <w:t xml:space="preserve"> Country Park and the </w:t>
            </w:r>
            <w:proofErr w:type="spellStart"/>
            <w:r w:rsidRPr="27655EA8">
              <w:rPr>
                <w:rFonts w:ascii="Calibri" w:eastAsia="Calibri" w:hAnsi="Calibri" w:cs="Calibri"/>
                <w:color w:val="000000" w:themeColor="text1"/>
              </w:rPr>
              <w:t>Cockington</w:t>
            </w:r>
            <w:proofErr w:type="spellEnd"/>
            <w:r w:rsidRPr="27655EA8">
              <w:rPr>
                <w:rFonts w:ascii="Calibri" w:eastAsia="Calibri" w:hAnsi="Calibri" w:cs="Calibri"/>
                <w:color w:val="000000" w:themeColor="text1"/>
              </w:rPr>
              <w:t xml:space="preserve"> Court Local Nature Reserve. The woodland to the south of the site falls within the </w:t>
            </w:r>
            <w:proofErr w:type="spellStart"/>
            <w:r w:rsidRPr="27655EA8">
              <w:rPr>
                <w:rFonts w:ascii="Calibri" w:eastAsia="Calibri" w:hAnsi="Calibri" w:cs="Calibri"/>
                <w:color w:val="000000" w:themeColor="text1"/>
              </w:rPr>
              <w:t>Scadson</w:t>
            </w:r>
            <w:proofErr w:type="spellEnd"/>
            <w:r w:rsidRPr="27655EA8">
              <w:rPr>
                <w:rFonts w:ascii="Calibri" w:eastAsia="Calibri" w:hAnsi="Calibri" w:cs="Calibri"/>
                <w:color w:val="000000" w:themeColor="text1"/>
              </w:rPr>
              <w:t>/Ten Acre Brake Local Nature Reserve.</w:t>
            </w:r>
          </w:p>
        </w:tc>
      </w:tr>
      <w:tr w:rsidR="27655EA8" w14:paraId="01B09D69" w14:textId="77777777" w:rsidTr="7B4BD680"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8BA458" w14:textId="518A5D1D" w:rsidR="27655EA8" w:rsidRDefault="27655EA8">
            <w:r w:rsidRPr="27655EA8">
              <w:rPr>
                <w:rFonts w:ascii="Calibri" w:eastAsia="Calibri" w:hAnsi="Calibri" w:cs="Calibri"/>
                <w:b/>
                <w:bCs/>
              </w:rPr>
              <w:t>Safety related constraints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CD355" w14:textId="62E556B7" w:rsidR="27655EA8" w:rsidRDefault="27655EA8">
            <w:r w:rsidRPr="27655EA8">
              <w:rPr>
                <w:rFonts w:ascii="Calibri" w:eastAsia="Calibri" w:hAnsi="Calibri" w:cs="Calibri"/>
              </w:rPr>
              <w:t>No</w:t>
            </w:r>
          </w:p>
        </w:tc>
      </w:tr>
      <w:tr w:rsidR="27655EA8" w14:paraId="2CB46719" w14:textId="77777777" w:rsidTr="7B4BD680">
        <w:trPr>
          <w:trHeight w:val="705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9EFFF" w14:textId="5DCDCFB1" w:rsidR="27655EA8" w:rsidRDefault="27655EA8">
            <w:proofErr w:type="gramStart"/>
            <w:r w:rsidRPr="27655EA8">
              <w:rPr>
                <w:rFonts w:ascii="Calibri" w:eastAsia="Calibri" w:hAnsi="Calibri" w:cs="Calibri"/>
                <w:b/>
                <w:bCs/>
              </w:rPr>
              <w:t>Soils  (</w:t>
            </w:r>
            <w:proofErr w:type="gramEnd"/>
            <w:r w:rsidRPr="27655EA8">
              <w:rPr>
                <w:rFonts w:ascii="Calibri" w:eastAsia="Calibri" w:hAnsi="Calibri" w:cs="Calibri"/>
                <w:b/>
                <w:bCs/>
              </w:rPr>
              <w:t>Agricultural Land classification) and contamination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5A309" w14:textId="5AACC508" w:rsidR="27655EA8" w:rsidRDefault="27655EA8">
            <w:r w:rsidRPr="7B4BD680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Pr="7B4BD680">
              <w:rPr>
                <w:rFonts w:ascii="Calibri" w:eastAsia="Calibri" w:hAnsi="Calibri" w:cs="Calibri"/>
              </w:rPr>
              <w:t xml:space="preserve">3B Moderate limitations. </w:t>
            </w:r>
          </w:p>
        </w:tc>
      </w:tr>
      <w:tr w:rsidR="27655EA8" w14:paraId="62BDEF9F" w14:textId="77777777" w:rsidTr="7B4BD680"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26C94" w14:textId="45F1B1BB" w:rsidR="27655EA8" w:rsidRDefault="27655EA8">
            <w:r w:rsidRPr="27655EA8">
              <w:rPr>
                <w:rFonts w:ascii="Calibri" w:eastAsia="Calibri" w:hAnsi="Calibri" w:cs="Calibri"/>
                <w:b/>
                <w:bCs/>
              </w:rPr>
              <w:t xml:space="preserve">Local Plan 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72C22" w14:textId="72B0E8FE" w:rsidR="00A72EB5" w:rsidRPr="00793500" w:rsidRDefault="00064B25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Potential housing site </w:t>
            </w:r>
            <w:r w:rsidRPr="00793500">
              <w:rPr>
                <w:rFonts w:eastAsia="Calibri" w:cstheme="minorHAnsi"/>
                <w:color w:val="000000" w:themeColor="text1"/>
              </w:rPr>
              <w:t>TNPH48</w:t>
            </w:r>
            <w:r w:rsidR="00793500" w:rsidRPr="00793500">
              <w:rPr>
                <w:rFonts w:eastAsia="Calibri" w:cstheme="minorHAnsi"/>
                <w:color w:val="000000" w:themeColor="text1"/>
              </w:rPr>
              <w:t xml:space="preserve"> (</w:t>
            </w:r>
            <w:r w:rsidR="00793500" w:rsidRPr="00793500">
              <w:rPr>
                <w:rFonts w:cstheme="minorHAnsi"/>
              </w:rPr>
              <w:t xml:space="preserve">Site identified in Table 26 of the Local Plan as a possible </w:t>
            </w:r>
            <w:proofErr w:type="spellStart"/>
            <w:r w:rsidR="00793500" w:rsidRPr="00793500">
              <w:rPr>
                <w:rFonts w:cstheme="minorHAnsi"/>
              </w:rPr>
              <w:t>neighbourhood</w:t>
            </w:r>
            <w:proofErr w:type="spellEnd"/>
            <w:r w:rsidR="00793500" w:rsidRPr="00793500">
              <w:rPr>
                <w:rFonts w:cstheme="minorHAnsi"/>
              </w:rPr>
              <w:t xml:space="preserve"> plan housing site, but not allocated in the Torquay </w:t>
            </w:r>
            <w:proofErr w:type="spellStart"/>
            <w:r w:rsidR="00793500" w:rsidRPr="00793500">
              <w:rPr>
                <w:rFonts w:cstheme="minorHAnsi"/>
              </w:rPr>
              <w:t>Neighbourhood</w:t>
            </w:r>
            <w:proofErr w:type="spellEnd"/>
            <w:r w:rsidR="00793500" w:rsidRPr="00793500">
              <w:rPr>
                <w:rFonts w:cstheme="minorHAnsi"/>
              </w:rPr>
              <w:t xml:space="preserve"> Plan</w:t>
            </w:r>
            <w:r w:rsidR="00793500" w:rsidRPr="00793500">
              <w:rPr>
                <w:rFonts w:cstheme="minorHAnsi"/>
              </w:rPr>
              <w:t>)</w:t>
            </w:r>
          </w:p>
          <w:p w14:paraId="71062188" w14:textId="221014B5" w:rsidR="27655EA8" w:rsidRDefault="27655EA8">
            <w:r w:rsidRPr="27655EA8">
              <w:rPr>
                <w:rFonts w:ascii="Calibri" w:eastAsia="Calibri" w:hAnsi="Calibri" w:cs="Calibri"/>
                <w:color w:val="000000" w:themeColor="text1"/>
              </w:rPr>
              <w:t>Policy NC1 Biodiversity and geodiversity</w:t>
            </w:r>
          </w:p>
          <w:p w14:paraId="6C2AB3B7" w14:textId="40CEDF56" w:rsidR="27655EA8" w:rsidRDefault="27655EA8">
            <w:r w:rsidRPr="27655EA8">
              <w:rPr>
                <w:rFonts w:ascii="Calibri" w:eastAsia="Calibri" w:hAnsi="Calibri" w:cs="Calibri"/>
                <w:color w:val="000000" w:themeColor="text1"/>
              </w:rPr>
              <w:t>Policy C1 Countryside and the rural economy</w:t>
            </w:r>
          </w:p>
          <w:p w14:paraId="5EF17168" w14:textId="1015FF92" w:rsidR="27655EA8" w:rsidRDefault="27655EA8">
            <w:r w:rsidRPr="27655EA8">
              <w:rPr>
                <w:rFonts w:ascii="Calibri" w:eastAsia="Calibri" w:hAnsi="Calibri" w:cs="Calibri"/>
                <w:color w:val="000000" w:themeColor="text1"/>
              </w:rPr>
              <w:t>SS8 Natural environment</w:t>
            </w:r>
          </w:p>
        </w:tc>
      </w:tr>
      <w:tr w:rsidR="27655EA8" w14:paraId="17D3CAB4" w14:textId="77777777" w:rsidTr="7B4BD680"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5EF3F" w14:textId="2F1470F5" w:rsidR="27655EA8" w:rsidRDefault="27655EA8">
            <w:proofErr w:type="spellStart"/>
            <w:r w:rsidRPr="27655EA8">
              <w:rPr>
                <w:rFonts w:ascii="Calibri" w:eastAsia="Calibri" w:hAnsi="Calibri" w:cs="Calibri"/>
                <w:b/>
                <w:bCs/>
              </w:rPr>
              <w:t>Neighbourhood</w:t>
            </w:r>
            <w:proofErr w:type="spellEnd"/>
            <w:r w:rsidRPr="27655EA8">
              <w:rPr>
                <w:rFonts w:ascii="Calibri" w:eastAsia="Calibri" w:hAnsi="Calibri" w:cs="Calibri"/>
                <w:b/>
                <w:bCs/>
              </w:rPr>
              <w:t xml:space="preserve"> Plan 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736F4" w14:textId="4E369FA7" w:rsidR="27655EA8" w:rsidRDefault="27655EA8">
            <w:r w:rsidRPr="27655EA8">
              <w:rPr>
                <w:rFonts w:ascii="Calibri" w:eastAsia="Calibri" w:hAnsi="Calibri" w:cs="Calibri"/>
                <w:color w:val="000000" w:themeColor="text1"/>
              </w:rPr>
              <w:t>Policy TS4 Support for brownfield and greenfield development</w:t>
            </w:r>
          </w:p>
          <w:p w14:paraId="2047A75C" w14:textId="17B90828" w:rsidR="27655EA8" w:rsidRDefault="27655EA8">
            <w:r w:rsidRPr="27655EA8">
              <w:rPr>
                <w:rFonts w:ascii="Calibri" w:eastAsia="Calibri" w:hAnsi="Calibri" w:cs="Calibri"/>
                <w:color w:val="000000" w:themeColor="text1"/>
              </w:rPr>
              <w:t>Policy TH4 Affordable homes from greenfield developments</w:t>
            </w:r>
          </w:p>
          <w:p w14:paraId="25BF9E43" w14:textId="4E1A191D" w:rsidR="27655EA8" w:rsidRDefault="27655EA8">
            <w:r w:rsidRPr="27655EA8">
              <w:rPr>
                <w:rFonts w:ascii="Calibri" w:eastAsia="Calibri" w:hAnsi="Calibri" w:cs="Calibri"/>
                <w:color w:val="000000" w:themeColor="text1"/>
              </w:rPr>
              <w:t>Policy TH11 Rural village conservation areas (</w:t>
            </w:r>
            <w:proofErr w:type="spellStart"/>
            <w:r w:rsidRPr="27655EA8">
              <w:rPr>
                <w:rFonts w:ascii="Calibri" w:eastAsia="Calibri" w:hAnsi="Calibri" w:cs="Calibri"/>
                <w:color w:val="000000" w:themeColor="text1"/>
              </w:rPr>
              <w:t>w.r.t.</w:t>
            </w:r>
            <w:proofErr w:type="spellEnd"/>
            <w:r w:rsidRPr="27655EA8">
              <w:rPr>
                <w:rFonts w:ascii="Calibri" w:eastAsia="Calibri" w:hAnsi="Calibri" w:cs="Calibri"/>
                <w:color w:val="000000" w:themeColor="text1"/>
              </w:rPr>
              <w:t xml:space="preserve"> setting of </w:t>
            </w:r>
            <w:proofErr w:type="spellStart"/>
            <w:r w:rsidRPr="27655EA8">
              <w:rPr>
                <w:rFonts w:ascii="Calibri" w:eastAsia="Calibri" w:hAnsi="Calibri" w:cs="Calibri"/>
                <w:color w:val="000000" w:themeColor="text1"/>
              </w:rPr>
              <w:t>Cockington</w:t>
            </w:r>
            <w:proofErr w:type="spellEnd"/>
            <w:r w:rsidRPr="27655EA8">
              <w:rPr>
                <w:rFonts w:ascii="Calibri" w:eastAsia="Calibri" w:hAnsi="Calibri" w:cs="Calibri"/>
                <w:color w:val="000000" w:themeColor="text1"/>
              </w:rPr>
              <w:t xml:space="preserve"> Conservation Area) </w:t>
            </w:r>
          </w:p>
        </w:tc>
      </w:tr>
      <w:tr w:rsidR="27655EA8" w14:paraId="71E26709" w14:textId="77777777" w:rsidTr="7B4BD680"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A4452" w14:textId="24D1EB3A" w:rsidR="27655EA8" w:rsidRDefault="27655EA8">
            <w:r w:rsidRPr="27655EA8">
              <w:rPr>
                <w:rFonts w:ascii="Calibri" w:eastAsia="Calibri" w:hAnsi="Calibri" w:cs="Calibri"/>
                <w:b/>
                <w:bCs/>
              </w:rPr>
              <w:t>Development progress (where relevant)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E491A" w14:textId="2E0C4319" w:rsidR="27655EA8" w:rsidRDefault="27655EA8">
            <w:r w:rsidRPr="27655EA8">
              <w:rPr>
                <w:rFonts w:ascii="Calibri" w:eastAsia="Calibri" w:hAnsi="Calibri" w:cs="Calibri"/>
                <w:color w:val="000000" w:themeColor="text1"/>
              </w:rPr>
              <w:t>No</w:t>
            </w:r>
          </w:p>
          <w:p w14:paraId="1A81C09A" w14:textId="687413B6" w:rsidR="27655EA8" w:rsidRDefault="27655EA8">
            <w:r w:rsidRPr="27655EA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7655EA8" w14:paraId="5586E067" w14:textId="77777777" w:rsidTr="7B4BD680"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C60C0" w14:textId="0B8E01C4" w:rsidR="27655EA8" w:rsidRDefault="27655EA8">
            <w:r w:rsidRPr="27655EA8">
              <w:rPr>
                <w:rFonts w:ascii="Calibri" w:eastAsia="Calibri" w:hAnsi="Calibri" w:cs="Calibri"/>
                <w:b/>
                <w:bCs/>
              </w:rPr>
              <w:t>Other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2B4F9" w14:textId="29289798" w:rsidR="27655EA8" w:rsidRDefault="27655EA8">
            <w:r w:rsidRPr="27655EA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7655EA8" w14:paraId="0A36FD5D" w14:textId="77777777" w:rsidTr="7B4BD680"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A17F7" w14:textId="617D4F19" w:rsidR="27655EA8" w:rsidRDefault="27655EA8">
            <w:r w:rsidRPr="27655EA8">
              <w:rPr>
                <w:rFonts w:ascii="Calibri" w:eastAsia="Calibri" w:hAnsi="Calibri" w:cs="Calibri"/>
                <w:b/>
                <w:bCs/>
              </w:rPr>
              <w:t xml:space="preserve">HELAA Panel Summary 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AB3C5" w14:textId="4E17873C" w:rsidR="27655EA8" w:rsidRDefault="7AAB9770" w:rsidP="0C269A5F">
            <w:pPr>
              <w:rPr>
                <w:rFonts w:ascii="Calibri" w:eastAsia="Calibri" w:hAnsi="Calibri" w:cs="Calibri"/>
              </w:rPr>
            </w:pPr>
            <w:r w:rsidRPr="0C269A5F">
              <w:rPr>
                <w:rFonts w:ascii="Calibri" w:eastAsia="Calibri" w:hAnsi="Calibri" w:cs="Calibri"/>
              </w:rPr>
              <w:t>Strong support for this site from developers on the panel, although it was noted that there may be a ransom strip which would be a challenge with respect to deliverability.</w:t>
            </w:r>
          </w:p>
        </w:tc>
      </w:tr>
      <w:tr w:rsidR="27655EA8" w14:paraId="374F23D2" w14:textId="77777777" w:rsidTr="7B4BD680"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3FB63" w14:textId="16481F66" w:rsidR="27655EA8" w:rsidRDefault="27655EA8">
            <w:r w:rsidRPr="27655EA8">
              <w:rPr>
                <w:rFonts w:ascii="Calibri" w:eastAsia="Calibri" w:hAnsi="Calibri" w:cs="Calibri"/>
                <w:b/>
                <w:bCs/>
              </w:rPr>
              <w:t>Site potential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30530" w14:textId="70C535E3" w:rsidR="27655EA8" w:rsidRDefault="27655EA8">
            <w:r w:rsidRPr="7B4BD680">
              <w:rPr>
                <w:rFonts w:ascii="Calibri" w:eastAsia="Calibri" w:hAnsi="Calibri" w:cs="Calibri"/>
              </w:rPr>
              <w:t xml:space="preserve"> 50</w:t>
            </w:r>
          </w:p>
        </w:tc>
      </w:tr>
    </w:tbl>
    <w:p w14:paraId="6F62EBBE" w14:textId="5B60DA11" w:rsidR="00127A7A" w:rsidRDefault="35CBC65F">
      <w:r w:rsidRPr="27655EA8">
        <w:rPr>
          <w:rFonts w:ascii="Arial" w:eastAsia="Arial" w:hAnsi="Arial" w:cs="Aria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09"/>
        <w:gridCol w:w="7371"/>
      </w:tblGrid>
      <w:tr w:rsidR="27655EA8" w14:paraId="766F28F5" w14:textId="77777777" w:rsidTr="00383568">
        <w:tc>
          <w:tcPr>
            <w:tcW w:w="10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91948" w14:textId="5413AA74" w:rsidR="27655EA8" w:rsidRDefault="27655EA8">
            <w:r w:rsidRPr="27655EA8">
              <w:rPr>
                <w:rFonts w:ascii="Calibri" w:eastAsia="Calibri" w:hAnsi="Calibri" w:cs="Calibri"/>
              </w:rPr>
              <w:t xml:space="preserve"> </w:t>
            </w:r>
          </w:p>
          <w:p w14:paraId="00EF0036" w14:textId="0BD3CF47" w:rsidR="27655EA8" w:rsidRDefault="27655EA8">
            <w:r w:rsidRPr="27655EA8">
              <w:rPr>
                <w:rFonts w:ascii="Calibri" w:eastAsia="Calibri" w:hAnsi="Calibri" w:cs="Calibri"/>
                <w:b/>
                <w:bCs/>
              </w:rPr>
              <w:t xml:space="preserve">AVAILABILITY ASSESSMENT </w:t>
            </w:r>
          </w:p>
          <w:p w14:paraId="05E51C12" w14:textId="66CEBCE6" w:rsidR="27655EA8" w:rsidRDefault="27655EA8">
            <w:r w:rsidRPr="27655EA8">
              <w:rPr>
                <w:rFonts w:ascii="Calibri" w:eastAsia="Calibri" w:hAnsi="Calibri" w:cs="Calibri"/>
              </w:rPr>
              <w:t>Reasonable prospect of delivery (timescale):</w:t>
            </w:r>
          </w:p>
          <w:p w14:paraId="446032C6" w14:textId="1B42D514" w:rsidR="27655EA8" w:rsidRDefault="27655EA8">
            <w:r w:rsidRPr="27655EA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7655EA8" w14:paraId="23ADF15C" w14:textId="77777777" w:rsidTr="00383568"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12275" w14:textId="4FE2C99D" w:rsidR="27655EA8" w:rsidRDefault="27655EA8">
            <w:r w:rsidRPr="27655EA8">
              <w:rPr>
                <w:rFonts w:ascii="Calibri" w:eastAsia="Calibri" w:hAnsi="Calibri" w:cs="Calibri"/>
              </w:rPr>
              <w:t>The next 5 years</w:t>
            </w:r>
          </w:p>
        </w:tc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E041A1" w14:textId="61EC2841" w:rsidR="27655EA8" w:rsidRDefault="27655EA8">
            <w:r w:rsidRPr="27655EA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7655EA8" w14:paraId="45597706" w14:textId="77777777" w:rsidTr="00383568"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4464C" w14:textId="091B08A0" w:rsidR="27655EA8" w:rsidRDefault="27655EA8">
            <w:r w:rsidRPr="27655EA8">
              <w:rPr>
                <w:rFonts w:ascii="Calibri" w:eastAsia="Calibri" w:hAnsi="Calibri" w:cs="Calibri"/>
              </w:rPr>
              <w:t xml:space="preserve">A </w:t>
            </w:r>
            <w:proofErr w:type="gramStart"/>
            <w:r w:rsidRPr="27655EA8">
              <w:rPr>
                <w:rFonts w:ascii="Calibri" w:eastAsia="Calibri" w:hAnsi="Calibri" w:cs="Calibri"/>
              </w:rPr>
              <w:t>6-10 year</w:t>
            </w:r>
            <w:proofErr w:type="gramEnd"/>
            <w:r w:rsidRPr="27655EA8">
              <w:rPr>
                <w:rFonts w:ascii="Calibri" w:eastAsia="Calibri" w:hAnsi="Calibri" w:cs="Calibri"/>
              </w:rPr>
              <w:t xml:space="preserve"> period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DF076" w14:textId="55CC554B" w:rsidR="27655EA8" w:rsidRDefault="27655EA8">
            <w:r w:rsidRPr="27655EA8">
              <w:rPr>
                <w:rFonts w:ascii="Calibri" w:eastAsia="Calibri" w:hAnsi="Calibri" w:cs="Calibri"/>
              </w:rPr>
              <w:t>50</w:t>
            </w:r>
          </w:p>
        </w:tc>
      </w:tr>
      <w:tr w:rsidR="27655EA8" w14:paraId="7032952D" w14:textId="77777777" w:rsidTr="00383568"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421F15" w14:textId="7379FBAA" w:rsidR="27655EA8" w:rsidRDefault="27655EA8">
            <w:r w:rsidRPr="27655EA8">
              <w:rPr>
                <w:rFonts w:ascii="Calibri" w:eastAsia="Calibri" w:hAnsi="Calibri" w:cs="Calibri"/>
              </w:rPr>
              <w:t xml:space="preserve">An </w:t>
            </w:r>
            <w:proofErr w:type="gramStart"/>
            <w:r w:rsidRPr="27655EA8">
              <w:rPr>
                <w:rFonts w:ascii="Calibri" w:eastAsia="Calibri" w:hAnsi="Calibri" w:cs="Calibri"/>
              </w:rPr>
              <w:t>11-15 year</w:t>
            </w:r>
            <w:proofErr w:type="gramEnd"/>
            <w:r w:rsidRPr="27655EA8">
              <w:rPr>
                <w:rFonts w:ascii="Calibri" w:eastAsia="Calibri" w:hAnsi="Calibri" w:cs="Calibri"/>
              </w:rPr>
              <w:t xml:space="preserve"> period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296BA" w14:textId="19746864" w:rsidR="27655EA8" w:rsidRDefault="27655EA8">
            <w:r w:rsidRPr="27655EA8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7655EA8" w14:paraId="3F53C714" w14:textId="77777777" w:rsidTr="00383568"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CF354" w14:textId="450B21CA" w:rsidR="27655EA8" w:rsidRDefault="27655EA8">
            <w:r w:rsidRPr="27655EA8">
              <w:rPr>
                <w:rFonts w:ascii="Calibri" w:eastAsia="Calibri" w:hAnsi="Calibri" w:cs="Calibri"/>
              </w:rPr>
              <w:t>Later than 15 years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88164" w14:textId="0E0D3169" w:rsidR="27655EA8" w:rsidRDefault="27655EA8">
            <w:r w:rsidRPr="27655EA8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09DC3409" w14:textId="2532090B" w:rsidR="00127A7A" w:rsidRDefault="35CBC65F">
      <w:r w:rsidRPr="27655EA8">
        <w:rPr>
          <w:rFonts w:ascii="Arial" w:eastAsia="Arial" w:hAnsi="Arial" w:cs="Arial"/>
        </w:rPr>
        <w:t xml:space="preserve"> </w:t>
      </w:r>
    </w:p>
    <w:p w14:paraId="6EDC79AC" w14:textId="397D3C45" w:rsidR="00127A7A" w:rsidRDefault="00127A7A" w:rsidP="27655EA8">
      <w:pPr>
        <w:rPr>
          <w:rFonts w:ascii="Arial" w:eastAsia="Arial" w:hAnsi="Arial" w:cs="Arial"/>
        </w:rPr>
      </w:pPr>
    </w:p>
    <w:p w14:paraId="2C078E63" w14:textId="793302CE" w:rsidR="00127A7A" w:rsidRDefault="00127A7A" w:rsidP="27655EA8"/>
    <w:sectPr w:rsidR="00127A7A" w:rsidSect="00383568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9AC3F" w14:textId="77777777" w:rsidR="00383568" w:rsidRDefault="00383568" w:rsidP="00383568">
      <w:pPr>
        <w:spacing w:after="0" w:line="240" w:lineRule="auto"/>
      </w:pPr>
      <w:r>
        <w:separator/>
      </w:r>
    </w:p>
  </w:endnote>
  <w:endnote w:type="continuationSeparator" w:id="0">
    <w:p w14:paraId="4AD3D561" w14:textId="77777777" w:rsidR="00383568" w:rsidRDefault="00383568" w:rsidP="0038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54C5" w14:textId="77777777" w:rsidR="00383568" w:rsidRDefault="00383568" w:rsidP="00383568">
    <w:pPr>
      <w:tabs>
        <w:tab w:val="center" w:pos="4513"/>
        <w:tab w:val="right" w:pos="9026"/>
      </w:tabs>
      <w:spacing w:after="0" w:line="240" w:lineRule="auto"/>
      <w:rPr>
        <w:rFonts w:cstheme="minorHAnsi"/>
        <w:sz w:val="20"/>
        <w:szCs w:val="20"/>
      </w:rPr>
    </w:pPr>
    <w:bookmarkStart w:id="0" w:name="_Hlk95213894"/>
    <w:bookmarkStart w:id="1" w:name="_Hlk94787582"/>
    <w:r>
      <w:rPr>
        <w:rFonts w:eastAsiaTheme="majorEastAsia" w:cstheme="minorHAnsi"/>
        <w:noProof/>
        <w:sz w:val="20"/>
        <w:szCs w:val="20"/>
      </w:rPr>
      <w:t xml:space="preserve">Torbay HELAA 2021: Site pro forma: N.B For assessment only. Does not reflect the planning status or view of the LPA on this site.  </w:t>
    </w:r>
  </w:p>
  <w:bookmarkEnd w:id="0"/>
  <w:p w14:paraId="5CD55B97" w14:textId="3FA71A7A" w:rsidR="00383568" w:rsidRPr="00383568" w:rsidRDefault="00383568" w:rsidP="00383568">
    <w:pPr>
      <w:tabs>
        <w:tab w:val="center" w:pos="4513"/>
        <w:tab w:val="right" w:pos="9026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rPr>
        <w:sz w:val="20"/>
        <w:szCs w:val="20"/>
      </w:rPr>
      <w:instrText xml:space="preserve"> NUMPAGES  \* Arabic  \* MERGEFORMAT </w:instrText>
    </w:r>
    <w:r>
      <w:fldChar w:fldCharType="separate"/>
    </w:r>
    <w:r>
      <w:t>2</w:t>
    </w:r>
    <w:r>
      <w:fldChar w:fldCharType="end"/>
    </w:r>
    <w:bookmarkEnd w:id="1"/>
  </w:p>
  <w:p w14:paraId="41071A20" w14:textId="77777777" w:rsidR="00383568" w:rsidRDefault="00383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1D353" w14:textId="77777777" w:rsidR="00383568" w:rsidRDefault="00383568" w:rsidP="00383568">
      <w:pPr>
        <w:spacing w:after="0" w:line="240" w:lineRule="auto"/>
      </w:pPr>
      <w:r>
        <w:separator/>
      </w:r>
    </w:p>
  </w:footnote>
  <w:footnote w:type="continuationSeparator" w:id="0">
    <w:p w14:paraId="36A69878" w14:textId="77777777" w:rsidR="00383568" w:rsidRDefault="00383568" w:rsidP="00383568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+fO80ldRVftp05" int2:id="SsdorJ9c">
      <int2:state int2:value="Rejected" int2:type="AugLoop_Text_Critique"/>
    </int2:textHash>
    <int2:textHash int2:hashCode="GcQvuAygUEEyE0" int2:id="J8NX5b1J">
      <int2:state int2:value="Rejected" int2:type="LegacyProofing"/>
    </int2:textHash>
    <int2:textHash int2:hashCode="ni8UUdXdlt6RIo" int2:id="NMMBMPYs">
      <int2:state int2:value="Rejected" int2:type="LegacyProofing"/>
    </int2:textHash>
    <int2:textHash int2:hashCode="qAzyAQnGgnZZDt" int2:id="oyZPgFk5">
      <int2:state int2:value="Rejected" int2:type="LegacyProofing"/>
    </int2:textHash>
    <int2:textHash int2:hashCode="29hjByR1pUlFfa" int2:id="2KLUrTgF">
      <int2:state int2:value="Rejected" int2:type="LegacyProofing"/>
    </int2:textHash>
    <int2:textHash int2:hashCode="4K2k78c9U72KvH" int2:id="SbPVVFlr">
      <int2:state int2:value="Rejected" int2:type="LegacyProofing"/>
    </int2:textHash>
    <int2:textHash int2:hashCode="5fdRJ9jF2LiNzo" int2:id="QDzCN9Vj">
      <int2:state int2:value="Rejected" int2:type="LegacyProofing"/>
    </int2:textHash>
    <int2:textHash int2:hashCode="VYwYGzHKXwn3kI" int2:id="FKXnR35x">
      <int2:state int2:value="Rejected" int2:type="LegacyProofing"/>
    </int2:textHash>
    <int2:textHash int2:hashCode="17ShXkmfgQoRN6" int2:id="M33N60bN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92FC12"/>
    <w:rsid w:val="00064B25"/>
    <w:rsid w:val="00127A7A"/>
    <w:rsid w:val="001F68D3"/>
    <w:rsid w:val="00383568"/>
    <w:rsid w:val="00763E11"/>
    <w:rsid w:val="00793500"/>
    <w:rsid w:val="00A72EB5"/>
    <w:rsid w:val="0C269A5F"/>
    <w:rsid w:val="221BE5FA"/>
    <w:rsid w:val="27655EA8"/>
    <w:rsid w:val="35CBC65F"/>
    <w:rsid w:val="4670CEBC"/>
    <w:rsid w:val="4744E33F"/>
    <w:rsid w:val="6092FC12"/>
    <w:rsid w:val="62FF2489"/>
    <w:rsid w:val="67F81DA7"/>
    <w:rsid w:val="7AAB9770"/>
    <w:rsid w:val="7B4BD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2FC12"/>
  <w15:chartTrackingRefBased/>
  <w15:docId w15:val="{3605C359-42D0-4739-B34B-9FC5A370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8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568"/>
  </w:style>
  <w:style w:type="paragraph" w:styleId="Footer">
    <w:name w:val="footer"/>
    <w:basedOn w:val="Normal"/>
    <w:link w:val="FooterChar"/>
    <w:uiPriority w:val="99"/>
    <w:unhideWhenUsed/>
    <w:rsid w:val="0038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6" ma:contentTypeDescription="Create a new document." ma:contentTypeScope="" ma:versionID="982636dce358ddca565b8f70628f5290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74421b57a185321728b8728afeb3db04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947020-3238-41d1-abbd-4fb74d9b09d0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B9AC60-DEE6-4093-9D29-4D7E18302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BA5B4B-82F2-458D-86D0-DBFDD71948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8E36C-0C6F-4FA8-BE16-E64E1E991108}">
  <ds:schemaRefs>
    <ds:schemaRef ds:uri="216be0e3-fb59-44d6-9a08-5c3bad261b2e"/>
    <ds:schemaRef ds:uri="21e08795-e594-43a2-9ea7-16e3644ae68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754</Words>
  <Characters>4302</Characters>
  <Application>Microsoft Office Word</Application>
  <DocSecurity>0</DocSecurity>
  <Lines>35</Lines>
  <Paragraphs>10</Paragraphs>
  <ScaleCrop>false</ScaleCrop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Craig</dc:creator>
  <cp:keywords/>
  <dc:description/>
  <cp:lastModifiedBy>Kunaszkiewicz, Zdzislawa</cp:lastModifiedBy>
  <cp:revision>6</cp:revision>
  <dcterms:created xsi:type="dcterms:W3CDTF">2022-02-18T17:13:00Z</dcterms:created>
  <dcterms:modified xsi:type="dcterms:W3CDTF">2023-04-18T15:14:00Z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MediaServiceImageTags">
    <vt:lpwstr/>
  </property>
</Properties>
</file>