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261175A0" w14:paraId="3A31225F" w14:textId="77777777" w:rsidTr="261175A0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A5192" w14:textId="6904F72C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CB2FD2">
              <w:rPr>
                <w:rFonts w:eastAsia="Times New Roman" w:cstheme="minorHAnsi"/>
                <w:b/>
                <w:bCs/>
                <w:lang w:val="en-GB" w:eastAsia="en-GB"/>
              </w:rPr>
              <w:t>: Yellow site – minor constraints</w:t>
            </w:r>
            <w:r w:rsidR="00CB2FD2"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261175A0" w14:paraId="1CC02FCC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42BA0" w14:textId="035C8109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E9F81" w14:textId="1AC1AEE9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261175A0" w14:paraId="55315FE7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12598" w14:textId="77569CC9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7BC75" w14:textId="7FE6D357" w:rsidR="261175A0" w:rsidRDefault="261175A0">
            <w:r w:rsidRPr="261175A0">
              <w:rPr>
                <w:rFonts w:ascii="Calibri" w:eastAsia="Calibri" w:hAnsi="Calibri" w:cs="Calibri"/>
              </w:rPr>
              <w:t>Fleet Walk Shopping Centre</w:t>
            </w:r>
          </w:p>
        </w:tc>
      </w:tr>
      <w:tr w:rsidR="261175A0" w14:paraId="719EF670" w14:textId="77777777" w:rsidTr="261175A0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E7688" w14:textId="17E2BB44" w:rsidR="6465B683" w:rsidRDefault="6465B683" w:rsidP="261175A0">
            <w:r>
              <w:rPr>
                <w:noProof/>
              </w:rPr>
              <w:drawing>
                <wp:inline distT="0" distB="0" distL="0" distR="0" wp14:anchorId="50B1ADED" wp14:editId="4E1D43D9">
                  <wp:extent cx="4572000" cy="3819525"/>
                  <wp:effectExtent l="0" t="0" r="0" b="0"/>
                  <wp:docPr id="1162025307" name="Picture 1162025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61175A0" w14:paraId="6F4EF197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75E51" w14:textId="48D447E1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CF38" w14:textId="02EE5890" w:rsidR="261175A0" w:rsidRDefault="261175A0">
            <w:r w:rsidRPr="261175A0">
              <w:rPr>
                <w:rFonts w:ascii="Calibri" w:eastAsia="Calibri" w:hAnsi="Calibri" w:cs="Calibri"/>
              </w:rPr>
              <w:t>21T047</w:t>
            </w:r>
          </w:p>
          <w:p w14:paraId="4FDA3D31" w14:textId="1002BB8D" w:rsidR="261175A0" w:rsidRDefault="261175A0">
            <w:r w:rsidRPr="261175A0">
              <w:rPr>
                <w:rFonts w:ascii="Calibri" w:eastAsia="Calibri" w:hAnsi="Calibri" w:cs="Calibri"/>
              </w:rPr>
              <w:t>Map Site Label: TNPH43</w:t>
            </w:r>
          </w:p>
          <w:p w14:paraId="75FBEAD1" w14:textId="3EF2173F" w:rsidR="261175A0" w:rsidRDefault="261175A0">
            <w:proofErr w:type="spellStart"/>
            <w:r w:rsidRPr="261175A0">
              <w:rPr>
                <w:rFonts w:ascii="Calibri" w:eastAsia="Calibri" w:hAnsi="Calibri" w:cs="Calibri"/>
              </w:rPr>
              <w:t>Neighbourhood</w:t>
            </w:r>
            <w:proofErr w:type="spellEnd"/>
            <w:r w:rsidRPr="261175A0">
              <w:rPr>
                <w:rFonts w:ascii="Calibri" w:eastAsia="Calibri" w:hAnsi="Calibri" w:cs="Calibri"/>
              </w:rPr>
              <w:t xml:space="preserve"> Plan Reference: TNPH39</w:t>
            </w:r>
          </w:p>
          <w:p w14:paraId="1CE14B60" w14:textId="43CB6321" w:rsidR="261175A0" w:rsidRDefault="261175A0">
            <w:r w:rsidRPr="261175A0">
              <w:rPr>
                <w:rFonts w:ascii="Calibri" w:eastAsia="Calibri" w:hAnsi="Calibri" w:cs="Calibri"/>
              </w:rPr>
              <w:t>SHLAA/Housing Land Monitor Reference: T766</w:t>
            </w:r>
          </w:p>
        </w:tc>
      </w:tr>
      <w:tr w:rsidR="261175A0" w14:paraId="2995DB6F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2EB9A" w14:textId="42CF7192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6DF51" w14:textId="7CEC8138" w:rsidR="261175A0" w:rsidRDefault="261175A0">
            <w:r w:rsidRPr="261175A0">
              <w:rPr>
                <w:rFonts w:ascii="Calibri" w:eastAsia="Calibri" w:hAnsi="Calibri" w:cs="Calibri"/>
              </w:rPr>
              <w:t>25</w:t>
            </w:r>
          </w:p>
        </w:tc>
      </w:tr>
      <w:tr w:rsidR="261175A0" w14:paraId="32C5ECE8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2A284" w14:textId="62A192FE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BBF7D" w14:textId="36A81975" w:rsidR="261175A0" w:rsidRDefault="261175A0">
            <w:r w:rsidRPr="261175A0">
              <w:rPr>
                <w:rFonts w:ascii="Calibri" w:eastAsia="Calibri" w:hAnsi="Calibri" w:cs="Calibri"/>
              </w:rPr>
              <w:t xml:space="preserve">The site is allocated in the Torquay </w:t>
            </w:r>
            <w:proofErr w:type="spellStart"/>
            <w:r w:rsidRPr="261175A0">
              <w:rPr>
                <w:rFonts w:ascii="Calibri" w:eastAsia="Calibri" w:hAnsi="Calibri" w:cs="Calibri"/>
              </w:rPr>
              <w:t>Neighbourhood</w:t>
            </w:r>
            <w:proofErr w:type="spellEnd"/>
            <w:r w:rsidRPr="261175A0">
              <w:rPr>
                <w:rFonts w:ascii="Calibri" w:eastAsia="Calibri" w:hAnsi="Calibri" w:cs="Calibri"/>
              </w:rPr>
              <w:t xml:space="preserve"> Plan for 25 units. The site is in a highly sustainable town </w:t>
            </w:r>
            <w:proofErr w:type="spellStart"/>
            <w:r w:rsidRPr="261175A0">
              <w:rPr>
                <w:rFonts w:ascii="Calibri" w:eastAsia="Calibri" w:hAnsi="Calibri" w:cs="Calibri"/>
              </w:rPr>
              <w:t>centre</w:t>
            </w:r>
            <w:proofErr w:type="spellEnd"/>
            <w:r w:rsidRPr="261175A0">
              <w:rPr>
                <w:rFonts w:ascii="Calibri" w:eastAsia="Calibri" w:hAnsi="Calibri" w:cs="Calibri"/>
              </w:rPr>
              <w:t xml:space="preserve"> location and is suitable for residential development subject to the retention of a retail frontage (as the front elevation forms part of the Secondary Shopping Frontage) and subject to a design that conserves/enhances the character of the Torquay </w:t>
            </w:r>
            <w:proofErr w:type="spellStart"/>
            <w:r w:rsidRPr="261175A0">
              <w:rPr>
                <w:rFonts w:ascii="Calibri" w:eastAsia="Calibri" w:hAnsi="Calibri" w:cs="Calibri"/>
              </w:rPr>
              <w:t>Harbour</w:t>
            </w:r>
            <w:proofErr w:type="spellEnd"/>
            <w:r w:rsidRPr="261175A0">
              <w:rPr>
                <w:rFonts w:ascii="Calibri" w:eastAsia="Calibri" w:hAnsi="Calibri" w:cs="Calibri"/>
              </w:rPr>
              <w:t xml:space="preserve"> Conservation Area. While the residential units would be likely to be on the upper floors, the site is exposed to flood risks which need to be addressed.</w:t>
            </w:r>
          </w:p>
        </w:tc>
      </w:tr>
      <w:tr w:rsidR="261175A0" w14:paraId="41F479B5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E0D5A" w14:textId="5FB8D992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8749E" w14:textId="1E0F0DBA" w:rsidR="261175A0" w:rsidRDefault="261175A0">
            <w:r w:rsidRPr="261175A0">
              <w:rPr>
                <w:rFonts w:ascii="Calibri" w:eastAsia="Calibri" w:hAnsi="Calibri" w:cs="Calibri"/>
              </w:rPr>
              <w:t xml:space="preserve">Subject to confirmation from the Torbay Development Agency, this Council-owned site is likely to be available. </w:t>
            </w:r>
          </w:p>
        </w:tc>
      </w:tr>
      <w:tr w:rsidR="261175A0" w14:paraId="49AEF075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907C8" w14:textId="7F045055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CBAE" w14:textId="1AAF245D" w:rsidR="261175A0" w:rsidRDefault="261175A0">
            <w:r w:rsidRPr="261175A0">
              <w:rPr>
                <w:rFonts w:ascii="Calibri" w:eastAsia="Calibri" w:hAnsi="Calibri" w:cs="Calibri"/>
              </w:rPr>
              <w:t>Yes.</w:t>
            </w:r>
          </w:p>
        </w:tc>
      </w:tr>
      <w:tr w:rsidR="261175A0" w14:paraId="00127311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D957" w14:textId="44539201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C4F8" w14:textId="6109FE2B" w:rsidR="261175A0" w:rsidRDefault="261175A0">
            <w:r w:rsidRPr="261175A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61175A0" w14:paraId="7DDC0568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F32E" w14:textId="6DB5F633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F8FCB" w14:textId="27E3AABB" w:rsidR="261175A0" w:rsidRDefault="261175A0">
            <w:r w:rsidRPr="261175A0">
              <w:rPr>
                <w:rFonts w:ascii="Calibri" w:eastAsia="Calibri" w:hAnsi="Calibri" w:cs="Calibri"/>
              </w:rPr>
              <w:t>Retail</w:t>
            </w:r>
          </w:p>
        </w:tc>
      </w:tr>
      <w:tr w:rsidR="261175A0" w14:paraId="75457411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B0A44" w14:textId="357241B2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737B" w14:textId="68C5AFD3" w:rsidR="261175A0" w:rsidRDefault="261175A0">
            <w:r w:rsidRPr="261175A0">
              <w:rPr>
                <w:rFonts w:ascii="Calibri" w:eastAsia="Calibri" w:hAnsi="Calibri" w:cs="Calibri"/>
              </w:rPr>
              <w:t>The site comprises a multi-</w:t>
            </w:r>
            <w:proofErr w:type="spellStart"/>
            <w:r w:rsidRPr="261175A0">
              <w:rPr>
                <w:rFonts w:ascii="Calibri" w:eastAsia="Calibri" w:hAnsi="Calibri" w:cs="Calibri"/>
              </w:rPr>
              <w:t>storey</w:t>
            </w:r>
            <w:proofErr w:type="spellEnd"/>
            <w:r w:rsidRPr="261175A0">
              <w:rPr>
                <w:rFonts w:ascii="Calibri" w:eastAsia="Calibri" w:hAnsi="Calibri" w:cs="Calibri"/>
              </w:rPr>
              <w:t xml:space="preserve"> shopping </w:t>
            </w:r>
            <w:proofErr w:type="spellStart"/>
            <w:r w:rsidRPr="261175A0">
              <w:rPr>
                <w:rFonts w:ascii="Calibri" w:eastAsia="Calibri" w:hAnsi="Calibri" w:cs="Calibri"/>
              </w:rPr>
              <w:t>centre</w:t>
            </w:r>
            <w:proofErr w:type="spellEnd"/>
            <w:r w:rsidRPr="261175A0">
              <w:rPr>
                <w:rFonts w:ascii="Calibri" w:eastAsia="Calibri" w:hAnsi="Calibri" w:cs="Calibri"/>
              </w:rPr>
              <w:t xml:space="preserve"> with car park in a prominent position in Torquay’s Town Centre, located at the corner </w:t>
            </w:r>
            <w:r w:rsidRPr="261175A0">
              <w:rPr>
                <w:rFonts w:ascii="Calibri" w:eastAsia="Calibri" w:hAnsi="Calibri" w:cs="Calibri"/>
              </w:rPr>
              <w:lastRenderedPageBreak/>
              <w:t>of Fleet Street and Cary Parade. The site is located within the Primary Shopping Area and the front elevation forms part of the Secondary Shopping Frontage.</w:t>
            </w:r>
          </w:p>
        </w:tc>
      </w:tr>
      <w:tr w:rsidR="261175A0" w14:paraId="7B1EAFE7" w14:textId="77777777" w:rsidTr="261175A0"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BAC19" w14:textId="510ACCD5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lastRenderedPageBreak/>
              <w:t xml:space="preserve">Total site area (ha) </w:t>
            </w:r>
          </w:p>
        </w:tc>
        <w:tc>
          <w:tcPr>
            <w:tcW w:w="6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5F6E1" w14:textId="47F661AB" w:rsidR="261175A0" w:rsidRDefault="261175A0">
            <w:r w:rsidRPr="261175A0">
              <w:rPr>
                <w:rFonts w:ascii="Calibri" w:eastAsia="Calibri" w:hAnsi="Calibri" w:cs="Calibri"/>
              </w:rPr>
              <w:t>Approximately 0.05ha.</w:t>
            </w:r>
          </w:p>
        </w:tc>
      </w:tr>
    </w:tbl>
    <w:p w14:paraId="03E7A23B" w14:textId="109BA0BF" w:rsidR="00FD3B22" w:rsidRDefault="1379A83D">
      <w:r w:rsidRPr="261175A0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261175A0" w14:paraId="3DD2FCDC" w14:textId="77777777" w:rsidTr="261175A0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ECD01" w14:textId="26AE9323" w:rsidR="261175A0" w:rsidRDefault="261175A0">
            <w:r w:rsidRPr="261175A0">
              <w:rPr>
                <w:rFonts w:ascii="Calibri" w:eastAsia="Calibri" w:hAnsi="Calibri" w:cs="Calibri"/>
              </w:rPr>
              <w:t xml:space="preserve"> </w:t>
            </w:r>
          </w:p>
          <w:p w14:paraId="194E315B" w14:textId="43FC8CE7" w:rsidR="261175A0" w:rsidRDefault="261175A0">
            <w:r w:rsidRPr="261175A0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1D303161" w14:textId="24529235" w:rsidR="261175A0" w:rsidRDefault="261175A0">
            <w:r w:rsidRPr="261175A0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5D666E76" w14:textId="2B20A6D3" w:rsidR="261175A0" w:rsidRDefault="261175A0">
            <w:r w:rsidRPr="261175A0">
              <w:rPr>
                <w:rFonts w:ascii="Calibri" w:eastAsia="Calibri" w:hAnsi="Calibri" w:cs="Calibri"/>
              </w:rPr>
              <w:t xml:space="preserve"> </w:t>
            </w:r>
          </w:p>
          <w:p w14:paraId="74709937" w14:textId="420856F8" w:rsidR="261175A0" w:rsidRDefault="261175A0">
            <w:r w:rsidRPr="261175A0">
              <w:rPr>
                <w:rFonts w:ascii="Calibri" w:eastAsia="Calibri" w:hAnsi="Calibri" w:cs="Calibri"/>
              </w:rPr>
              <w:t>Confirmation of availability needed from owners. Planning permission would need to be sought given that the previous permission has lapsed.</w:t>
            </w:r>
          </w:p>
        </w:tc>
      </w:tr>
      <w:tr w:rsidR="261175A0" w14:paraId="00BDC75C" w14:textId="77777777" w:rsidTr="261175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49536" w14:textId="09AC8495" w:rsidR="261175A0" w:rsidRDefault="261175A0">
            <w:r w:rsidRPr="261175A0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0E2FE" w14:textId="357D8B5C" w:rsidR="261175A0" w:rsidRDefault="261175A0">
            <w:r w:rsidRPr="261175A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61175A0" w14:paraId="18B6F94C" w14:textId="77777777" w:rsidTr="261175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D99CF" w14:textId="49F350AC" w:rsidR="261175A0" w:rsidRDefault="261175A0">
            <w:r w:rsidRPr="261175A0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261175A0">
              <w:rPr>
                <w:rFonts w:ascii="Calibri" w:eastAsia="Calibri" w:hAnsi="Calibri" w:cs="Calibri"/>
              </w:rPr>
              <w:t>6-10 year</w:t>
            </w:r>
            <w:proofErr w:type="gramEnd"/>
            <w:r w:rsidRPr="261175A0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D892" w14:textId="73BA0FF0" w:rsidR="261175A0" w:rsidRDefault="261175A0">
            <w:r w:rsidRPr="261175A0">
              <w:rPr>
                <w:rFonts w:ascii="Calibri" w:eastAsia="Calibri" w:hAnsi="Calibri" w:cs="Calibri"/>
              </w:rPr>
              <w:t>25</w:t>
            </w:r>
          </w:p>
        </w:tc>
      </w:tr>
      <w:tr w:rsidR="261175A0" w14:paraId="0C7C7829" w14:textId="77777777" w:rsidTr="261175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108FC" w14:textId="39F92389" w:rsidR="261175A0" w:rsidRDefault="261175A0">
            <w:r w:rsidRPr="261175A0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261175A0">
              <w:rPr>
                <w:rFonts w:ascii="Calibri" w:eastAsia="Calibri" w:hAnsi="Calibri" w:cs="Calibri"/>
              </w:rPr>
              <w:t>11-15 year</w:t>
            </w:r>
            <w:proofErr w:type="gramEnd"/>
            <w:r w:rsidRPr="261175A0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C02AF" w14:textId="26143261" w:rsidR="261175A0" w:rsidRDefault="261175A0">
            <w:r w:rsidRPr="261175A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61175A0" w14:paraId="444D197E" w14:textId="77777777" w:rsidTr="261175A0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C6292" w14:textId="126A23E0" w:rsidR="261175A0" w:rsidRDefault="261175A0">
            <w:r w:rsidRPr="261175A0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7C4F3" w14:textId="0ADD0A8C" w:rsidR="261175A0" w:rsidRDefault="261175A0">
            <w:r w:rsidRPr="261175A0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454EF44" w14:textId="04EB7AAE" w:rsidR="00FD3B22" w:rsidRDefault="00FD3B22" w:rsidP="261175A0">
      <w:pPr>
        <w:rPr>
          <w:rFonts w:ascii="Arial" w:eastAsia="Arial" w:hAnsi="Arial" w:cs="Arial"/>
        </w:rPr>
      </w:pPr>
    </w:p>
    <w:p w14:paraId="2C078E63" w14:textId="0429E3E1" w:rsidR="00FD3B22" w:rsidRDefault="00FD3B22" w:rsidP="261175A0"/>
    <w:sectPr w:rsidR="00FD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CEE3F"/>
    <w:rsid w:val="00CB2FD2"/>
    <w:rsid w:val="00FD3B22"/>
    <w:rsid w:val="1379A83D"/>
    <w:rsid w:val="261175A0"/>
    <w:rsid w:val="59FCEE3F"/>
    <w:rsid w:val="6465B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EE3F"/>
  <w15:chartTrackingRefBased/>
  <w15:docId w15:val="{758F2334-AD28-4020-A79A-57929E3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52F89-1878-46E4-8EA4-E1C4E33F9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15517-F9F3-44EC-8C40-C8528937B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A2C64-7A81-4A43-A0FA-E78678737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2021-09-17T09:55:00Z</dcterms:created>
  <dcterms:modified xsi:type="dcterms:W3CDTF">2021-12-21T10:27:00Z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