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6948D4C6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4362E7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5910DC8D" w:rsidR="00EA76CC" w:rsidRPr="002B13CB" w:rsidRDefault="00F82356" w:rsidP="003F777D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76E9EABB" w:rsidR="00EA76CC" w:rsidRPr="003F777D" w:rsidRDefault="00F82356" w:rsidP="00F7459D">
            <w:r>
              <w:t xml:space="preserve">Former Gasholder site, Barton Hill Road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77777777" w:rsidR="004361B3" w:rsidRPr="003F777D" w:rsidRDefault="004361B3" w:rsidP="00F7459D"/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51DDEFA7" w:rsidR="004361B3" w:rsidRPr="003F777D" w:rsidRDefault="00F82356" w:rsidP="00F7459D">
            <w:r>
              <w:t>0.54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7FB1EE0D" w:rsidR="00F743DA" w:rsidRDefault="00F82356" w:rsidP="00A228ED">
            <w:r w:rsidRPr="00F82356">
              <w:rPr>
                <w:noProof/>
                <w:lang w:eastAsia="en-GB"/>
              </w:rPr>
              <w:drawing>
                <wp:inline distT="0" distB="0" distL="0" distR="0" wp14:anchorId="3E126702" wp14:editId="4645D2B9">
                  <wp:extent cx="4762500" cy="4549775"/>
                  <wp:effectExtent l="0" t="0" r="0" b="3175"/>
                  <wp:docPr id="1" name="Picture 1" descr="C:\Users\PDPC039\Documents\T855 Barton Hill Road former gas hol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855 Barton Hill Road former gas hol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54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F82356">
        <w:trPr>
          <w:trHeight w:val="375"/>
        </w:trPr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24F83959" w14:textId="29E1C922" w:rsidR="00527889" w:rsidRDefault="00527889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21T117</w:t>
            </w:r>
          </w:p>
          <w:p w14:paraId="7177EB18" w14:textId="65E1DD6B" w:rsidR="00F7459D" w:rsidRPr="003F777D" w:rsidRDefault="00F82356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T855 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426FC233" w:rsidR="00135146" w:rsidRPr="003F777D" w:rsidRDefault="00F8235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Circa 200 sq m employment 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Default="00F13BF4" w:rsidP="004361B3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7DA74B85" w14:textId="0BF49E76" w:rsidR="00F13BF4" w:rsidRPr="003F777D" w:rsidRDefault="00F82356" w:rsidP="00F13BF4">
            <w:pPr>
              <w:rPr>
                <w:color w:val="FF0000"/>
              </w:rPr>
            </w:pPr>
            <w:r>
              <w:rPr>
                <w:noProof/>
              </w:rPr>
              <w:t>More suitable for employment use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6265C3EC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66B5E819" w:rsidR="00F13BF4" w:rsidRPr="00675E5B" w:rsidRDefault="00F24BE5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Torquay Neighbourhood Plan TPE11 Barton Hill/Barton Way commercial and employment area.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77777777" w:rsidR="004361B3" w:rsidRDefault="004361B3" w:rsidP="00F13BF4"/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73CE60B5" w:rsidR="00135146" w:rsidRPr="00EA76CC" w:rsidRDefault="00135146" w:rsidP="00135146"/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77777777" w:rsidR="004361B3" w:rsidRPr="00EA76CC" w:rsidRDefault="004361B3" w:rsidP="00135146"/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lastRenderedPageBreak/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674BBB1C" w14:textId="5479F43F" w:rsidR="0095177A" w:rsidRPr="00675E5B" w:rsidRDefault="00F82356" w:rsidP="0095177A">
            <w:r>
              <w:t xml:space="preserve">Check availability </w:t>
            </w:r>
          </w:p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lastRenderedPageBreak/>
              <w:t>The next 5 years</w:t>
            </w:r>
          </w:p>
        </w:tc>
        <w:tc>
          <w:tcPr>
            <w:tcW w:w="6753" w:type="dxa"/>
          </w:tcPr>
          <w:p w14:paraId="4076228F" w14:textId="6398E287" w:rsidR="009E65EC" w:rsidRDefault="00F743DA" w:rsidP="003A244A">
            <w:r>
              <w:t>5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D40FD9" w:rsidRPr="00D40FD9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E6B14"/>
    <w:rsid w:val="003F777D"/>
    <w:rsid w:val="00401DB5"/>
    <w:rsid w:val="00411C11"/>
    <w:rsid w:val="004361B3"/>
    <w:rsid w:val="004362E7"/>
    <w:rsid w:val="004A1A6E"/>
    <w:rsid w:val="004B39FD"/>
    <w:rsid w:val="004F0E3B"/>
    <w:rsid w:val="00510B8B"/>
    <w:rsid w:val="0051685F"/>
    <w:rsid w:val="00527889"/>
    <w:rsid w:val="00645CDA"/>
    <w:rsid w:val="00675E5B"/>
    <w:rsid w:val="00677CC6"/>
    <w:rsid w:val="006B0B13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0FD9"/>
    <w:rsid w:val="00D72B46"/>
    <w:rsid w:val="00DD1689"/>
    <w:rsid w:val="00DE680A"/>
    <w:rsid w:val="00E16782"/>
    <w:rsid w:val="00E9100C"/>
    <w:rsid w:val="00EA76CC"/>
    <w:rsid w:val="00F13BF4"/>
    <w:rsid w:val="00F14570"/>
    <w:rsid w:val="00F24BE5"/>
    <w:rsid w:val="00F54649"/>
    <w:rsid w:val="00F67B04"/>
    <w:rsid w:val="00F743DA"/>
    <w:rsid w:val="00F7459D"/>
    <w:rsid w:val="00F82356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9FFA5-A2F0-417B-A73A-8DDBC77D6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92E346-1635-45E1-AE21-40D657140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5E03D8-FB68-425A-80DF-436CFE3A5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2021-06-18T14:56:00Z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