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77777777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11F44F1C" w:rsidR="00EA76CC" w:rsidRPr="002B13CB" w:rsidRDefault="00F803F6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13D26D81" w:rsidR="00F75742" w:rsidRPr="003F777D" w:rsidRDefault="00F803F6" w:rsidP="001F510D">
            <w:r>
              <w:t xml:space="preserve">Queens Park and Rugby Club </w:t>
            </w:r>
          </w:p>
        </w:tc>
      </w:tr>
      <w:tr w:rsidR="00121165" w:rsidRPr="002B13CB" w14:paraId="69A06E6E" w14:textId="77777777" w:rsidTr="00E21AB5">
        <w:trPr>
          <w:trHeight w:val="1419"/>
        </w:trPr>
        <w:tc>
          <w:tcPr>
            <w:tcW w:w="9016" w:type="dxa"/>
            <w:gridSpan w:val="2"/>
          </w:tcPr>
          <w:p w14:paraId="23FD55D8" w14:textId="77777777" w:rsidR="00D4323C" w:rsidRDefault="004A1A6E" w:rsidP="00A228ED">
            <w:r>
              <w:t xml:space="preserve">Map (if needed) </w:t>
            </w:r>
          </w:p>
          <w:p w14:paraId="630659D2" w14:textId="6BF9DFA8" w:rsidR="00E21AB5" w:rsidRDefault="00E21AB5" w:rsidP="00A228ED">
            <w:r>
              <w:rPr>
                <w:noProof/>
              </w:rPr>
              <w:drawing>
                <wp:inline distT="0" distB="0" distL="0" distR="0" wp14:anchorId="6C062BE3" wp14:editId="5633B72E">
                  <wp:extent cx="3514725" cy="30547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016" cy="305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48D308D3" w:rsidR="00E21AB5" w:rsidRDefault="00E21AB5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06A73EAF" w14:textId="77777777" w:rsidR="00F7459D" w:rsidRDefault="00F803F6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21P089  </w:t>
            </w:r>
          </w:p>
          <w:p w14:paraId="7177EB18" w14:textId="048EAA08" w:rsidR="00F803F6" w:rsidRPr="003F777D" w:rsidRDefault="00F803F6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PNPH17 houisng location but superseded by LGS designation.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6587963B" w:rsidR="00135146" w:rsidRPr="003F777D" w:rsidRDefault="00135146" w:rsidP="00F743DA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Pr="00E21AB5" w:rsidRDefault="00F13BF4" w:rsidP="00F13BF4">
            <w:pPr>
              <w:rPr>
                <w:b/>
              </w:rPr>
            </w:pPr>
            <w:r w:rsidRPr="00E21AB5">
              <w:rPr>
                <w:b/>
              </w:rPr>
              <w:t>Suitable</w:t>
            </w:r>
            <w:r w:rsidR="00133370" w:rsidRPr="00E21AB5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1F6BCB75" w14:textId="05E23C05" w:rsidR="0016635B" w:rsidRPr="00E21AB5" w:rsidRDefault="00F803F6" w:rsidP="001F510D">
            <w:r w:rsidRPr="00E21AB5">
              <w:t xml:space="preserve">Designated Local Green Space in Paignton Neighbourhood </w:t>
            </w:r>
            <w:proofErr w:type="gramStart"/>
            <w:r w:rsidRPr="00E21AB5">
              <w:t>Plan  PLGS</w:t>
            </w:r>
            <w:proofErr w:type="gramEnd"/>
            <w:r w:rsidRPr="00E21AB5">
              <w:t xml:space="preserve">05 and PNP10.  The site is withing Flood Risk Zone 3 and as a greenfield site there are few regeneration benefits gained by its development.  </w:t>
            </w:r>
            <w:r w:rsidR="00E21AB5">
              <w:t>ULPA 5.37</w:t>
            </w:r>
          </w:p>
          <w:p w14:paraId="6AC27DFD" w14:textId="77777777" w:rsidR="00F803F6" w:rsidRDefault="00F803F6" w:rsidP="001F510D">
            <w:r w:rsidRPr="00E21AB5">
              <w:t xml:space="preserve">Loss of a sustainably located open </w:t>
            </w:r>
            <w:r w:rsidR="00E21AB5" w:rsidRPr="00E21AB5">
              <w:t>space</w:t>
            </w:r>
            <w:r w:rsidRPr="00E21AB5">
              <w:t xml:space="preserve"> and </w:t>
            </w:r>
            <w:r w:rsidR="00E21AB5" w:rsidRPr="00E21AB5">
              <w:t>sports club</w:t>
            </w:r>
            <w:r w:rsidR="00E21AB5">
              <w:t>.</w:t>
            </w:r>
          </w:p>
          <w:p w14:paraId="7DA74B85" w14:textId="426831FF" w:rsidR="00E21AB5" w:rsidRPr="00E21AB5" w:rsidRDefault="00E21AB5" w:rsidP="001F510D"/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56275CDE" w:rsidR="00F13BF4" w:rsidRPr="00675E5B" w:rsidRDefault="00F803F6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Council owned site but in use as sports club. 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0F3025A4" w:rsidR="00F13BF4" w:rsidRPr="00675E5B" w:rsidRDefault="00F803F6" w:rsidP="00F13BF4">
            <w:r>
              <w:t xml:space="preserve">Sustainable town centre location, but flooding issues and loss of sports facilities. 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2CFE27B5" w:rsidR="00135146" w:rsidRPr="00EA76CC" w:rsidRDefault="00F803F6" w:rsidP="00135146">
            <w:r>
              <w:t xml:space="preserve">Sports facility.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1D6ECC95" w14:textId="1B7A1973" w:rsidR="00135146" w:rsidRPr="00EA76CC" w:rsidRDefault="00E21AB5" w:rsidP="00135146">
            <w:r>
              <w:t xml:space="preserve">Queens Park sports ground to the South of Torbay Road, Paignton. 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53254762" w:rsidR="009E65EC" w:rsidRDefault="001C70E8" w:rsidP="00A228ED">
            <w:r>
              <w:t>Reasonable prospect of delivery (timescale):</w:t>
            </w:r>
          </w:p>
          <w:p w14:paraId="583063F3" w14:textId="537749F4" w:rsidR="00E21AB5" w:rsidRDefault="00E21AB5" w:rsidP="00A228ED"/>
          <w:p w14:paraId="225CE5F7" w14:textId="1AD0EAD1" w:rsidR="00E21AB5" w:rsidRDefault="00E21AB5" w:rsidP="00A228ED">
            <w:r>
              <w:t>The site is not suitable for development and is rightly identified as an LGS.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5BCD1410" w:rsidR="009E65EC" w:rsidRDefault="00E21AB5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lastRenderedPageBreak/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4DA0" w14:textId="77777777" w:rsidR="005642E0" w:rsidRDefault="005642E0" w:rsidP="009E65EC">
      <w:pPr>
        <w:spacing w:after="0" w:line="240" w:lineRule="auto"/>
      </w:pPr>
      <w:r>
        <w:separator/>
      </w:r>
    </w:p>
  </w:endnote>
  <w:endnote w:type="continuationSeparator" w:id="0">
    <w:p w14:paraId="091D89C7" w14:textId="77777777" w:rsidR="005642E0" w:rsidRDefault="005642E0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ED8D" w14:textId="77777777" w:rsidR="005642E0" w:rsidRDefault="005642E0" w:rsidP="009E65EC">
      <w:pPr>
        <w:spacing w:after="0" w:line="240" w:lineRule="auto"/>
      </w:pPr>
      <w:r>
        <w:separator/>
      </w:r>
    </w:p>
  </w:footnote>
  <w:footnote w:type="continuationSeparator" w:id="0">
    <w:p w14:paraId="5E256D00" w14:textId="77777777" w:rsidR="005642E0" w:rsidRDefault="005642E0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35B"/>
    <w:rsid w:val="00172F71"/>
    <w:rsid w:val="001733A8"/>
    <w:rsid w:val="001C5A09"/>
    <w:rsid w:val="001C70E8"/>
    <w:rsid w:val="001F510D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5642E0"/>
    <w:rsid w:val="00645CDA"/>
    <w:rsid w:val="00675E5B"/>
    <w:rsid w:val="00677CC6"/>
    <w:rsid w:val="0068333F"/>
    <w:rsid w:val="006E7C80"/>
    <w:rsid w:val="006F2ACC"/>
    <w:rsid w:val="00784732"/>
    <w:rsid w:val="007C624A"/>
    <w:rsid w:val="00820DB0"/>
    <w:rsid w:val="00881E28"/>
    <w:rsid w:val="008E372B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21AB5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03F6"/>
    <w:rsid w:val="00F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83CA-A177-4AF6-A4E3-94999138E73D}"/>
</file>

<file path=customXml/itemProps2.xml><?xml version="1.0" encoding="utf-8"?>
<ds:datastoreItem xmlns:ds="http://schemas.openxmlformats.org/officeDocument/2006/customXml" ds:itemID="{5863F1BE-A1D1-4AA5-B68D-100C0216C8FD}"/>
</file>

<file path=customXml/itemProps3.xml><?xml version="1.0" encoding="utf-8"?>
<ds:datastoreItem xmlns:ds="http://schemas.openxmlformats.org/officeDocument/2006/customXml" ds:itemID="{A9BE2F20-7329-43C1-A993-8E1D8DDD4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2</cp:revision>
  <dcterms:created xsi:type="dcterms:W3CDTF">2021-12-24T17:13:00Z</dcterms:created>
  <dcterms:modified xsi:type="dcterms:W3CDTF">2021-12-24T17:13:00Z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