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607C22F4" w:rsidTr="12438A0F" w14:paraId="3A54467D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48D95227" w14:textId="5796191F">
            <w:r w:rsidRPr="12438A0F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12438A0F" w:rsidR="5006288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- GREEN</w:t>
            </w:r>
          </w:p>
        </w:tc>
      </w:tr>
      <w:tr w:rsidR="607C22F4" w:rsidTr="12438A0F" w14:paraId="62AD5059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721151FE" w14:textId="45ACAEDE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1C30A4A6" w14:textId="6A230DC2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Brixham</w:t>
            </w:r>
          </w:p>
        </w:tc>
      </w:tr>
      <w:tr w:rsidR="607C22F4" w:rsidTr="12438A0F" w14:paraId="6FEBCC6E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576171D0" w14:textId="5383664A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089322A" w:rsidP="607C22F4" w:rsidRDefault="1089322A" w14:paraId="1372E2C2" w14:textId="79210D8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07C22F4" w:rsidR="1089322A">
              <w:rPr>
                <w:rFonts w:ascii="Calibri" w:hAnsi="Calibri" w:eastAsia="Calibri" w:cs="Calibri"/>
                <w:sz w:val="22"/>
                <w:szCs w:val="22"/>
              </w:rPr>
              <w:t>Bishops Court, Lower Warberry Road</w:t>
            </w:r>
          </w:p>
        </w:tc>
      </w:tr>
      <w:tr w:rsidR="607C22F4" w:rsidTr="12438A0F" w14:paraId="57C467B5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26958AD6" w14:textId="01C32C06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HELAA Reference no.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489EFAB9" w14:textId="56725A23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21</w:t>
            </w:r>
            <w:r w:rsidRPr="607C22F4" w:rsidR="060AA2B3">
              <w:rPr>
                <w:rFonts w:ascii="Calibri" w:hAnsi="Calibri" w:eastAsia="Calibri" w:cs="Calibri"/>
                <w:sz w:val="22"/>
                <w:szCs w:val="22"/>
              </w:rPr>
              <w:t>T133</w:t>
            </w:r>
          </w:p>
        </w:tc>
      </w:tr>
      <w:tr w:rsidR="607C22F4" w:rsidTr="12438A0F" w14:paraId="045F6679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699ABC4D" w14:textId="5B6001B0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B4A2D6" w:rsidP="607C22F4" w:rsidRDefault="60B4A2D6" w14:paraId="37380EF0" w14:textId="2841018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07C22F4" w:rsidR="60B4A2D6"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</w:tr>
      <w:tr w:rsidR="607C22F4" w:rsidTr="12438A0F" w14:paraId="55BC680C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390BB0E" w:rsidRDefault="0390BB0E" w14:paraId="7440C641" w14:textId="550D52A3">
            <w:r w:rsidR="0390BB0E">
              <w:drawing>
                <wp:inline wp14:editId="0F929C47" wp14:anchorId="5A42013E">
                  <wp:extent cx="3829050" cy="4572000"/>
                  <wp:effectExtent l="0" t="0" r="0" b="0"/>
                  <wp:docPr id="108335628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548e22c5a7462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07C22F4" w:rsidTr="12438A0F" w14:paraId="45017E2A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39FCACDC" w14:textId="702D4657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25641311" w14:textId="20D9E8BA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The site has planning permission for</w:t>
            </w:r>
            <w:r w:rsidRPr="607C22F4" w:rsidR="1B1CED22">
              <w:rPr>
                <w:rFonts w:ascii="Calibri" w:hAnsi="Calibri" w:eastAsia="Calibri" w:cs="Calibri"/>
                <w:sz w:val="22"/>
                <w:szCs w:val="22"/>
              </w:rPr>
              <w:t xml:space="preserve"> redevelopment resulting in a net increase of 6 dwellings – see P/2019/1274 which was approved on 9 March 2021.</w:t>
            </w:r>
          </w:p>
        </w:tc>
      </w:tr>
      <w:tr w:rsidR="607C22F4" w:rsidTr="12438A0F" w14:paraId="55F7F38A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343D1513" w14:textId="2B75A4CC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P="607C22F4" w:rsidRDefault="607C22F4" w14:paraId="373BF89D" w14:textId="1FA6CE6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 xml:space="preserve">Yes, the site remains available. </w:t>
            </w:r>
            <w:r w:rsidRPr="607C22F4" w:rsidR="33D7EEF5">
              <w:rPr>
                <w:rFonts w:ascii="Calibri" w:hAnsi="Calibri" w:eastAsia="Calibri" w:cs="Calibri"/>
                <w:sz w:val="22"/>
                <w:szCs w:val="22"/>
              </w:rPr>
              <w:t>A d</w:t>
            </w:r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ischarge of conditions application</w:t>
            </w:r>
            <w:r w:rsidRPr="607C22F4" w:rsidR="5E5DF736">
              <w:rPr>
                <w:rFonts w:ascii="Calibri" w:hAnsi="Calibri" w:eastAsia="Calibri" w:cs="Calibri"/>
                <w:sz w:val="22"/>
                <w:szCs w:val="22"/>
              </w:rPr>
              <w:t xml:space="preserve"> was</w:t>
            </w:r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 xml:space="preserve"> submitted in August 2021. </w:t>
            </w:r>
          </w:p>
        </w:tc>
      </w:tr>
      <w:tr w:rsidR="607C22F4" w:rsidTr="12438A0F" w14:paraId="4F855DBF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08DB1440" w14:textId="7BD345AB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17FCA0AF" w14:textId="18662D51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Yes.</w:t>
            </w:r>
          </w:p>
        </w:tc>
      </w:tr>
      <w:tr w:rsidR="607C22F4" w:rsidTr="12438A0F" w14:paraId="5F075A8B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2508B4DC" w14:textId="50E9187A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33C10629" w14:textId="7B599491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07C22F4" w:rsidTr="12438A0F" w14:paraId="23DD7D67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0BA2488E" w14:textId="5242372F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P="607C22F4" w:rsidRDefault="607C22F4" w14:paraId="0195DE58" w14:textId="02D8F4BC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07C22F4" w:rsidTr="12438A0F" w14:paraId="1399FFDF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11DE3381" w14:textId="2B037DAA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749E02C" w:rsidP="607C22F4" w:rsidRDefault="0749E02C" w14:paraId="43BBC4F5" w14:textId="46F5ED9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07C22F4" w:rsidR="0749E02C">
              <w:rPr>
                <w:rFonts w:ascii="Calibri" w:hAnsi="Calibri" w:eastAsia="Calibri" w:cs="Calibri"/>
                <w:sz w:val="22"/>
                <w:szCs w:val="22"/>
              </w:rPr>
              <w:t xml:space="preserve">The site comprises a complex of buildings associated with a Grade II Listed Victorian Villa and its </w:t>
            </w:r>
            <w:r w:rsidRPr="607C22F4" w:rsidR="1F496A3C">
              <w:rPr>
                <w:rFonts w:ascii="Calibri" w:hAnsi="Calibri" w:eastAsia="Calibri" w:cs="Calibri"/>
                <w:sz w:val="22"/>
                <w:szCs w:val="22"/>
              </w:rPr>
              <w:t xml:space="preserve">large </w:t>
            </w:r>
            <w:r w:rsidRPr="607C22F4" w:rsidR="0749E02C">
              <w:rPr>
                <w:rFonts w:ascii="Calibri" w:hAnsi="Calibri" w:eastAsia="Calibri" w:cs="Calibri"/>
                <w:sz w:val="22"/>
                <w:szCs w:val="22"/>
              </w:rPr>
              <w:t>curtilage</w:t>
            </w:r>
            <w:r w:rsidRPr="607C22F4" w:rsidR="26DDCD42">
              <w:rPr>
                <w:rFonts w:ascii="Calibri" w:hAnsi="Calibri" w:eastAsia="Calibri" w:cs="Calibri"/>
                <w:sz w:val="22"/>
                <w:szCs w:val="22"/>
              </w:rPr>
              <w:t xml:space="preserve"> area</w:t>
            </w:r>
            <w:r w:rsidRPr="607C22F4" w:rsidR="0749E02C">
              <w:rPr>
                <w:rFonts w:ascii="Calibri" w:hAnsi="Calibri" w:eastAsia="Calibri" w:cs="Calibri"/>
                <w:sz w:val="22"/>
                <w:szCs w:val="22"/>
              </w:rPr>
              <w:t xml:space="preserve">, set between Lower </w:t>
            </w:r>
            <w:proofErr w:type="spellStart"/>
            <w:r w:rsidRPr="607C22F4" w:rsidR="0749E02C">
              <w:rPr>
                <w:rFonts w:ascii="Calibri" w:hAnsi="Calibri" w:eastAsia="Calibri" w:cs="Calibri"/>
                <w:sz w:val="22"/>
                <w:szCs w:val="22"/>
              </w:rPr>
              <w:t>Warberry</w:t>
            </w:r>
            <w:proofErr w:type="spellEnd"/>
            <w:r w:rsidRPr="607C22F4" w:rsidR="0749E02C">
              <w:rPr>
                <w:rFonts w:ascii="Calibri" w:hAnsi="Calibri" w:eastAsia="Calibri" w:cs="Calibri"/>
                <w:sz w:val="22"/>
                <w:szCs w:val="22"/>
              </w:rPr>
              <w:t xml:space="preserve"> Road (which forms the southern</w:t>
            </w:r>
            <w:r w:rsidRPr="607C22F4" w:rsidR="670B1B6E">
              <w:rPr>
                <w:rFonts w:ascii="Calibri" w:hAnsi="Calibri" w:eastAsia="Calibri" w:cs="Calibri"/>
                <w:sz w:val="22"/>
                <w:szCs w:val="22"/>
              </w:rPr>
              <w:t xml:space="preserve"> site boundary) and Middle </w:t>
            </w:r>
            <w:proofErr w:type="spellStart"/>
            <w:r w:rsidRPr="607C22F4" w:rsidR="670B1B6E">
              <w:rPr>
                <w:rFonts w:ascii="Calibri" w:hAnsi="Calibri" w:eastAsia="Calibri" w:cs="Calibri"/>
                <w:sz w:val="22"/>
                <w:szCs w:val="22"/>
              </w:rPr>
              <w:t>Warberry</w:t>
            </w:r>
            <w:proofErr w:type="spellEnd"/>
            <w:r w:rsidRPr="607C22F4" w:rsidR="670B1B6E">
              <w:rPr>
                <w:rFonts w:ascii="Calibri" w:hAnsi="Calibri" w:eastAsia="Calibri" w:cs="Calibri"/>
                <w:sz w:val="22"/>
                <w:szCs w:val="22"/>
              </w:rPr>
              <w:t xml:space="preserve"> Road</w:t>
            </w:r>
            <w:r w:rsidRPr="607C22F4" w:rsidR="72DF1039">
              <w:rPr>
                <w:rFonts w:ascii="Calibri" w:hAnsi="Calibri" w:eastAsia="Calibri" w:cs="Calibri"/>
                <w:sz w:val="22"/>
                <w:szCs w:val="22"/>
              </w:rPr>
              <w:t xml:space="preserve"> (which forms the northern site boundary, located within the </w:t>
            </w:r>
            <w:proofErr w:type="spellStart"/>
            <w:r w:rsidRPr="607C22F4" w:rsidR="72DF1039">
              <w:rPr>
                <w:rFonts w:ascii="Calibri" w:hAnsi="Calibri" w:eastAsia="Calibri" w:cs="Calibri"/>
                <w:sz w:val="22"/>
                <w:szCs w:val="22"/>
              </w:rPr>
              <w:t>Warberries</w:t>
            </w:r>
            <w:proofErr w:type="spellEnd"/>
            <w:r w:rsidRPr="607C22F4" w:rsidR="72DF1039">
              <w:rPr>
                <w:rFonts w:ascii="Calibri" w:hAnsi="Calibri" w:eastAsia="Calibri" w:cs="Calibri"/>
                <w:sz w:val="22"/>
                <w:szCs w:val="22"/>
              </w:rPr>
              <w:t xml:space="preserve"> Conservation Area.</w:t>
            </w:r>
            <w:r w:rsidRPr="607C22F4" w:rsidR="1045E1CB">
              <w:rPr>
                <w:rFonts w:ascii="Calibri" w:hAnsi="Calibri" w:eastAsia="Calibri" w:cs="Calibri"/>
                <w:sz w:val="22"/>
                <w:szCs w:val="22"/>
              </w:rPr>
              <w:t xml:space="preserve"> The buildings are set towards the rear of the site, with ample landscaped grounds including </w:t>
            </w:r>
            <w:proofErr w:type="gramStart"/>
            <w:r w:rsidRPr="607C22F4" w:rsidR="1045E1CB">
              <w:rPr>
                <w:rFonts w:ascii="Calibri" w:hAnsi="Calibri" w:eastAsia="Calibri" w:cs="Calibri"/>
                <w:sz w:val="22"/>
                <w:szCs w:val="22"/>
              </w:rPr>
              <w:t>a number of</w:t>
            </w:r>
            <w:proofErr w:type="gramEnd"/>
            <w:r w:rsidRPr="607C22F4" w:rsidR="1045E1CB">
              <w:rPr>
                <w:rFonts w:ascii="Calibri" w:hAnsi="Calibri" w:eastAsia="Calibri" w:cs="Calibri"/>
                <w:sz w:val="22"/>
                <w:szCs w:val="22"/>
              </w:rPr>
              <w:t xml:space="preserve"> matu</w:t>
            </w:r>
            <w:r w:rsidRPr="607C22F4" w:rsidR="6F985463">
              <w:rPr>
                <w:rFonts w:ascii="Calibri" w:hAnsi="Calibri" w:eastAsia="Calibri" w:cs="Calibri"/>
                <w:sz w:val="22"/>
                <w:szCs w:val="22"/>
              </w:rPr>
              <w:t>re trees on the southern part of the site. The plot slopes downhill from the north to the south.</w:t>
            </w:r>
          </w:p>
        </w:tc>
      </w:tr>
      <w:tr w:rsidR="607C22F4" w:rsidTr="12438A0F" w14:paraId="79083692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6124AB19" w14:textId="6084F3F3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39331530" w14:textId="226654F1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 xml:space="preserve">Approximately </w:t>
            </w:r>
            <w:r w:rsidRPr="607C22F4" w:rsidR="7AE01B23">
              <w:rPr>
                <w:rFonts w:ascii="Calibri" w:hAnsi="Calibri" w:eastAsia="Calibri" w:cs="Calibri"/>
                <w:sz w:val="22"/>
                <w:szCs w:val="22"/>
              </w:rPr>
              <w:t>0.9</w:t>
            </w:r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ha.</w:t>
            </w:r>
          </w:p>
        </w:tc>
      </w:tr>
    </w:tbl>
    <w:p xmlns:wp14="http://schemas.microsoft.com/office/word/2010/wordml" w14:paraId="16D4CF4B" wp14:textId="1D04C4AE">
      <w:r w:rsidRPr="607C22F4" w:rsidR="1CFA62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607C22F4" w:rsidTr="12438A0F" w14:paraId="560ABE1A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2F361C43" w14:textId="1BC67F33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607C22F4" w:rsidRDefault="607C22F4" w14:paraId="7CBF666A" w14:textId="54DA35F7">
            <w:r w:rsidRPr="607C22F4" w:rsidR="607C22F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607C22F4" w:rsidRDefault="607C22F4" w14:paraId="5B49C654" w14:textId="110972AA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607C22F4" w:rsidRDefault="607C22F4" w14:paraId="11407F27" w14:textId="5D60A6E1">
            <w:r w:rsidRPr="12438A0F" w:rsidR="607C22F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07C22F4" w:rsidTr="12438A0F" w14:paraId="020E3792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717D0114" w14:textId="390643BB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84F07A1" w:rsidP="607C22F4" w:rsidRDefault="484F07A1" w14:paraId="1A2F8349" w14:textId="103C8B5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07C22F4" w:rsidR="484F07A1"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</w:tr>
      <w:tr w:rsidR="607C22F4" w:rsidTr="12438A0F" w14:paraId="15440E83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33B6B467" w14:textId="0DEA2218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P="607C22F4" w:rsidRDefault="607C22F4" w14:paraId="7A2FD5BB" w14:textId="3E5455AC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07C22F4" w:rsidTr="12438A0F" w14:paraId="619E9AED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2FE401BA" w14:textId="79F72BD1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63B9BF0F" w14:textId="68CD6D66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07C22F4" w:rsidTr="12438A0F" w14:paraId="3F6B5E97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66ECC099" w14:textId="17892E36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07C22F4" w:rsidRDefault="607C22F4" w14:paraId="5EA228B0" w14:textId="1E3798D8">
            <w:r w:rsidRPr="607C22F4" w:rsidR="607C22F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607C22F4" w14:paraId="7107B628" wp14:textId="35847D65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607C22F4" w14:paraId="2C078E63" wp14:textId="24CED44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8887E"/>
    <w:rsid w:val="0146B188"/>
    <w:rsid w:val="0390BB0E"/>
    <w:rsid w:val="060AA2B3"/>
    <w:rsid w:val="0749E02C"/>
    <w:rsid w:val="084C0FD1"/>
    <w:rsid w:val="084C0FD1"/>
    <w:rsid w:val="09E0257D"/>
    <w:rsid w:val="0D17C63F"/>
    <w:rsid w:val="1045E1CB"/>
    <w:rsid w:val="1089322A"/>
    <w:rsid w:val="1156CD43"/>
    <w:rsid w:val="12438A0F"/>
    <w:rsid w:val="1B1CED22"/>
    <w:rsid w:val="1CFA626C"/>
    <w:rsid w:val="1F496A3C"/>
    <w:rsid w:val="1FA45500"/>
    <w:rsid w:val="1FB7F84F"/>
    <w:rsid w:val="1FB7F84F"/>
    <w:rsid w:val="21402561"/>
    <w:rsid w:val="21402561"/>
    <w:rsid w:val="26DDCD42"/>
    <w:rsid w:val="27AF66E5"/>
    <w:rsid w:val="27AF66E5"/>
    <w:rsid w:val="2B9EBD50"/>
    <w:rsid w:val="330C48A0"/>
    <w:rsid w:val="33D7EEF5"/>
    <w:rsid w:val="37D532EA"/>
    <w:rsid w:val="39694896"/>
    <w:rsid w:val="44EA3E2E"/>
    <w:rsid w:val="467A25F5"/>
    <w:rsid w:val="484F07A1"/>
    <w:rsid w:val="493E0CD9"/>
    <w:rsid w:val="5006288C"/>
    <w:rsid w:val="507412D3"/>
    <w:rsid w:val="5B68887E"/>
    <w:rsid w:val="5E5DF736"/>
    <w:rsid w:val="607C22F4"/>
    <w:rsid w:val="60B4A2D6"/>
    <w:rsid w:val="670B1B6E"/>
    <w:rsid w:val="6F985463"/>
    <w:rsid w:val="72DF1039"/>
    <w:rsid w:val="7AE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35C6"/>
  <w15:chartTrackingRefBased/>
  <w15:docId w15:val="{EC408482-3EAB-49C9-913C-120884937C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5548e22c5a746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64259-D2CD-462A-BD69-E7C5786D456C}"/>
</file>

<file path=customXml/itemProps2.xml><?xml version="1.0" encoding="utf-8"?>
<ds:datastoreItem xmlns:ds="http://schemas.openxmlformats.org/officeDocument/2006/customXml" ds:itemID="{0557AA5E-EA8B-4B3A-97A1-0605DC63C2C7}"/>
</file>

<file path=customXml/itemProps3.xml><?xml version="1.0" encoding="utf-8"?>
<ds:datastoreItem xmlns:ds="http://schemas.openxmlformats.org/officeDocument/2006/customXml" ds:itemID="{962B3966-FF73-40DA-8756-227161D99A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dcterms:created xsi:type="dcterms:W3CDTF">2021-09-16T21:23:48.0000000Z</dcterms:created>
  <dcterms:modified xsi:type="dcterms:W3CDTF">2021-11-23T19:14:24.0246210Z</dcterms:modified>
  <lastModifiedBy>Davies, Craig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