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7035"/>
      </w:tblGrid>
      <w:tr w:rsidR="00EE5E14" w:rsidTr="3645D222" w14:paraId="43C749CD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22DAED1E" w14:textId="0E58B397">
            <w:pPr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OVERVIEW</w:t>
            </w:r>
            <w:r w:rsidRPr="3645D222" w:rsidR="6EA51C25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- GREEN</w:t>
            </w:r>
          </w:p>
        </w:tc>
      </w:tr>
      <w:tr w:rsidR="00EE5E14" w:rsidTr="3645D222" w14:paraId="36D2203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4F671643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Town  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40CDEB8C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Torquay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EE5E14" w:rsidTr="3645D222" w14:paraId="47B3A160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362ACD53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Name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DD2644" w14:paraId="6BEAF8A8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</w:rPr>
            </w:pPr>
            <w:r w:rsidRPr="3645D222" w:rsidR="00DD2644">
              <w:rPr>
                <w:rFonts w:ascii="Calibri" w:hAnsi="Calibri" w:eastAsia="Calibri" w:cs="Calibri"/>
                <w:color w:val="auto"/>
              </w:rPr>
              <w:t xml:space="preserve">213 St </w:t>
            </w:r>
            <w:proofErr w:type="spellStart"/>
            <w:r w:rsidRPr="3645D222" w:rsidR="00DD2644">
              <w:rPr>
                <w:rFonts w:ascii="Calibri" w:hAnsi="Calibri" w:eastAsia="Calibri" w:cs="Calibri"/>
                <w:color w:val="auto"/>
              </w:rPr>
              <w:t>Marychurch</w:t>
            </w:r>
            <w:proofErr w:type="spellEnd"/>
            <w:r w:rsidRPr="3645D222" w:rsidR="00DD2644">
              <w:rPr>
                <w:rFonts w:ascii="Calibri" w:hAnsi="Calibri" w:eastAsia="Calibri" w:cs="Calibri"/>
                <w:color w:val="auto"/>
              </w:rPr>
              <w:t xml:space="preserve"> Road</w:t>
            </w:r>
          </w:p>
          <w:p w:rsidR="000C16DF" w:rsidP="3645D222" w:rsidRDefault="000C16DF" w14:paraId="6684C772" w14:textId="77777777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="000C16DF">
              <w:drawing>
                <wp:inline wp14:editId="08587F6A" wp14:anchorId="55003561">
                  <wp:extent cx="3481773" cy="2616819"/>
                  <wp:effectExtent l="0" t="0" r="4445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405c8296471648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481773" cy="261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6DF" w:rsidP="3645D222" w:rsidRDefault="000C16DF" w14:paraId="683937A4" w14:textId="761877B3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</w:p>
          <w:p w:rsidR="000C16DF" w:rsidP="3645D222" w:rsidRDefault="00686F1C" w14:paraId="23B5082A" w14:textId="4C4A75F4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="00686F1C">
              <w:drawing>
                <wp:inline wp14:editId="7304BF71" wp14:anchorId="5F9BDD64">
                  <wp:extent cx="4330065" cy="2857500"/>
                  <wp:effectExtent l="0" t="0" r="0" b="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216037c582aa4e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433006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DD2644" w:rsidR="000C16DF" w:rsidP="3645D222" w:rsidRDefault="000C16DF" w14:paraId="2313BFD9" w14:textId="0EE45262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</w:p>
        </w:tc>
      </w:tr>
      <w:tr w:rsidR="00EE5E14" w:rsidTr="3645D222" w14:paraId="4F475C91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142CCE5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HELAA Reference no.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0ABB520C" w14:textId="78263A22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>21T00</w:t>
            </w:r>
            <w:r w:rsidRPr="3645D222" w:rsidR="00DD2644">
              <w:rPr>
                <w:rFonts w:ascii="Calibri" w:hAnsi="Calibri" w:eastAsia="Calibri" w:cs="Calibri"/>
                <w:color w:val="auto"/>
              </w:rPr>
              <w:t>0</w:t>
            </w:r>
          </w:p>
        </w:tc>
      </w:tr>
      <w:tr w:rsidR="00EE5E14" w:rsidTr="3645D222" w14:paraId="30292F8C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7FB70814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Approx. yield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DD2644" w14:paraId="2BBDEC91" w14:textId="73EFC202">
            <w:pPr>
              <w:rPr>
                <w:rFonts w:ascii="Calibri" w:hAnsi="Calibri" w:eastAsia="Calibri" w:cs="Calibri"/>
                <w:color w:val="auto"/>
              </w:rPr>
            </w:pPr>
            <w:r w:rsidRPr="3645D222" w:rsidR="00DD2644">
              <w:rPr>
                <w:rFonts w:ascii="Calibri" w:hAnsi="Calibri" w:eastAsia="Calibri" w:cs="Calibri"/>
                <w:color w:val="auto"/>
              </w:rPr>
              <w:t>17</w:t>
            </w:r>
          </w:p>
        </w:tc>
      </w:tr>
      <w:tr w:rsidR="00EE5E14" w:rsidTr="3645D222" w14:paraId="442C389F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3711E287" w14:textId="1224DE38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EE5E14" w:rsidTr="3645D222" w14:paraId="18B17074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6F8514F5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Suitable: How the principle of development is established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AA36B2" w:rsidP="3645D222" w:rsidRDefault="00536E09" w14:paraId="61F94EDB" w14:textId="6DD7D42A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3645D222" w:rsidR="00536E09">
              <w:rPr>
                <w:rFonts w:ascii="Calibri" w:hAnsi="Calibri" w:eastAsia="Calibri" w:cs="Calibri"/>
                <w:color w:val="auto"/>
                <w:sz w:val="24"/>
                <w:szCs w:val="24"/>
              </w:rPr>
              <w:t>P/2018/</w:t>
            </w:r>
            <w:r w:rsidRPr="3645D222" w:rsidR="00AA36B2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0962 – approved </w:t>
            </w:r>
            <w:r w:rsidRPr="3645D222" w:rsidR="00562702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- </w:t>
            </w:r>
            <w:r w:rsidRPr="3645D222" w:rsidR="00562702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Demolition of existing building to form 17 apartments &amp; parking</w:t>
            </w:r>
          </w:p>
          <w:p w:rsidR="00AA36B2" w:rsidP="3645D222" w:rsidRDefault="00AA36B2" w14:paraId="72B0D1F6" w14:textId="1A07612C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3645D222" w:rsidR="00AA36B2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Discharge of condition approved September 2021 </w:t>
            </w:r>
          </w:p>
          <w:p w:rsidR="00EE5E14" w:rsidP="3645D222" w:rsidRDefault="00EE5E14" w14:paraId="5F81FC1B" w14:textId="0F5C1721">
            <w:pPr>
              <w:rPr>
                <w:rFonts w:ascii="Calibri" w:hAnsi="Calibri" w:eastAsia="Calibri" w:cs="Calibri"/>
                <w:color w:val="auto"/>
                <w:sz w:val="24"/>
                <w:szCs w:val="24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CIL Liability Notice issued on </w:t>
            </w:r>
            <w:r w:rsidRPr="3645D222" w:rsidR="00AB05D6">
              <w:rPr>
                <w:rFonts w:ascii="Calibri" w:hAnsi="Calibri" w:eastAsia="Calibri" w:cs="Calibri"/>
                <w:color w:val="auto"/>
              </w:rPr>
              <w:t>13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September 2021.</w:t>
            </w:r>
            <w:r w:rsidRPr="3645D222" w:rsidR="00EE5E14">
              <w:rPr>
                <w:rFonts w:ascii="Calibri" w:hAnsi="Calibri" w:eastAsia="Calibri" w:cs="Calibri"/>
                <w:color w:val="auto"/>
                <w:sz w:val="24"/>
                <w:szCs w:val="24"/>
              </w:rPr>
              <w:t xml:space="preserve"> </w:t>
            </w:r>
          </w:p>
        </w:tc>
      </w:tr>
      <w:tr w:rsidR="00EE5E14" w:rsidTr="3645D222" w14:paraId="317B2099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6A33C10B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Available: Any change in circumstances since principle established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E81B7F5" w14:textId="125CC981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>Yes.</w:t>
            </w:r>
          </w:p>
        </w:tc>
      </w:tr>
      <w:tr w:rsidR="00EE5E14" w:rsidTr="3645D222" w14:paraId="636FFEFC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B9E6B51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Achievable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6787E52E" w14:textId="1A5C4692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>Yes.</w:t>
            </w:r>
          </w:p>
        </w:tc>
      </w:tr>
      <w:tr w:rsidR="00EE5E14" w:rsidTr="3645D222" w14:paraId="6F229B1F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A95EB41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Customer Reference no.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446EF10F" w14:textId="77777777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EE5E14" w:rsidTr="3645D222" w14:paraId="2F5A7CB5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1DA5E9D4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Source of Site (call for sites, Local Plan allocation etc.). 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710D72" w14:paraId="01081D58" w14:textId="49340459">
            <w:pPr>
              <w:rPr>
                <w:rFonts w:ascii="Calibri" w:hAnsi="Calibri" w:eastAsia="Calibri" w:cs="Calibri"/>
                <w:color w:val="auto"/>
              </w:rPr>
            </w:pPr>
            <w:r w:rsidRPr="3645D222" w:rsidR="00710D72">
              <w:rPr>
                <w:rFonts w:ascii="Calibri" w:hAnsi="Calibri" w:eastAsia="Calibri" w:cs="Calibri"/>
                <w:color w:val="auto"/>
              </w:rPr>
              <w:t>UC sites</w:t>
            </w:r>
          </w:p>
        </w:tc>
      </w:tr>
      <w:tr w:rsidR="00EE5E14" w:rsidTr="3645D222" w14:paraId="6F09A1EF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3D6EE706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Current use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710D72" w14:paraId="62A1AA28" w14:textId="2A5BF81D">
            <w:pPr>
              <w:rPr>
                <w:rFonts w:ascii="Calibri" w:hAnsi="Calibri" w:eastAsia="Calibri" w:cs="Calibri"/>
                <w:color w:val="auto"/>
              </w:rPr>
            </w:pPr>
            <w:r w:rsidRPr="3645D222" w:rsidR="2315466F">
              <w:rPr>
                <w:rFonts w:ascii="Calibri" w:hAnsi="Calibri" w:eastAsia="Calibri" w:cs="Calibri"/>
                <w:color w:val="auto"/>
              </w:rPr>
              <w:t>Former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care home</w:t>
            </w:r>
            <w:r w:rsidRPr="3645D222" w:rsidR="30A4F268">
              <w:rPr>
                <w:rFonts w:ascii="Calibri" w:hAnsi="Calibri" w:eastAsia="Calibri" w:cs="Calibri"/>
                <w:color w:val="auto"/>
              </w:rPr>
              <w:t xml:space="preserve"> currently being redeveloped for residential.</w:t>
            </w:r>
          </w:p>
        </w:tc>
      </w:tr>
      <w:tr w:rsidR="00EE5E14" w:rsidTr="3645D222" w14:paraId="1362F16B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F96531F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description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710D72" w14:paraId="7F62FBCD" w14:textId="7F6EE27A">
            <w:pPr>
              <w:rPr>
                <w:rFonts w:ascii="Calibri" w:hAnsi="Calibri" w:eastAsia="Calibri" w:cs="Calibri"/>
                <w:color w:val="auto"/>
              </w:rPr>
            </w:pP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The site, 213 St. </w:t>
            </w:r>
            <w:proofErr w:type="spellStart"/>
            <w:r w:rsidRPr="3645D222" w:rsidR="00710D72">
              <w:rPr>
                <w:rFonts w:ascii="Calibri" w:hAnsi="Calibri" w:eastAsia="Calibri" w:cs="Calibri"/>
                <w:color w:val="auto"/>
              </w:rPr>
              <w:t>Marychurch</w:t>
            </w:r>
            <w:proofErr w:type="spellEnd"/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Road, Torquay, </w:t>
            </w:r>
            <w:r w:rsidRPr="3645D222" w:rsidR="38DB9CA6">
              <w:rPr>
                <w:rFonts w:ascii="Calibri" w:hAnsi="Calibri" w:eastAsia="Calibri" w:cs="Calibri"/>
                <w:color w:val="auto"/>
              </w:rPr>
              <w:t xml:space="preserve">previously comprised </w:t>
            </w:r>
            <w:r w:rsidRPr="3645D222" w:rsidR="4A1B3120">
              <w:rPr>
                <w:rFonts w:ascii="Calibri" w:hAnsi="Calibri" w:eastAsia="Calibri" w:cs="Calibri"/>
                <w:color w:val="auto"/>
              </w:rPr>
              <w:t xml:space="preserve">of </w:t>
            </w:r>
            <w:r w:rsidRPr="3645D222" w:rsidR="38DB9CA6">
              <w:rPr>
                <w:rFonts w:ascii="Calibri" w:hAnsi="Calibri" w:eastAsia="Calibri" w:cs="Calibri"/>
                <w:color w:val="auto"/>
              </w:rPr>
              <w:t>a Victoria</w:t>
            </w:r>
            <w:r w:rsidRPr="3645D222" w:rsidR="576C8EA1">
              <w:rPr>
                <w:rFonts w:ascii="Calibri" w:hAnsi="Calibri" w:eastAsia="Calibri" w:cs="Calibri"/>
                <w:color w:val="auto"/>
              </w:rPr>
              <w:t>n</w:t>
            </w:r>
            <w:r w:rsidRPr="3645D222" w:rsidR="38DB9CA6">
              <w:rPr>
                <w:rFonts w:ascii="Calibri" w:hAnsi="Calibri" w:eastAsia="Calibri" w:cs="Calibri"/>
                <w:color w:val="auto"/>
              </w:rPr>
              <w:t xml:space="preserve"> villa that was</w:t>
            </w:r>
            <w:r w:rsidRPr="3645D222" w:rsidR="4D610AC3">
              <w:rPr>
                <w:rFonts w:ascii="Calibri" w:hAnsi="Calibri" w:eastAsia="Calibri" w:cs="Calibri"/>
                <w:color w:val="auto"/>
              </w:rPr>
              <w:t xml:space="preserve"> in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>use as a care home</w:t>
            </w:r>
            <w:r w:rsidRPr="3645D222" w:rsidR="43B49ABC">
              <w:rPr>
                <w:rFonts w:ascii="Calibri" w:hAnsi="Calibri" w:eastAsia="Calibri" w:cs="Calibri"/>
                <w:color w:val="auto"/>
              </w:rPr>
              <w:t xml:space="preserve">. The care home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shut down in 2017 and </w:t>
            </w:r>
            <w:r w:rsidRPr="3645D222" w:rsidR="2C70B1A5">
              <w:rPr>
                <w:rFonts w:ascii="Calibri" w:hAnsi="Calibri" w:eastAsia="Calibri" w:cs="Calibri"/>
                <w:color w:val="auto"/>
              </w:rPr>
              <w:t xml:space="preserve">the site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is currently </w:t>
            </w:r>
            <w:r w:rsidRPr="3645D222" w:rsidR="1FDADEB0">
              <w:rPr>
                <w:rFonts w:ascii="Calibri" w:hAnsi="Calibri" w:eastAsia="Calibri" w:cs="Calibri"/>
                <w:color w:val="auto"/>
              </w:rPr>
              <w:t xml:space="preserve">being redeveloped </w:t>
            </w:r>
            <w:r w:rsidRPr="3645D222" w:rsidR="2C2527A2">
              <w:rPr>
                <w:rFonts w:ascii="Calibri" w:hAnsi="Calibri" w:eastAsia="Calibri" w:cs="Calibri"/>
                <w:color w:val="auto"/>
              </w:rPr>
              <w:t xml:space="preserve">for residential use, with a contemporary </w:t>
            </w:r>
            <w:r w:rsidRPr="3645D222" w:rsidR="69B8536F">
              <w:rPr>
                <w:rFonts w:ascii="Calibri" w:hAnsi="Calibri" w:eastAsia="Calibri" w:cs="Calibri"/>
                <w:color w:val="auto"/>
              </w:rPr>
              <w:t>four</w:t>
            </w:r>
            <w:r w:rsidRPr="3645D222" w:rsidR="2C2527A2">
              <w:rPr>
                <w:rFonts w:ascii="Calibri" w:hAnsi="Calibri" w:eastAsia="Calibri" w:cs="Calibri"/>
                <w:color w:val="auto"/>
              </w:rPr>
              <w:t>-</w:t>
            </w:r>
            <w:proofErr w:type="spellStart"/>
            <w:r w:rsidRPr="3645D222" w:rsidR="2C2527A2">
              <w:rPr>
                <w:rFonts w:ascii="Calibri" w:hAnsi="Calibri" w:eastAsia="Calibri" w:cs="Calibri"/>
                <w:color w:val="auto"/>
              </w:rPr>
              <w:t>storey</w:t>
            </w:r>
            <w:proofErr w:type="spellEnd"/>
            <w:r w:rsidRPr="3645D222" w:rsidR="2C2527A2">
              <w:rPr>
                <w:rFonts w:ascii="Calibri" w:hAnsi="Calibri" w:eastAsia="Calibri" w:cs="Calibri"/>
                <w:color w:val="auto"/>
              </w:rPr>
              <w:t xml:space="preserve"> building being built on site</w:t>
            </w:r>
            <w:r w:rsidRPr="3645D222" w:rsidR="0F26ACB6">
              <w:rPr>
                <w:rFonts w:ascii="Calibri" w:hAnsi="Calibri" w:eastAsia="Calibri" w:cs="Calibri"/>
                <w:color w:val="auto"/>
              </w:rPr>
              <w:t xml:space="preserve"> (pursuant to the approval of P/2018/0962)</w:t>
            </w:r>
            <w:r w:rsidRPr="3645D222" w:rsidR="2C2527A2">
              <w:rPr>
                <w:rFonts w:ascii="Calibri" w:hAnsi="Calibri" w:eastAsia="Calibri" w:cs="Calibri"/>
                <w:color w:val="auto"/>
              </w:rPr>
              <w:t xml:space="preserve">.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>The site</w:t>
            </w:r>
            <w:r w:rsidRPr="3645D222" w:rsidR="08C01652">
              <w:rPr>
                <w:rFonts w:ascii="Calibri" w:hAnsi="Calibri" w:eastAsia="Calibri" w:cs="Calibri"/>
                <w:color w:val="auto"/>
              </w:rPr>
              <w:t xml:space="preserve">, located within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the St. </w:t>
            </w:r>
            <w:proofErr w:type="spellStart"/>
            <w:r w:rsidRPr="3645D222" w:rsidR="00710D72">
              <w:rPr>
                <w:rFonts w:ascii="Calibri" w:hAnsi="Calibri" w:eastAsia="Calibri" w:cs="Calibri"/>
                <w:color w:val="auto"/>
              </w:rPr>
              <w:t>Marychurch</w:t>
            </w:r>
            <w:proofErr w:type="spellEnd"/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Conservation Area,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is approximately 0.2ha in area and is screened to its east, south and west elevations by trees.</w:t>
            </w:r>
            <w:r w:rsidRPr="3645D222" w:rsidR="076E2D93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The site lies just outside of the St. </w:t>
            </w:r>
            <w:proofErr w:type="spellStart"/>
            <w:r w:rsidRPr="3645D222" w:rsidR="00710D72">
              <w:rPr>
                <w:rFonts w:ascii="Calibri" w:hAnsi="Calibri" w:eastAsia="Calibri" w:cs="Calibri"/>
                <w:color w:val="auto"/>
              </w:rPr>
              <w:t>Marychurch</w:t>
            </w:r>
            <w:proofErr w:type="spellEnd"/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district </w:t>
            </w:r>
            <w:proofErr w:type="spellStart"/>
            <w:r w:rsidRPr="3645D222" w:rsidR="00710D72">
              <w:rPr>
                <w:rFonts w:ascii="Calibri" w:hAnsi="Calibri" w:eastAsia="Calibri" w:cs="Calibri"/>
                <w:color w:val="auto"/>
              </w:rPr>
              <w:t>centre</w:t>
            </w:r>
            <w:proofErr w:type="spellEnd"/>
            <w:r w:rsidRPr="3645D222" w:rsidR="00710D72">
              <w:rPr>
                <w:rFonts w:ascii="Calibri" w:hAnsi="Calibri" w:eastAsia="Calibri" w:cs="Calibri"/>
                <w:color w:val="auto"/>
              </w:rPr>
              <w:t xml:space="preserve"> and within close proximity to a bus stop.</w:t>
            </w:r>
          </w:p>
        </w:tc>
      </w:tr>
      <w:tr w:rsidR="00EE5E14" w:rsidTr="3645D222" w14:paraId="26B90E3B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55D458C8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Total site area (ha)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710D72" w14:paraId="4E5ED25D" w14:textId="70304251">
            <w:pPr>
              <w:rPr>
                <w:rFonts w:ascii="Calibri" w:hAnsi="Calibri" w:eastAsia="Calibri" w:cs="Calibri"/>
                <w:color w:val="auto"/>
              </w:rPr>
            </w:pPr>
            <w:r w:rsidRPr="3645D222" w:rsidR="00710D72">
              <w:rPr>
                <w:rFonts w:ascii="Calibri" w:hAnsi="Calibri" w:eastAsia="Calibri" w:cs="Calibri"/>
                <w:color w:val="auto"/>
              </w:rPr>
              <w:t>0.2ha</w:t>
            </w:r>
          </w:p>
        </w:tc>
      </w:tr>
    </w:tbl>
    <w:p w:rsidR="00EE5E14" w:rsidP="3645D222" w:rsidRDefault="00EE5E14" w14:paraId="2463BC1C" w14:textId="77777777">
      <w:pPr>
        <w:rPr>
          <w:rFonts w:ascii="Calibri" w:hAnsi="Calibri" w:eastAsia="Calibri" w:cs="Calibri"/>
          <w:color w:val="auto"/>
        </w:rPr>
      </w:pPr>
      <w:r w:rsidRPr="3645D222" w:rsidR="00EE5E14">
        <w:rPr>
          <w:rFonts w:ascii="Calibri" w:hAnsi="Calibri" w:eastAsia="Calibri" w:cs="Calibri"/>
          <w:color w:val="auto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EE5E14" w:rsidTr="3645D222" w14:paraId="660AF0F5" w14:textId="77777777">
        <w:tc>
          <w:tcPr>
            <w:tcW w:w="90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21344D6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EE5E14" w:rsidP="3645D222" w:rsidRDefault="00EE5E14" w14:paraId="6E890F2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AVAILABILITY ASSESSMENT </w:t>
            </w: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EE5E14" w:rsidP="3645D222" w:rsidRDefault="00EE5E14" w14:paraId="1B1621C2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Reasonable prospect of delivery (timescale): </w:t>
            </w:r>
          </w:p>
          <w:p w:rsidR="00EE5E14" w:rsidP="3645D222" w:rsidRDefault="00EE5E14" w14:paraId="6824C79E" w14:textId="0C7950E3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EE5E14" w:rsidTr="3645D222" w14:paraId="352271ED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4CCACACF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1AD33EF1" w14:textId="71923C6C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3645D222" w:rsidR="00710D72">
              <w:rPr>
                <w:rFonts w:ascii="Calibri" w:hAnsi="Calibri" w:eastAsia="Calibri" w:cs="Calibri"/>
                <w:color w:val="auto"/>
              </w:rPr>
              <w:t>17</w:t>
            </w:r>
          </w:p>
        </w:tc>
      </w:tr>
      <w:tr w:rsidR="00EE5E14" w:rsidTr="3645D222" w14:paraId="629FDF87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05796ACA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A </w:t>
            </w:r>
            <w:proofErr w:type="gramStart"/>
            <w:r w:rsidRPr="3645D222" w:rsidR="00EE5E14">
              <w:rPr>
                <w:rFonts w:ascii="Calibri" w:hAnsi="Calibri" w:eastAsia="Calibri" w:cs="Calibri"/>
                <w:color w:val="auto"/>
              </w:rPr>
              <w:t>6-10 year</w:t>
            </w:r>
            <w:proofErr w:type="gramEnd"/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1E028B1F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EE5E14" w:rsidTr="3645D222" w14:paraId="279FAF62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2A4F31E2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An </w:t>
            </w:r>
            <w:proofErr w:type="gramStart"/>
            <w:r w:rsidRPr="3645D222" w:rsidR="00EE5E14">
              <w:rPr>
                <w:rFonts w:ascii="Calibri" w:hAnsi="Calibri" w:eastAsia="Calibri" w:cs="Calibri"/>
                <w:color w:val="auto"/>
              </w:rPr>
              <w:t>11-15 year</w:t>
            </w:r>
            <w:proofErr w:type="gramEnd"/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3B397DE6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EE5E14" w:rsidTr="3645D222" w14:paraId="5E57B9C4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3417F96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EE5E14" w:rsidP="3645D222" w:rsidRDefault="00EE5E14" w14:paraId="16C6A940" w14:textId="77777777">
            <w:pPr>
              <w:rPr>
                <w:rFonts w:ascii="Calibri" w:hAnsi="Calibri" w:eastAsia="Calibri" w:cs="Calibri"/>
                <w:color w:val="auto"/>
              </w:rPr>
            </w:pPr>
            <w:r w:rsidRPr="3645D222" w:rsidR="00EE5E14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</w:tbl>
    <w:p w:rsidR="00EE5E14" w:rsidP="3645D222" w:rsidRDefault="00EE5E14" w14:paraId="667E72E9" w14:textId="77777777">
      <w:pPr>
        <w:rPr>
          <w:rFonts w:ascii="Calibri" w:hAnsi="Calibri" w:eastAsia="Calibri" w:cs="Calibri"/>
          <w:color w:val="auto"/>
        </w:rPr>
      </w:pPr>
    </w:p>
    <w:p w:rsidRPr="00B530D1" w:rsidR="00B377FC" w:rsidP="00B530D1" w:rsidRDefault="00B377FC" w14:paraId="6D7164B4" w14:textId="77777777"/>
    <w:sectPr w:rsidRPr="00B530D1" w:rsidR="00B377FC" w:rsidSect="000244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E14" w:rsidP="008952DF" w:rsidRDefault="00EE5E14" w14:paraId="37781F54" w14:textId="77777777">
      <w:r>
        <w:separator/>
      </w:r>
    </w:p>
  </w:endnote>
  <w:endnote w:type="continuationSeparator" w:id="0">
    <w:p w:rsidR="00EE5E14" w:rsidP="008952DF" w:rsidRDefault="00EE5E14" w14:paraId="14BE97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5BAC117B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color="00A74A" w:themeColor="accent3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456"/>
    </w:tblGrid>
    <w:tr w:rsidR="0002446C" w:rsidTr="0002446C" w14:paraId="4A2722FC" w14:textId="77777777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02446C" w:rsidP="0002446C" w:rsidRDefault="0002446C" w14:paraId="4BA6696C" w14:textId="77777777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02446C" w:rsidRDefault="0002446C" w14:paraId="5A75F3B7" w14:textId="7777777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312B" w:rsidR="0002446C" w:rsidP="0049312B" w:rsidRDefault="0002446C" w14:paraId="1242E272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E14" w:rsidP="008952DF" w:rsidRDefault="00EE5E14" w14:paraId="32312C67" w14:textId="77777777">
      <w:r>
        <w:separator/>
      </w:r>
    </w:p>
  </w:footnote>
  <w:footnote w:type="continuationSeparator" w:id="0">
    <w:p w:rsidR="00EE5E14" w:rsidP="008952DF" w:rsidRDefault="00EE5E14" w14:paraId="2D6273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519B2894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7A0" w:rsidRDefault="004067A0" w14:paraId="23E86076" w14:textId="7777777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67A0" w:rsidR="0002446C" w:rsidP="004067A0" w:rsidRDefault="0002446C" w14:paraId="5A7A9BF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hint="default" w:ascii="Wingdings" w:hAnsi="Wingdings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14"/>
    <w:rsid w:val="0002446C"/>
    <w:rsid w:val="000C16DF"/>
    <w:rsid w:val="00126E15"/>
    <w:rsid w:val="00324433"/>
    <w:rsid w:val="00363A16"/>
    <w:rsid w:val="003D033D"/>
    <w:rsid w:val="004067A0"/>
    <w:rsid w:val="004404F5"/>
    <w:rsid w:val="00492E76"/>
    <w:rsid w:val="0049312B"/>
    <w:rsid w:val="004F13C6"/>
    <w:rsid w:val="00520C03"/>
    <w:rsid w:val="00535E8E"/>
    <w:rsid w:val="00536E09"/>
    <w:rsid w:val="00562702"/>
    <w:rsid w:val="0065240B"/>
    <w:rsid w:val="00682C97"/>
    <w:rsid w:val="00686F1C"/>
    <w:rsid w:val="00710D72"/>
    <w:rsid w:val="00726EA3"/>
    <w:rsid w:val="007455B3"/>
    <w:rsid w:val="007C339D"/>
    <w:rsid w:val="0083385A"/>
    <w:rsid w:val="008952DF"/>
    <w:rsid w:val="009255E9"/>
    <w:rsid w:val="009B41EF"/>
    <w:rsid w:val="00AA36B2"/>
    <w:rsid w:val="00AB05D6"/>
    <w:rsid w:val="00AF592C"/>
    <w:rsid w:val="00B237C0"/>
    <w:rsid w:val="00B377FC"/>
    <w:rsid w:val="00B530D1"/>
    <w:rsid w:val="00C00AB0"/>
    <w:rsid w:val="00C520E4"/>
    <w:rsid w:val="00DD2644"/>
    <w:rsid w:val="00E078E6"/>
    <w:rsid w:val="00EB6BD0"/>
    <w:rsid w:val="00EE5E14"/>
    <w:rsid w:val="00F87B8D"/>
    <w:rsid w:val="076E2D93"/>
    <w:rsid w:val="08C01652"/>
    <w:rsid w:val="0E9B290E"/>
    <w:rsid w:val="0F26ACB6"/>
    <w:rsid w:val="11D2C9D0"/>
    <w:rsid w:val="16A63AF3"/>
    <w:rsid w:val="1FDADEB0"/>
    <w:rsid w:val="2315466F"/>
    <w:rsid w:val="2C2527A2"/>
    <w:rsid w:val="2C70B1A5"/>
    <w:rsid w:val="2CAE3275"/>
    <w:rsid w:val="30A4F268"/>
    <w:rsid w:val="3645D222"/>
    <w:rsid w:val="38DB9CA6"/>
    <w:rsid w:val="392FC521"/>
    <w:rsid w:val="3D82C983"/>
    <w:rsid w:val="43B49ABC"/>
    <w:rsid w:val="447A654E"/>
    <w:rsid w:val="4A1B3120"/>
    <w:rsid w:val="4C6C4ED6"/>
    <w:rsid w:val="4CD166BD"/>
    <w:rsid w:val="4D610AC3"/>
    <w:rsid w:val="576C8EA1"/>
    <w:rsid w:val="5BDA6532"/>
    <w:rsid w:val="6249A6B6"/>
    <w:rsid w:val="65814778"/>
    <w:rsid w:val="69B8536F"/>
    <w:rsid w:val="6EA5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9E598"/>
  <w15:chartTrackingRefBased/>
  <w15:docId w15:val="{C9405DCE-A55D-4D5D-BBDC-AA13D70D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EE5E14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color="002F6C" w:themeColor="text2" w:sz="4" w:space="2"/>
      </w:pBdr>
      <w:spacing w:before="240" w:after="240" w:line="276" w:lineRule="auto"/>
      <w:outlineLvl w:val="0"/>
    </w:pPr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styleId="squarebullets" w:customStyle="1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styleId="numberedlist" w:customStyle="1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styleId="footertext" w:customStyle="1">
    <w:name w:val="footer text"/>
    <w:basedOn w:val="Normal"/>
    <w:rsid w:val="00C00AB0"/>
    <w:pPr>
      <w:spacing w:line="360" w:lineRule="auto"/>
    </w:pPr>
    <w:rPr>
      <w:rFonts w:ascii="Helvetica" w:hAnsi="Helvetica" w:eastAsia="Times New Roman" w:cs="Helvetica"/>
      <w:color w:val="FFFFFF"/>
      <w:sz w:val="15"/>
      <w:szCs w:val="15"/>
    </w:rPr>
  </w:style>
  <w:style w:type="character" w:styleId="Heading1Char" w:customStyle="1">
    <w:name w:val="Heading 1 Char"/>
    <w:basedOn w:val="DefaultParagraphFont"/>
    <w:link w:val="Heading1"/>
    <w:uiPriority w:val="9"/>
    <w:rsid w:val="00B530D1"/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49312B"/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B530D1"/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30D1"/>
    <w:rPr>
      <w:rFonts w:asciiTheme="majorHAnsi" w:hAnsiTheme="majorHAnsi" w:eastAsiaTheme="majorEastAsia" w:cstheme="majorBidi"/>
      <w:b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52DF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52DF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52DF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52DF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52DF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FFBCBD" w:themeColor="accent2" w:themeTint="66" w:sz="4" w:space="0"/>
        <w:left w:val="single" w:color="FFBCBD" w:themeColor="accent2" w:themeTint="66" w:sz="4" w:space="0"/>
        <w:bottom w:val="single" w:color="FFBCBD" w:themeColor="accent2" w:themeTint="66" w:sz="4" w:space="0"/>
        <w:right w:val="single" w:color="FFBCBD" w:themeColor="accent2" w:themeTint="66" w:sz="4" w:space="0"/>
        <w:insideH w:val="single" w:color="FFBCBD" w:themeColor="accent2" w:themeTint="66" w:sz="4" w:space="0"/>
        <w:insideV w:val="single" w:color="FFBCB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9A9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9A9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  <w:insideV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BF3F" w:themeColor="accent4" w:sz="24" w:space="0"/>
          <w:left w:val="single" w:color="FFBF3F" w:themeColor="accent4" w:sz="24" w:space="0"/>
          <w:bottom w:val="single" w:color="FFBF3F" w:themeColor="accent4" w:sz="24" w:space="0"/>
          <w:right w:val="single" w:color="FFBF3F" w:themeColor="accent4" w:sz="24" w:space="0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BF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9A9D" w:themeColor="accent2" w:themeTint="99" w:sz="4" w:space="0"/>
        <w:left w:val="single" w:color="FF9A9D" w:themeColor="accent2" w:themeTint="99" w:sz="4" w:space="0"/>
        <w:bottom w:val="single" w:color="FF9A9D" w:themeColor="accent2" w:themeTint="99" w:sz="4" w:space="0"/>
        <w:right w:val="single" w:color="FF9A9D" w:themeColor="accent2" w:themeTint="99" w:sz="4" w:space="0"/>
        <w:insideH w:val="single" w:color="FF9A9D" w:themeColor="accent2" w:themeTint="99" w:sz="4" w:space="0"/>
        <w:insideV w:val="single" w:color="FF9A9D" w:themeColor="accent2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585D" w:themeColor="accent2" w:sz="4" w:space="0"/>
          <w:left w:val="single" w:color="FF585D" w:themeColor="accent2" w:sz="4" w:space="0"/>
          <w:bottom w:val="single" w:color="FF585D" w:themeColor="accent2" w:sz="4" w:space="0"/>
          <w:right w:val="single" w:color="FF585D" w:themeColor="accent2" w:sz="4" w:space="0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color="FF585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52CBFF" w:themeColor="accent1" w:themeTint="99" w:sz="4" w:space="0"/>
        <w:left w:val="single" w:color="52CBFF" w:themeColor="accent1" w:themeTint="99" w:sz="4" w:space="0"/>
        <w:bottom w:val="single" w:color="52CBFF" w:themeColor="accent1" w:themeTint="99" w:sz="4" w:space="0"/>
        <w:right w:val="single" w:color="52CBFF" w:themeColor="accent1" w:themeTint="99" w:sz="4" w:space="0"/>
        <w:insideH w:val="single" w:color="52CBFF" w:themeColor="accent1" w:themeTint="99" w:sz="4" w:space="0"/>
        <w:insideV w:val="single" w:color="52CBFF" w:themeColor="accent1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color="009CDE" w:themeColor="accent1" w:sz="4" w:space="0"/>
          <w:left w:val="single" w:color="009CDE" w:themeColor="accent1" w:sz="4" w:space="0"/>
          <w:bottom w:val="single" w:color="009CDE" w:themeColor="accent1" w:sz="4" w:space="0"/>
          <w:right w:val="single" w:color="009CDE" w:themeColor="accent1" w:sz="4" w:space="0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color="009CD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color="002F6C" w:themeColor="text2" w:sz="36" w:space="12"/>
      </w:pBdr>
      <w:spacing w:before="240" w:after="240" w:line="252" w:lineRule="auto"/>
      <w:ind w:left="340" w:right="862"/>
    </w:pPr>
    <w:rPr>
      <w:iCs/>
    </w:rPr>
  </w:style>
  <w:style w:type="character" w:styleId="QuoteChar" w:customStyle="1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styleId="FooterChar" w:customStyle="1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color="FFBF3F" w:themeColor="accent4" w:sz="4" w:space="0"/>
          <w:left w:val="single" w:color="FFBF3F" w:themeColor="accent4" w:sz="4" w:space="0"/>
          <w:bottom w:val="single" w:color="FFBF3F" w:themeColor="accent4" w:sz="4" w:space="0"/>
          <w:right w:val="single" w:color="FFBF3F" w:themeColor="accent4" w:sz="4" w:space="0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D88B" w:themeColor="accent4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3.png" Id="R405c829647164815" /><Relationship Type="http://schemas.openxmlformats.org/officeDocument/2006/relationships/image" Target="/media/image4.png" Id="R216037c582aa4e46" /><Relationship Type="http://schemas.openxmlformats.org/officeDocument/2006/relationships/glossaryDocument" Target="glossary/document.xml" Id="Rcfc7ee4d58a643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6ceb-bca1-4407-b725-480cfbbb59a9}"/>
      </w:docPartPr>
      <w:docPartBody>
        <w:p w14:paraId="390B37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07BD3-85F1-4BA2-84BF-B22DFD1BF0FE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10</revision>
  <dcterms:created xsi:type="dcterms:W3CDTF">2021-10-14T16:12:00.0000000Z</dcterms:created>
  <dcterms:modified xsi:type="dcterms:W3CDTF">2021-11-23T19:04:16.4949534Z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