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10"/>
        <w:gridCol w:w="7035"/>
      </w:tblGrid>
      <w:tr w:rsidR="00173BD0" w:rsidTr="480259DE" w14:paraId="77C12C12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0E413CAB" w14:textId="4F99F3AE">
            <w:pPr>
              <w:rPr>
                <w:rFonts w:ascii="Calibri" w:hAnsi="Calibri" w:eastAsia="Calibri" w:cs="Calibri"/>
                <w:color w:val="auto"/>
              </w:rPr>
            </w:pPr>
            <w:r w:rsidRPr="480259DE" w:rsidR="31A75091">
              <w:rPr>
                <w:rFonts w:ascii="Calibri" w:hAnsi="Calibri" w:eastAsia="Calibri" w:cs="Calibri"/>
                <w:b w:val="1"/>
                <w:bCs w:val="1"/>
                <w:color w:val="auto"/>
              </w:rPr>
              <w:t>S</w:t>
            </w: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ITE OVERVIEW</w:t>
            </w:r>
            <w:r w:rsidRPr="480259DE" w:rsidR="75EC9EAF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 - GREEN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480259DE" w14:paraId="29E3DB2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48C49CB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Town   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39BD2FE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Torquay 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480259DE" w14:paraId="112037D0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255B5B62" w14:textId="1A91B6C2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Name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DD2644" w:rsidR="009F5543" w:rsidP="480259DE" w:rsidRDefault="009F5543" w14:paraId="348C9AED" w14:textId="438ADF3C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480259DE" w:rsidR="00027232">
              <w:rPr>
                <w:rFonts w:ascii="Calibri" w:hAnsi="Calibri" w:eastAsia="Calibri" w:cs="Calibri"/>
                <w:color w:val="auto"/>
                <w:lang w:val="en-GB"/>
              </w:rPr>
              <w:t xml:space="preserve">Former </w:t>
            </w:r>
            <w:proofErr w:type="spellStart"/>
            <w:r w:rsidRPr="480259DE" w:rsidR="00027232">
              <w:rPr>
                <w:rFonts w:ascii="Calibri" w:hAnsi="Calibri" w:eastAsia="Calibri" w:cs="Calibri"/>
                <w:color w:val="auto"/>
                <w:lang w:val="en-GB"/>
              </w:rPr>
              <w:t>Stoodley</w:t>
            </w:r>
            <w:proofErr w:type="spellEnd"/>
            <w:r w:rsidRPr="480259DE" w:rsidR="00027232">
              <w:rPr>
                <w:rFonts w:ascii="Calibri" w:hAnsi="Calibri" w:eastAsia="Calibri" w:cs="Calibri"/>
                <w:color w:val="auto"/>
                <w:lang w:val="en-GB"/>
              </w:rPr>
              <w:t xml:space="preserve"> Knowle School, </w:t>
            </w:r>
            <w:proofErr w:type="spellStart"/>
            <w:r w:rsidRPr="480259DE" w:rsidR="00027232">
              <w:rPr>
                <w:rFonts w:ascii="Calibri" w:hAnsi="Calibri" w:eastAsia="Calibri" w:cs="Calibri"/>
                <w:color w:val="auto"/>
                <w:lang w:val="en-GB"/>
              </w:rPr>
              <w:t>Ansteys</w:t>
            </w:r>
            <w:proofErr w:type="spellEnd"/>
            <w:r w:rsidRPr="480259DE" w:rsidR="00027232">
              <w:rPr>
                <w:rFonts w:ascii="Calibri" w:hAnsi="Calibri" w:eastAsia="Calibri" w:cs="Calibri"/>
                <w:color w:val="auto"/>
                <w:lang w:val="en-GB"/>
              </w:rPr>
              <w:t xml:space="preserve"> Cove Rd</w:t>
            </w:r>
          </w:p>
        </w:tc>
      </w:tr>
      <w:tr w:rsidR="00173BD0" w:rsidTr="480259DE" w14:paraId="671569FF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1C09E581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HELAA Reference no.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3C4F23" w:rsidR="00173BD0" w:rsidP="480259DE" w:rsidRDefault="003C4F23" w14:paraId="42B64F85" w14:textId="5CCDE658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480259DE" w:rsidR="003C4F23">
              <w:rPr>
                <w:rFonts w:ascii="Calibri" w:hAnsi="Calibri" w:eastAsia="Calibri" w:cs="Calibri"/>
                <w:color w:val="auto"/>
              </w:rPr>
              <w:t>21T085</w:t>
            </w:r>
          </w:p>
        </w:tc>
      </w:tr>
      <w:tr w:rsidR="00173BD0" w:rsidTr="480259DE" w14:paraId="108424F3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3B903CD2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Approx. yield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027232" w14:paraId="277A0E52" w14:textId="64722742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027232">
              <w:rPr>
                <w:rFonts w:ascii="Calibri" w:hAnsi="Calibri" w:eastAsia="Calibri" w:cs="Calibri"/>
                <w:color w:val="auto"/>
              </w:rPr>
              <w:t>90</w:t>
            </w:r>
          </w:p>
        </w:tc>
      </w:tr>
      <w:tr w:rsidR="00173BD0" w:rsidTr="480259DE" w14:paraId="2C667F76" w14:textId="77777777">
        <w:tc>
          <w:tcPr>
            <w:tcW w:w="9345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388A4ADB" w14:noSpellErr="1" w14:textId="252E7A21">
            <w:pPr>
              <w:pStyle w:val="Normal"/>
              <w:rPr>
                <w:rFonts w:ascii="Calibri" w:hAnsi="Calibri" w:eastAsia="Calibri" w:cs="Calibri"/>
                <w:color w:val="auto"/>
                <w:sz w:val="22"/>
                <w:szCs w:val="22"/>
                <w:lang w:val="en-GB"/>
              </w:rPr>
            </w:pPr>
            <w:r w:rsidR="0D7C2FE3">
              <w:drawing>
                <wp:inline wp14:editId="1A150726" wp14:anchorId="1826320D">
                  <wp:extent cx="3427142" cy="2867260"/>
                  <wp:effectExtent l="0" t="0" r="1905" b="9525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44a367bd5f0646e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427142" cy="286726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3BD0" w:rsidTr="480259DE" w14:paraId="41D82E35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7334ABC7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Suitable: How the principle of development is established 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421BFA" w:rsidP="480259DE" w:rsidRDefault="0087522C" w14:paraId="404568F4" w14:textId="0D0791E0" w14:noSpellErr="1">
            <w:pPr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</w:rPr>
            </w:pPr>
            <w:r w:rsidRPr="480259DE" w:rsidR="0087522C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P/2019/1330</w:t>
            </w:r>
            <w:r w:rsidRPr="480259DE" w:rsidR="0087522C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 xml:space="preserve"> </w:t>
            </w:r>
            <w:r w:rsidRPr="480259DE" w:rsidR="001741BF">
              <w:rPr>
                <w:rStyle w:val="divider1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|</w:t>
            </w:r>
            <w:r w:rsidRPr="480259DE" w:rsidR="001741BF">
              <w:rPr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 </w:t>
            </w:r>
            <w:r w:rsidRPr="480259DE" w:rsidR="001741BF"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>Demolition of school site and construction of 90 residential units (houses and apartments), with associated car parking, landscaping and infrastructure. </w:t>
            </w:r>
            <w:r w:rsidRPr="480259DE" w:rsidR="00CD2C94">
              <w:rPr>
                <w:rStyle w:val="description"/>
                <w:rFonts w:ascii="Calibri" w:hAnsi="Calibri" w:eastAsia="Calibri" w:cs="Calibri"/>
                <w:color w:val="auto"/>
                <w:sz w:val="23"/>
                <w:szCs w:val="23"/>
                <w:shd w:val="clear" w:color="auto" w:fill="FFFFFF"/>
              </w:rPr>
              <w:t xml:space="preserve">– approved </w:t>
            </w:r>
          </w:p>
        </w:tc>
      </w:tr>
      <w:tr w:rsidR="00173BD0" w:rsidTr="480259DE" w14:paraId="2A397472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1D7191BB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Available: Any change in circumstances since principle established 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28F06AAF" w14:textId="392FB9F2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>Yes</w:t>
            </w:r>
          </w:p>
        </w:tc>
      </w:tr>
      <w:tr w:rsidR="00173BD0" w:rsidTr="480259DE" w14:paraId="193C1D8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79350E14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Achievable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036A1F36" w14:textId="1F5561F2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>Yes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480259DE" w14:paraId="248CCBD7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3245A5C0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Customer Reference no.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34F48B32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</w:p>
        </w:tc>
      </w:tr>
      <w:tr w:rsidR="00173BD0" w:rsidTr="480259DE" w14:paraId="6B4E8868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4874C64E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Source of Site (call for sites, Local Plan allocation etc.).  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Pr="00A866BD" w:rsidR="00173BD0" w:rsidP="480259DE" w:rsidRDefault="00A866BD" w14:paraId="42E877F3" w14:textId="5525DC9C" w14:noSpellErr="1">
            <w:pPr>
              <w:spacing w:after="0" w:line="240" w:lineRule="auto"/>
              <w:rPr>
                <w:rFonts w:ascii="Calibri" w:hAnsi="Calibri" w:eastAsia="Calibri" w:cs="Calibri"/>
                <w:color w:val="auto"/>
                <w:lang w:val="en-GB"/>
              </w:rPr>
            </w:pPr>
            <w:r w:rsidRPr="480259DE" w:rsidR="00A866BD">
              <w:rPr>
                <w:rFonts w:ascii="Calibri" w:hAnsi="Calibri" w:eastAsia="Calibri" w:cs="Calibri"/>
                <w:color w:val="auto"/>
              </w:rPr>
              <w:t>Applications PCO</w:t>
            </w:r>
          </w:p>
        </w:tc>
      </w:tr>
      <w:tr w:rsidR="00173BD0" w:rsidTr="480259DE" w14:paraId="08BBC013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3ED3E38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Current use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CD2C94" w14:paraId="61CCCC05" w14:textId="7C33386C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CD2C94">
              <w:rPr>
                <w:rFonts w:ascii="Calibri" w:hAnsi="Calibri" w:eastAsia="Calibri" w:cs="Calibri"/>
                <w:color w:val="auto"/>
              </w:rPr>
              <w:t>Former school and surrounding grounds.</w:t>
            </w:r>
          </w:p>
        </w:tc>
      </w:tr>
      <w:tr w:rsidR="00173BD0" w:rsidTr="480259DE" w14:paraId="0BAA9412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25C44DBB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>Site description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4108B9" w:rsidP="480259DE" w:rsidRDefault="004108B9" w14:paraId="0ECEBE22" w14:textId="3D11BCDC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</w:pP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The site is that of the former </w:t>
            </w:r>
            <w:proofErr w:type="spellStart"/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Stoodley</w:t>
            </w:r>
            <w:proofErr w:type="spellEnd"/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Knowle School, an independent girls school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which closed in 2015, set within the suburb of </w:t>
            </w:r>
            <w:proofErr w:type="spellStart"/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Wellswood</w:t>
            </w:r>
            <w:proofErr w:type="spellEnd"/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, Torquay, located on an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elevated coastal position between </w:t>
            </w:r>
            <w:proofErr w:type="spellStart"/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Ansteys</w:t>
            </w:r>
            <w:proofErr w:type="spellEnd"/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Cove to the north-west and Hope Cove to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the south-east.</w:t>
            </w:r>
          </w:p>
          <w:p w:rsidR="004108B9" w:rsidP="480259DE" w:rsidRDefault="004108B9" w14:paraId="17051DDF" w14:textId="2D8C66E8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</w:pP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The site covers a total of 17.4 hectares and comprises a large complex of buildings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along with areas of open meadow, gardens and woodland. The existing buildings are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primarily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located towards the centre and western parts of the site and are a mixture of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styles and ages, varying in scale between larger more modern institutional buildings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to much smaller more domestically scaled period buildings. The more domestically</w:t>
            </w:r>
          </w:p>
          <w:p w:rsidR="00173BD0" w:rsidP="480259DE" w:rsidRDefault="004108B9" w14:paraId="76E6B494" w14:textId="01686C44" w14:noSpellErr="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</w:pP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scaled building group towards the southern border of the site includes buildings that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 xml:space="preserve"> </w:t>
            </w:r>
            <w:r w:rsidRPr="480259DE" w:rsidR="004108B9">
              <w:rPr>
                <w:rFonts w:ascii="Calibri" w:hAnsi="Calibri" w:eastAsia="Calibri" w:cs="Calibri"/>
                <w:color w:val="auto"/>
                <w:sz w:val="24"/>
                <w:szCs w:val="24"/>
                <w:lang w:val="en-GB"/>
              </w:rPr>
              <w:t>are subject to statutory Grade II or II* listings.</w:t>
            </w:r>
          </w:p>
        </w:tc>
      </w:tr>
      <w:tr w:rsidR="00173BD0" w:rsidTr="480259DE" w14:paraId="0C930504" w14:textId="77777777">
        <w:tc>
          <w:tcPr>
            <w:tcW w:w="231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29FF2539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Total site area (ha) 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  <w:tc>
          <w:tcPr>
            <w:tcW w:w="703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4108B9" w14:paraId="3C43B567" w14:textId="563EBC71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4108B9">
              <w:rPr>
                <w:rFonts w:ascii="Calibri" w:hAnsi="Calibri" w:eastAsia="Calibri" w:cs="Calibri"/>
                <w:color w:val="auto"/>
              </w:rPr>
              <w:t>17.4</w:t>
            </w:r>
          </w:p>
        </w:tc>
      </w:tr>
    </w:tbl>
    <w:p w:rsidR="00173BD0" w:rsidP="480259DE" w:rsidRDefault="00173BD0" w14:paraId="7F3420B3" w14:textId="77777777" w14:noSpellErr="1">
      <w:pPr>
        <w:rPr>
          <w:rFonts w:ascii="Calibri" w:hAnsi="Calibri" w:eastAsia="Calibri" w:cs="Calibri"/>
          <w:color w:val="auto"/>
        </w:rPr>
      </w:pPr>
      <w:r w:rsidRPr="480259DE" w:rsidR="00173BD0">
        <w:rPr>
          <w:rFonts w:ascii="Calibri" w:hAnsi="Calibri" w:eastAsia="Calibri" w:cs="Calibri"/>
          <w:color w:val="auto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6750"/>
      </w:tblGrid>
      <w:tr w:rsidR="00173BD0" w:rsidTr="480259DE" w14:paraId="7581F192" w14:textId="77777777">
        <w:tc>
          <w:tcPr>
            <w:tcW w:w="9000" w:type="dxa"/>
            <w:gridSpan w:val="2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0DD7605A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173BD0" w:rsidP="480259DE" w:rsidRDefault="00173BD0" w14:paraId="1A9810C6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b w:val="1"/>
                <w:bCs w:val="1"/>
                <w:color w:val="auto"/>
              </w:rPr>
              <w:t xml:space="preserve">AVAILABILITY ASSESSMENT </w:t>
            </w: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  <w:p w:rsidR="00173BD0" w:rsidP="480259DE" w:rsidRDefault="00173BD0" w14:paraId="56C8389F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Reasonable prospect of delivery (timescale): </w:t>
            </w:r>
          </w:p>
          <w:p w:rsidR="00173BD0" w:rsidP="480259DE" w:rsidRDefault="00173BD0" w14:paraId="266E6E15" w14:noSpellErr="1" w14:textId="7BE12A9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480259DE" w14:paraId="6FEA3C24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151D54FE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The next 5 years </w:t>
            </w:r>
          </w:p>
        </w:tc>
        <w:tc>
          <w:tcPr>
            <w:tcW w:w="6750" w:type="dxa"/>
            <w:tcBorders>
              <w:top w:val="nil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21525DEE" w14:textId="47C705A1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  <w:r w:rsidRPr="480259DE" w:rsidR="006817AB">
              <w:rPr>
                <w:rFonts w:ascii="Calibri" w:hAnsi="Calibri" w:eastAsia="Calibri" w:cs="Calibri"/>
                <w:color w:val="auto"/>
              </w:rPr>
              <w:t>90</w:t>
            </w:r>
          </w:p>
        </w:tc>
      </w:tr>
      <w:tr w:rsidR="00173BD0" w:rsidTr="480259DE" w14:paraId="715B078A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08121244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A 6-10 year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38535E72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480259DE" w14:paraId="6A97F8A2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4C3D27F4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An 11-15 year period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613287FE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  <w:tr w:rsidR="00173BD0" w:rsidTr="480259DE" w14:paraId="208D66B3" w14:textId="77777777">
        <w:tc>
          <w:tcPr>
            <w:tcW w:w="22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632A4520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Later than 15 years </w:t>
            </w:r>
          </w:p>
        </w:tc>
        <w:tc>
          <w:tcPr>
            <w:tcW w:w="675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/>
          </w:tcPr>
          <w:p w:rsidR="00173BD0" w:rsidP="480259DE" w:rsidRDefault="00173BD0" w14:paraId="67AADA81" w14:textId="77777777" w14:noSpellErr="1">
            <w:pPr>
              <w:rPr>
                <w:rFonts w:ascii="Calibri" w:hAnsi="Calibri" w:eastAsia="Calibri" w:cs="Calibri"/>
                <w:color w:val="auto"/>
              </w:rPr>
            </w:pPr>
            <w:r w:rsidRPr="480259DE" w:rsidR="00173BD0">
              <w:rPr>
                <w:rFonts w:ascii="Calibri" w:hAnsi="Calibri" w:eastAsia="Calibri" w:cs="Calibri"/>
                <w:color w:val="auto"/>
              </w:rPr>
              <w:t xml:space="preserve"> </w:t>
            </w:r>
          </w:p>
        </w:tc>
      </w:tr>
    </w:tbl>
    <w:p w:rsidR="00173BD0" w:rsidP="480259DE" w:rsidRDefault="00173BD0" w14:paraId="6BA9A0B7" w14:textId="77777777" w14:noSpellErr="1">
      <w:pPr>
        <w:rPr>
          <w:rFonts w:ascii="Calibri" w:hAnsi="Calibri" w:eastAsia="Calibri" w:cs="Calibri"/>
          <w:color w:val="auto"/>
        </w:rPr>
      </w:pPr>
    </w:p>
    <w:p w:rsidRPr="00B530D1" w:rsidR="00173BD0" w:rsidP="480259DE" w:rsidRDefault="00173BD0" w14:paraId="65877574" w14:textId="77777777" w14:noSpellErr="1">
      <w:pPr>
        <w:rPr>
          <w:rFonts w:ascii="Calibri" w:hAnsi="Calibri" w:eastAsia="Calibri" w:cs="Calibri"/>
          <w:color w:val="auto"/>
        </w:rPr>
      </w:pPr>
    </w:p>
    <w:p w:rsidRPr="00B530D1" w:rsidR="00173BD0" w:rsidP="480259DE" w:rsidRDefault="00173BD0" w14:paraId="18B1CF6A" w14:textId="77777777" w14:noSpellErr="1">
      <w:pPr>
        <w:rPr>
          <w:rFonts w:ascii="Calibri" w:hAnsi="Calibri" w:eastAsia="Calibri" w:cs="Calibri"/>
          <w:color w:val="auto"/>
        </w:rPr>
      </w:pPr>
    </w:p>
    <w:p w:rsidRPr="00441ABF" w:rsidR="00173BD0" w:rsidP="480259DE" w:rsidRDefault="00173BD0" w14:paraId="786EDB0A" w14:textId="77777777" w14:noSpellErr="1">
      <w:pPr>
        <w:rPr>
          <w:rFonts w:ascii="Calibri" w:hAnsi="Calibri" w:eastAsia="Calibri" w:cs="Calibri"/>
          <w:color w:val="auto"/>
        </w:rPr>
      </w:pPr>
    </w:p>
    <w:p w:rsidRPr="00B530D1" w:rsidR="00B377FC" w:rsidP="480259DE" w:rsidRDefault="00B377FC" w14:paraId="6D1C6532" w14:textId="77777777" w14:noSpellErr="1">
      <w:pPr>
        <w:rPr>
          <w:rFonts w:ascii="Calibri" w:hAnsi="Calibri" w:eastAsia="Calibri" w:cs="Calibri"/>
          <w:color w:val="auto"/>
        </w:rPr>
      </w:pPr>
    </w:p>
    <w:sectPr w:rsidRPr="00B530D1" w:rsidR="00B377FC" w:rsidSect="00024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3BD0" w:rsidP="008952DF" w:rsidRDefault="00173BD0" w14:paraId="5721D2D9" w14:textId="77777777">
      <w:r>
        <w:separator/>
      </w:r>
    </w:p>
  </w:endnote>
  <w:endnote w:type="continuationSeparator" w:id="0">
    <w:p w:rsidR="00173BD0" w:rsidP="008952DF" w:rsidRDefault="00173BD0" w14:paraId="48E540D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43268EE8" w14:textId="77777777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color="00A74A" w:themeColor="accent3" w:sz="2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0456"/>
    </w:tblGrid>
    <w:tr w:rsidR="0002446C" w:rsidTr="0002446C" w14:paraId="4D1FE0DF" w14:textId="77777777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:rsidR="0002446C" w:rsidP="0002446C" w:rsidRDefault="0002446C" w14:paraId="2EDC1BB6" w14:textId="77777777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:rsidR="0002446C" w:rsidRDefault="0002446C" w14:paraId="5B0296FD" w14:textId="77777777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9312B" w:rsidR="0002446C" w:rsidP="0049312B" w:rsidRDefault="0002446C" w14:paraId="2BD4F769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3BD0" w:rsidP="008952DF" w:rsidRDefault="00173BD0" w14:paraId="75631716" w14:textId="77777777">
      <w:r>
        <w:separator/>
      </w:r>
    </w:p>
  </w:footnote>
  <w:footnote w:type="continuationSeparator" w:id="0">
    <w:p w:rsidR="00173BD0" w:rsidP="008952DF" w:rsidRDefault="00173BD0" w14:paraId="56B3FF0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2446C" w:rsidRDefault="0002446C" w14:paraId="0408B808" w14:textId="77777777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67A0" w:rsidRDefault="004067A0" w14:paraId="6463AB99" w14:textId="77777777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067A0" w:rsidR="0002446C" w:rsidP="004067A0" w:rsidRDefault="0002446C" w14:paraId="4E606844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hint="default" w:ascii="Wingdings" w:hAnsi="Wingdings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false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D0"/>
    <w:rsid w:val="0002446C"/>
    <w:rsid w:val="00027232"/>
    <w:rsid w:val="000B6561"/>
    <w:rsid w:val="000E72A1"/>
    <w:rsid w:val="00126E15"/>
    <w:rsid w:val="00173BD0"/>
    <w:rsid w:val="001741BF"/>
    <w:rsid w:val="002F03D1"/>
    <w:rsid w:val="00324433"/>
    <w:rsid w:val="00363A16"/>
    <w:rsid w:val="003800F2"/>
    <w:rsid w:val="003C4F23"/>
    <w:rsid w:val="003D033D"/>
    <w:rsid w:val="004067A0"/>
    <w:rsid w:val="004108B9"/>
    <w:rsid w:val="00421BFA"/>
    <w:rsid w:val="004404F5"/>
    <w:rsid w:val="004550D5"/>
    <w:rsid w:val="00492E76"/>
    <w:rsid w:val="0049312B"/>
    <w:rsid w:val="004F13C6"/>
    <w:rsid w:val="0051576C"/>
    <w:rsid w:val="00520C03"/>
    <w:rsid w:val="00535E8E"/>
    <w:rsid w:val="005E5A22"/>
    <w:rsid w:val="006523D8"/>
    <w:rsid w:val="0065240B"/>
    <w:rsid w:val="006817AB"/>
    <w:rsid w:val="00682C97"/>
    <w:rsid w:val="006E6AA4"/>
    <w:rsid w:val="00726EA3"/>
    <w:rsid w:val="007455B3"/>
    <w:rsid w:val="007A4364"/>
    <w:rsid w:val="007C339D"/>
    <w:rsid w:val="0083385A"/>
    <w:rsid w:val="0087522C"/>
    <w:rsid w:val="00886F00"/>
    <w:rsid w:val="008952DF"/>
    <w:rsid w:val="008E302D"/>
    <w:rsid w:val="009255E9"/>
    <w:rsid w:val="009B41EF"/>
    <w:rsid w:val="009F5543"/>
    <w:rsid w:val="00A16905"/>
    <w:rsid w:val="00A866BD"/>
    <w:rsid w:val="00AA4A38"/>
    <w:rsid w:val="00AF0ACE"/>
    <w:rsid w:val="00AF592C"/>
    <w:rsid w:val="00B237C0"/>
    <w:rsid w:val="00B377FC"/>
    <w:rsid w:val="00B530D1"/>
    <w:rsid w:val="00BA5A2B"/>
    <w:rsid w:val="00C00AB0"/>
    <w:rsid w:val="00C520E4"/>
    <w:rsid w:val="00CB3E62"/>
    <w:rsid w:val="00CD2C94"/>
    <w:rsid w:val="00D21BAB"/>
    <w:rsid w:val="00D8003E"/>
    <w:rsid w:val="00DA0542"/>
    <w:rsid w:val="00DB74F4"/>
    <w:rsid w:val="00E02A19"/>
    <w:rsid w:val="00E078E6"/>
    <w:rsid w:val="00E94870"/>
    <w:rsid w:val="00EA41AC"/>
    <w:rsid w:val="00EB6BD0"/>
    <w:rsid w:val="00F87B8D"/>
    <w:rsid w:val="00FB35EA"/>
    <w:rsid w:val="00FC6BBE"/>
    <w:rsid w:val="0D7C2FE3"/>
    <w:rsid w:val="2BA84449"/>
    <w:rsid w:val="31A75091"/>
    <w:rsid w:val="480259DE"/>
    <w:rsid w:val="75EC9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450EF"/>
  <w15:chartTrackingRefBased/>
  <w15:docId w15:val="{F8BC684B-49A3-4CC4-87E5-6D2FD035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uiPriority="9" w:semiHidden="1" w:unhideWhenUsed="1" w:qFormat="1"/>
    <w:lsdException w:name="heading 3" w:locked="0" w:uiPriority="9" w:semiHidden="1" w:unhideWhenUsed="1" w:qFormat="1"/>
    <w:lsdException w:name="heading 4" w:locked="0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qFormat/>
    <w:rsid w:val="00173BD0"/>
    <w:pPr>
      <w:spacing w:after="160" w:line="259" w:lineRule="auto"/>
    </w:pPr>
    <w:rPr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color="002F6C" w:themeColor="text2" w:sz="4" w:space="2"/>
      </w:pBdr>
      <w:spacing w:before="240" w:after="240" w:line="276" w:lineRule="auto"/>
      <w:outlineLvl w:val="0"/>
    </w:pPr>
    <w:rPr>
      <w:rFonts w:asciiTheme="majorHAnsi" w:hAnsiTheme="majorHAnsi" w:eastAsiaTheme="majorEastAsia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hAnsiTheme="majorHAnsi" w:eastAsiaTheme="majorEastAsia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hAnsiTheme="majorHAnsi"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hAnsiTheme="majorHAnsi" w:eastAsiaTheme="majorEastAsia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styleId="squarebullets" w:customStyle="1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styleId="numberedlist" w:customStyle="1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styleId="footertext" w:customStyle="1">
    <w:name w:val="footer text"/>
    <w:basedOn w:val="Normal"/>
    <w:rsid w:val="00C00AB0"/>
    <w:pPr>
      <w:spacing w:line="360" w:lineRule="auto"/>
    </w:pPr>
    <w:rPr>
      <w:rFonts w:ascii="Helvetica" w:hAnsi="Helvetica" w:eastAsia="Times New Roman" w:cs="Helvetica"/>
      <w:color w:val="FFFFFF"/>
      <w:sz w:val="15"/>
      <w:szCs w:val="15"/>
    </w:rPr>
  </w:style>
  <w:style w:type="character" w:styleId="Heading1Char" w:customStyle="1">
    <w:name w:val="Heading 1 Char"/>
    <w:basedOn w:val="DefaultParagraphFont"/>
    <w:link w:val="Heading1"/>
    <w:uiPriority w:val="9"/>
    <w:rsid w:val="00B530D1"/>
    <w:rPr>
      <w:rFonts w:asciiTheme="majorHAnsi" w:hAnsiTheme="majorHAnsi" w:eastAsiaTheme="majorEastAsia" w:cstheme="majorBidi"/>
      <w:color w:val="002F6C" w:themeColor="text2"/>
      <w:sz w:val="40"/>
      <w:szCs w:val="36"/>
    </w:rPr>
  </w:style>
  <w:style w:type="character" w:styleId="Heading2Char" w:customStyle="1">
    <w:name w:val="Heading 2 Char"/>
    <w:basedOn w:val="DefaultParagraphFont"/>
    <w:link w:val="Heading2"/>
    <w:uiPriority w:val="9"/>
    <w:rsid w:val="0049312B"/>
    <w:rPr>
      <w:rFonts w:asciiTheme="majorHAnsi" w:hAnsiTheme="majorHAnsi" w:eastAsiaTheme="majorEastAsia" w:cstheme="majorBidi"/>
      <w:color w:val="000000" w:themeColor="text1"/>
      <w:sz w:val="32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B530D1"/>
    <w:rPr>
      <w:rFonts w:asciiTheme="majorHAnsi" w:hAnsiTheme="majorHAnsi" w:eastAsiaTheme="majorEastAsia" w:cstheme="majorBidi"/>
      <w:color w:val="000000" w:themeColor="text1"/>
      <w:sz w:val="28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530D1"/>
    <w:rPr>
      <w:rFonts w:asciiTheme="majorHAnsi" w:hAnsiTheme="majorHAnsi" w:eastAsiaTheme="majorEastAsia" w:cstheme="majorBidi"/>
      <w:b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952DF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952DF"/>
    <w:rPr>
      <w:rFonts w:asciiTheme="majorHAnsi" w:hAnsiTheme="majorHAnsi" w:eastAsiaTheme="majorEastAsia" w:cstheme="majorBidi"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952DF"/>
    <w:rPr>
      <w:rFonts w:asciiTheme="majorHAnsi" w:hAnsiTheme="majorHAnsi" w:eastAsiaTheme="majorEastAsia" w:cstheme="majorBidi"/>
      <w:i/>
      <w:iCs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952DF"/>
    <w:rPr>
      <w:rFonts w:asciiTheme="majorHAnsi" w:hAnsiTheme="majorHAnsi" w:eastAsiaTheme="majorEastAsia" w:cstheme="majorBidi"/>
      <w:smallCaps/>
      <w:color w:val="595959" w:themeColor="text1" w:themeTint="A6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952DF"/>
    <w:rPr>
      <w:rFonts w:asciiTheme="majorHAnsi" w:hAnsiTheme="majorHAnsi" w:eastAsiaTheme="majorEastAsia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FFBCBD" w:themeColor="accent2" w:themeTint="66" w:sz="4" w:space="0"/>
        <w:left w:val="single" w:color="FFBCBD" w:themeColor="accent2" w:themeTint="66" w:sz="4" w:space="0"/>
        <w:bottom w:val="single" w:color="FFBCBD" w:themeColor="accent2" w:themeTint="66" w:sz="4" w:space="0"/>
        <w:right w:val="single" w:color="FFBCBD" w:themeColor="accent2" w:themeTint="66" w:sz="4" w:space="0"/>
        <w:insideH w:val="single" w:color="FFBCBD" w:themeColor="accent2" w:themeTint="66" w:sz="4" w:space="0"/>
        <w:insideV w:val="single" w:color="FFBCBD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F9A9D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9A9D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  <w:insideV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BF3F" w:themeColor="accent4" w:sz="24" w:space="0"/>
          <w:left w:val="single" w:color="FFBF3F" w:themeColor="accent4" w:sz="24" w:space="0"/>
          <w:bottom w:val="single" w:color="FFBF3F" w:themeColor="accent4" w:sz="24" w:space="0"/>
          <w:right w:val="single" w:color="FFBF3F" w:themeColor="accent4" w:sz="24" w:space="0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BF3F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FF9A9D" w:themeColor="accent2" w:themeTint="99" w:sz="4" w:space="0"/>
        <w:left w:val="single" w:color="FF9A9D" w:themeColor="accent2" w:themeTint="99" w:sz="4" w:space="0"/>
        <w:bottom w:val="single" w:color="FF9A9D" w:themeColor="accent2" w:themeTint="99" w:sz="4" w:space="0"/>
        <w:right w:val="single" w:color="FF9A9D" w:themeColor="accent2" w:themeTint="99" w:sz="4" w:space="0"/>
        <w:insideH w:val="single" w:color="FF9A9D" w:themeColor="accent2" w:themeTint="99" w:sz="4" w:space="0"/>
        <w:insideV w:val="single" w:color="FF9A9D" w:themeColor="accent2" w:themeTint="99" w:sz="4" w:space="0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FF585D" w:themeColor="accent2" w:sz="4" w:space="0"/>
          <w:left w:val="single" w:color="FF585D" w:themeColor="accent2" w:sz="4" w:space="0"/>
          <w:bottom w:val="single" w:color="FF585D" w:themeColor="accent2" w:sz="4" w:space="0"/>
          <w:right w:val="single" w:color="FF585D" w:themeColor="accent2" w:sz="4" w:space="0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color="FF585D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52CBFF" w:themeColor="accent1" w:themeTint="99" w:sz="4" w:space="0"/>
        <w:left w:val="single" w:color="52CBFF" w:themeColor="accent1" w:themeTint="99" w:sz="4" w:space="0"/>
        <w:bottom w:val="single" w:color="52CBFF" w:themeColor="accent1" w:themeTint="99" w:sz="4" w:space="0"/>
        <w:right w:val="single" w:color="52CBFF" w:themeColor="accent1" w:themeTint="99" w:sz="4" w:space="0"/>
        <w:insideH w:val="single" w:color="52CBFF" w:themeColor="accent1" w:themeTint="99" w:sz="4" w:space="0"/>
        <w:insideV w:val="single" w:color="52CBFF" w:themeColor="accent1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color="009CDE" w:themeColor="accent1" w:sz="4" w:space="0"/>
          <w:left w:val="single" w:color="009CDE" w:themeColor="accent1" w:sz="4" w:space="0"/>
          <w:bottom w:val="single" w:color="009CDE" w:themeColor="accent1" w:sz="4" w:space="0"/>
          <w:right w:val="single" w:color="009CDE" w:themeColor="accent1" w:sz="4" w:space="0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color="009CD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color="002F6C" w:themeColor="text2" w:sz="36" w:space="12"/>
      </w:pBdr>
      <w:spacing w:before="240" w:after="240" w:line="252" w:lineRule="auto"/>
      <w:ind w:left="340" w:right="862"/>
    </w:pPr>
    <w:rPr>
      <w:iCs/>
    </w:rPr>
  </w:style>
  <w:style w:type="character" w:styleId="QuoteChar" w:customStyle="1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styleId="FooterChar" w:customStyle="1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color="FFD88B" w:themeColor="accent4" w:themeTint="99" w:sz="4" w:space="0"/>
        <w:left w:val="single" w:color="FFD88B" w:themeColor="accent4" w:themeTint="99" w:sz="4" w:space="0"/>
        <w:bottom w:val="single" w:color="FFD88B" w:themeColor="accent4" w:themeTint="99" w:sz="4" w:space="0"/>
        <w:right w:val="single" w:color="FFD88B" w:themeColor="accent4" w:themeTint="99" w:sz="4" w:space="0"/>
        <w:insideH w:val="single" w:color="FFD88B" w:themeColor="accent4" w:themeTint="99" w:sz="4" w:space="0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color="FFBF3F" w:themeColor="accent4" w:sz="4" w:space="0"/>
          <w:left w:val="single" w:color="FFBF3F" w:themeColor="accent4" w:sz="4" w:space="0"/>
          <w:bottom w:val="single" w:color="FFBF3F" w:themeColor="accent4" w:sz="4" w:space="0"/>
          <w:right w:val="single" w:color="FFBF3F" w:themeColor="accent4" w:sz="4" w:space="0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color="FFD88B" w:themeColor="accent4" w:themeTint="99" w:sz="4" w:space="0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character" w:styleId="casenumber" w:customStyle="1">
    <w:name w:val="casenumber"/>
    <w:basedOn w:val="DefaultParagraphFont"/>
    <w:rsid w:val="00421BFA"/>
  </w:style>
  <w:style w:type="character" w:styleId="divider1" w:customStyle="1">
    <w:name w:val="divider1"/>
    <w:basedOn w:val="DefaultParagraphFont"/>
    <w:rsid w:val="00421BFA"/>
  </w:style>
  <w:style w:type="character" w:styleId="description" w:customStyle="1">
    <w:name w:val="description"/>
    <w:basedOn w:val="DefaultParagraphFont"/>
    <w:rsid w:val="00421BFA"/>
  </w:style>
  <w:style w:type="paragraph" w:styleId="Default" w:customStyle="1">
    <w:name w:val="Default"/>
    <w:rsid w:val="005157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2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Relationship Type="http://schemas.openxmlformats.org/officeDocument/2006/relationships/image" Target="/media/image2.png" Id="R44a367bd5f0646ed" /><Relationship Type="http://schemas.openxmlformats.org/officeDocument/2006/relationships/glossaryDocument" Target="glossary/document.xml" Id="Raa89420f5c364ba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e1636-d5d8-4d66-a189-8e08eca2c788}"/>
      </w:docPartPr>
      <w:docPartBody>
        <w:p w14:paraId="70F23BE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95731-F2F4-4423-9645-DB9F8A91924E}"/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Bailey-Clark, Rose</dc:creator>
  <keywords/>
  <dc:description/>
  <lastModifiedBy>Davies, Craig</lastModifiedBy>
  <revision>15</revision>
  <dcterms:created xsi:type="dcterms:W3CDTF">2021-10-15T14:54:00.0000000Z</dcterms:created>
  <dcterms:modified xsi:type="dcterms:W3CDTF">2021-11-23T18:51:03.5274521Z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