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550"/>
        <w:gridCol w:w="6465"/>
      </w:tblGrid>
      <w:tr w:rsidR="0F7F27E9" w:rsidTr="2C54F075" w14:paraId="66D37E2A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5DCA07E4" w14:textId="0369A568">
            <w:r w:rsidRPr="2C54F075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OVERVIEW</w:t>
            </w:r>
            <w:r w:rsidRPr="2C54F075" w:rsidR="07E624AF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 - GREEN</w:t>
            </w:r>
          </w:p>
        </w:tc>
      </w:tr>
      <w:tr w:rsidR="0F7F27E9" w:rsidTr="2C54F075" w14:paraId="497CE877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2B7E104B" w14:textId="27C3A400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Town  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355E1198" w14:textId="297BA8A4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Torquay</w:t>
            </w:r>
          </w:p>
        </w:tc>
      </w:tr>
      <w:tr w:rsidR="0F7F27E9" w:rsidTr="2C54F075" w14:paraId="0E5E8A44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434E6080" w14:textId="72D54DF6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Name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56317650" w:rsidP="0F7F27E9" w:rsidRDefault="56317650" w14:paraId="2D7FCDD0" w14:textId="04A38E56">
            <w:pPr>
              <w:pStyle w:val="Normal"/>
            </w:pPr>
            <w:r w:rsidRPr="0F7F27E9" w:rsidR="56317650">
              <w:rPr>
                <w:rFonts w:ascii="Calibri" w:hAnsi="Calibri" w:eastAsia="Calibri" w:cs="Calibri"/>
                <w:sz w:val="22"/>
                <w:szCs w:val="22"/>
              </w:rPr>
              <w:t>Wolverton and Mowbray, Asheldon Road</w:t>
            </w:r>
          </w:p>
        </w:tc>
      </w:tr>
      <w:tr w:rsidR="0F7F27E9" w:rsidTr="2C54F075" w14:paraId="7D476274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51FC4C6B" w14:textId="5EF0D95A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HELAA Reference no.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1DB686CC" w14:textId="7B90D15A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21T00</w:t>
            </w:r>
            <w:r w:rsidRPr="0F7F27E9" w:rsidR="0C224701">
              <w:rPr>
                <w:rFonts w:ascii="Calibri" w:hAnsi="Calibri" w:eastAsia="Calibri" w:cs="Calibri"/>
                <w:sz w:val="22"/>
                <w:szCs w:val="22"/>
              </w:rPr>
              <w:t>7</w:t>
            </w:r>
          </w:p>
        </w:tc>
      </w:tr>
      <w:tr w:rsidR="0F7F27E9" w:rsidTr="2C54F075" w14:paraId="113FFCC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049EA835" w14:textId="535FD3AD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Approx. yield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E7BB3F7" w:rsidP="0F7F27E9" w:rsidRDefault="2E7BB3F7" w14:paraId="0A3379A4" w14:textId="2D55992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F7F27E9" w:rsidR="2E7BB3F7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</w:tr>
      <w:tr w:rsidR="0F7F27E9" w:rsidTr="2C54F075" w14:paraId="2E295B85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6504D8F" w:rsidRDefault="26504D8F" w14:paraId="136287E2" w14:textId="5CD7E3B5">
            <w:r w:rsidR="26504D8F">
              <w:drawing>
                <wp:inline wp14:editId="5B48D849" wp14:anchorId="68768E5D">
                  <wp:extent cx="4229100" cy="4229100"/>
                  <wp:effectExtent l="0" t="0" r="0" b="0"/>
                  <wp:docPr id="1903133464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05bb3c2798b1489f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29100" cy="4229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26504D8F">
              <w:drawing>
                <wp:inline wp14:editId="286F23C5" wp14:anchorId="6E831A0F">
                  <wp:extent cx="4238625" cy="2499022"/>
                  <wp:effectExtent l="0" t="0" r="0" b="0"/>
                  <wp:docPr id="1650767372" name="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"/>
                          <pic:cNvPicPr/>
                        </pic:nvPicPr>
                        <pic:blipFill>
                          <a:blip r:embed="R3234ce8a8cde4b14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38625" cy="2499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F7F27E9" w:rsidTr="2C54F075" w14:paraId="5600BDD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76DC18E2" w14:textId="015368A2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Suitable: How the principle of development is established </w:t>
            </w:r>
          </w:p>
        </w:tc>
        <w:tc>
          <w:tcPr>
            <w:tcW w:w="6465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P="0F7F27E9" w:rsidRDefault="0F7F27E9" w14:paraId="18A92147" w14:textId="475A419E">
            <w:pPr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site has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planning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permission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for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conversion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existing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villa (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which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comprises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2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dwellings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)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into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7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apartments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and 1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dwelling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house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(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giving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rise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a net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increase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2B74221C">
              <w:rPr>
                <w:rFonts w:ascii="Calibri" w:hAnsi="Calibri" w:eastAsia="Calibri" w:cs="Calibri"/>
                <w:sz w:val="22"/>
                <w:szCs w:val="22"/>
              </w:rPr>
              <w:t xml:space="preserve"> 6 units) - see P/2019/0323</w:t>
            </w:r>
            <w:r w:rsidRPr="0F7F27E9" w:rsidR="6B959BD6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="0F7F27E9" w:rsidTr="2C54F075" w14:paraId="7DB28E0B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72275283" w14:textId="0E61076E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Available: Any change in circumstances since principle established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P="0F7F27E9" w:rsidRDefault="0F7F27E9" w14:paraId="79C89023" w14:textId="4FB836D8">
            <w:pPr>
              <w:pStyle w:val="Normal"/>
            </w:pP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Given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permission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was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granted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876C183">
              <w:rPr>
                <w:rFonts w:ascii="Calibri" w:hAnsi="Calibri" w:eastAsia="Calibri" w:cs="Calibri"/>
                <w:sz w:val="22"/>
                <w:szCs w:val="22"/>
              </w:rPr>
              <w:t>on</w:t>
            </w:r>
            <w:proofErr w:type="spellEnd"/>
            <w:r w:rsidRPr="0F7F27E9" w:rsidR="0876C183">
              <w:rPr>
                <w:rFonts w:ascii="Calibri" w:hAnsi="Calibri" w:eastAsia="Calibri" w:cs="Calibri"/>
                <w:sz w:val="22"/>
                <w:szCs w:val="22"/>
              </w:rPr>
              <w:t xml:space="preserve"> 17 </w:t>
            </w:r>
            <w:proofErr w:type="spellStart"/>
            <w:r w:rsidRPr="0F7F27E9" w:rsidR="0876C183">
              <w:rPr>
                <w:rFonts w:ascii="Calibri" w:hAnsi="Calibri" w:eastAsia="Calibri" w:cs="Calibri"/>
                <w:sz w:val="22"/>
                <w:szCs w:val="22"/>
              </w:rPr>
              <w:t>October</w:t>
            </w:r>
            <w:proofErr w:type="spellEnd"/>
            <w:r w:rsidRPr="0F7F27E9" w:rsidR="0876C183">
              <w:rPr>
                <w:rFonts w:ascii="Calibri" w:hAnsi="Calibri" w:eastAsia="Calibri" w:cs="Calibri"/>
                <w:sz w:val="22"/>
                <w:szCs w:val="22"/>
              </w:rPr>
              <w:t xml:space="preserve"> 2019, </w:t>
            </w:r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it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would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appear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site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remains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available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although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it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is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noted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conditions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are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yet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be </w:t>
            </w: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discharged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.</w:t>
            </w:r>
          </w:p>
        </w:tc>
      </w:tr>
      <w:tr w:rsidR="0F7F27E9" w:rsidTr="2C54F075" w14:paraId="0F72E14A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3395EF94" w14:textId="5934254A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Achievable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4F29AFAB" w14:textId="7F115C18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F7F27E9" w:rsidTr="2C54F075" w14:paraId="5BF1B152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58CD3ABB" w14:textId="1E77BFBD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Customer Reference no.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5BD20156" w14:textId="2BD98097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F7F27E9" w:rsidTr="2C54F075" w14:paraId="61767F6C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6397765A" w14:textId="1D415689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Current use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3CFC4D43" w:rsidP="0F7F27E9" w:rsidRDefault="3CFC4D43" w14:paraId="0BB7D63B" w14:textId="5A669531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F7F27E9" w:rsidR="3CFC4D43">
              <w:rPr>
                <w:rFonts w:ascii="Calibri" w:hAnsi="Calibri" w:eastAsia="Calibri" w:cs="Calibri"/>
                <w:sz w:val="22"/>
                <w:szCs w:val="22"/>
              </w:rPr>
              <w:t>Residential.</w:t>
            </w:r>
          </w:p>
        </w:tc>
      </w:tr>
      <w:tr w:rsidR="0F7F27E9" w:rsidTr="2C54F075" w14:paraId="10AFE655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199B0FD3" w14:textId="21C52CA6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>Site description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4BF4439B" w:rsidRDefault="4BF4439B" w14:paraId="670BB912" w14:textId="22E144B0"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site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is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plot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a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large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detached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Victorian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Villa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currently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holds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two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dwellings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within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it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which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is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set off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Asheldon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Road in Torquay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within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Lincombes Conservation Area. The Villa sits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towards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front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plot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near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adjacent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highway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with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a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large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tree-lined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garden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rear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There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are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two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vehicular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access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points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,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main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Villa (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Wolverton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) has a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gravelled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drive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that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runs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along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side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building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adjacent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principal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elevation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building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.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dwelling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in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former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service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wing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(Mowbray) has a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visually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prominent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flat-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roofed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garage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and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hardstand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close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to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adjacent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highway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where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5-6 metres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of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the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front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stone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boundary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wall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has </w:t>
            </w:r>
            <w:proofErr w:type="spellStart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>been</w:t>
            </w:r>
            <w:proofErr w:type="spellEnd"/>
            <w:r w:rsidRPr="0F7F27E9" w:rsidR="4BF4439B">
              <w:rPr>
                <w:rFonts w:ascii="Calibri" w:hAnsi="Calibri" w:eastAsia="Calibri" w:cs="Calibri"/>
                <w:sz w:val="22"/>
                <w:szCs w:val="22"/>
              </w:rPr>
              <w:t xml:space="preserve"> removed.</w:t>
            </w:r>
          </w:p>
        </w:tc>
      </w:tr>
      <w:tr w:rsidR="0F7F27E9" w:rsidTr="2C54F075" w14:paraId="1F8018DD">
        <w:tc>
          <w:tcPr>
            <w:tcW w:w="25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665F1C06" w14:textId="38298F4B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Total site area (ha) </w:t>
            </w:r>
          </w:p>
        </w:tc>
        <w:tc>
          <w:tcPr>
            <w:tcW w:w="64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P="0F7F27E9" w:rsidRDefault="0F7F27E9" w14:paraId="014C9577" w14:textId="299C7A50">
            <w:pPr>
              <w:rPr>
                <w:rFonts w:ascii="Calibri" w:hAnsi="Calibri" w:eastAsia="Calibri" w:cs="Calibri"/>
                <w:sz w:val="22"/>
                <w:szCs w:val="22"/>
              </w:rPr>
            </w:pPr>
            <w:proofErr w:type="spellStart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Approximately</w:t>
            </w:r>
            <w:proofErr w:type="spellEnd"/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0.</w:t>
            </w:r>
            <w:r w:rsidRPr="0F7F27E9" w:rsidR="460AE02A">
              <w:rPr>
                <w:rFonts w:ascii="Calibri" w:hAnsi="Calibri" w:eastAsia="Calibri" w:cs="Calibri"/>
                <w:sz w:val="22"/>
                <w:szCs w:val="22"/>
              </w:rPr>
              <w:t>2285</w:t>
            </w:r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ha.</w:t>
            </w:r>
          </w:p>
        </w:tc>
      </w:tr>
    </w:tbl>
    <w:p xmlns:wp14="http://schemas.microsoft.com/office/word/2010/wordml" w14:paraId="29E316B4" wp14:textId="7FC22FB7">
      <w:r w:rsidRPr="0F7F27E9" w:rsidR="7A55A1BD">
        <w:rPr>
          <w:rFonts w:ascii="Arial" w:hAnsi="Arial" w:eastAsia="Arial" w:cs="Arial"/>
          <w:noProof w:val="0"/>
          <w:sz w:val="22"/>
          <w:szCs w:val="22"/>
          <w:lang w:val="en-US"/>
        </w:rPr>
        <w:t xml:space="preserve">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6750"/>
      </w:tblGrid>
      <w:tr w:rsidR="0F7F27E9" w:rsidTr="2C54F075" w14:paraId="5425243F">
        <w:tc>
          <w:tcPr>
            <w:tcW w:w="9015" w:type="dxa"/>
            <w:gridSpan w:val="2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6EBF04FD" w14:textId="259D68DD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  <w:p w:rsidR="0F7F27E9" w:rsidRDefault="0F7F27E9" w14:paraId="28342893" w14:textId="66EDC396">
            <w:r w:rsidRPr="0F7F27E9" w:rsidR="0F7F27E9">
              <w:rPr>
                <w:rFonts w:ascii="Calibri" w:hAnsi="Calibri" w:eastAsia="Calibri" w:cs="Calibri"/>
                <w:b w:val="1"/>
                <w:bCs w:val="1"/>
                <w:sz w:val="22"/>
                <w:szCs w:val="22"/>
              </w:rPr>
              <w:t xml:space="preserve">AVAILABILITY ASSESSMENT </w:t>
            </w:r>
          </w:p>
          <w:p w:rsidR="0F7F27E9" w:rsidRDefault="0F7F27E9" w14:paraId="23510B03" w14:textId="3F57DCAF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Reasonable prospect of delivery (timescale):</w:t>
            </w:r>
          </w:p>
          <w:p w:rsidR="0F7F27E9" w:rsidRDefault="0F7F27E9" w14:paraId="07A61B7A" w14:textId="68DD0BF4">
            <w:r w:rsidRPr="2C54F075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F7F27E9" w:rsidTr="2C54F075" w14:paraId="665FCD9B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3A1593C9" w14:textId="14C56880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The next 5 years</w:t>
            </w:r>
          </w:p>
        </w:tc>
        <w:tc>
          <w:tcPr>
            <w:tcW w:w="6750" w:type="dxa"/>
            <w:tcBorders>
              <w:top w:val="nil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229FECC8" w:rsidP="0F7F27E9" w:rsidRDefault="229FECC8" w14:paraId="6E99EF8B" w14:textId="754D17C2">
            <w:pPr>
              <w:rPr>
                <w:rFonts w:ascii="Calibri" w:hAnsi="Calibri" w:eastAsia="Calibri" w:cs="Calibri"/>
                <w:sz w:val="22"/>
                <w:szCs w:val="22"/>
              </w:rPr>
            </w:pPr>
            <w:r w:rsidRPr="0F7F27E9" w:rsidR="229FECC8">
              <w:rPr>
                <w:rFonts w:ascii="Calibri" w:hAnsi="Calibri" w:eastAsia="Calibri" w:cs="Calibri"/>
                <w:sz w:val="22"/>
                <w:szCs w:val="22"/>
              </w:rPr>
              <w:t>6</w:t>
            </w:r>
          </w:p>
        </w:tc>
      </w:tr>
      <w:tr w:rsidR="0F7F27E9" w:rsidTr="2C54F075" w14:paraId="6D668FBE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47D92DDA" w14:textId="1404B693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 6-10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1E52CF89" w14:textId="5E97B0BA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F7F27E9" w:rsidTr="2C54F075" w14:paraId="127AB233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7411509A" w14:textId="73712E53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An 11-15 year period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00132A00" w14:textId="3D1767E6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  <w:tr w:rsidR="0F7F27E9" w:rsidTr="2C54F075" w14:paraId="4C831F67">
        <w:tc>
          <w:tcPr>
            <w:tcW w:w="2265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38D5ADBE" w14:textId="5CEF6F75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>Later than 15 years</w:t>
            </w:r>
          </w:p>
        </w:tc>
        <w:tc>
          <w:tcPr>
            <w:tcW w:w="6750" w:type="dxa"/>
            <w:tcBorders>
              <w:top w:val="single" w:sz="8"/>
              <w:left w:val="single" w:sz="8"/>
              <w:bottom w:val="single" w:sz="8"/>
              <w:right w:val="single" w:sz="8"/>
            </w:tcBorders>
            <w:tcMar/>
            <w:vAlign w:val="top"/>
          </w:tcPr>
          <w:p w:rsidR="0F7F27E9" w:rsidRDefault="0F7F27E9" w14:paraId="038D8B28" w14:textId="315BF933">
            <w:r w:rsidRPr="0F7F27E9" w:rsidR="0F7F27E9">
              <w:rPr>
                <w:rFonts w:ascii="Calibri" w:hAnsi="Calibri" w:eastAsia="Calibri" w:cs="Calibri"/>
                <w:sz w:val="22"/>
                <w:szCs w:val="22"/>
              </w:rPr>
              <w:t xml:space="preserve"> </w:t>
            </w:r>
          </w:p>
        </w:tc>
      </w:tr>
    </w:tbl>
    <w:p xmlns:wp14="http://schemas.microsoft.com/office/word/2010/wordml" w:rsidP="0F7F27E9" w14:paraId="60EFAD66" wp14:textId="469F554C">
      <w:pPr>
        <w:rPr>
          <w:rFonts w:ascii="Arial" w:hAnsi="Arial" w:eastAsia="Arial" w:cs="Arial"/>
          <w:noProof w:val="0"/>
          <w:sz w:val="22"/>
          <w:szCs w:val="22"/>
          <w:lang w:val="en-US"/>
        </w:rPr>
      </w:pPr>
    </w:p>
    <w:p xmlns:wp14="http://schemas.microsoft.com/office/word/2010/wordml" w:rsidP="0F7F27E9" w14:paraId="2C078E63" wp14:textId="05E6B870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71F6474"/>
    <w:rsid w:val="07E624AF"/>
    <w:rsid w:val="0876C183"/>
    <w:rsid w:val="0BD4C968"/>
    <w:rsid w:val="0C224701"/>
    <w:rsid w:val="0F7F27E9"/>
    <w:rsid w:val="1C158CD4"/>
    <w:rsid w:val="229FECC8"/>
    <w:rsid w:val="236C440A"/>
    <w:rsid w:val="26504D8F"/>
    <w:rsid w:val="2B74221C"/>
    <w:rsid w:val="2C54F075"/>
    <w:rsid w:val="2E7BB3F7"/>
    <w:rsid w:val="356168BC"/>
    <w:rsid w:val="383C1922"/>
    <w:rsid w:val="3CFC4D43"/>
    <w:rsid w:val="460AE02A"/>
    <w:rsid w:val="467D8349"/>
    <w:rsid w:val="4945FFDF"/>
    <w:rsid w:val="4945FFDF"/>
    <w:rsid w:val="4BF4439B"/>
    <w:rsid w:val="56317650"/>
    <w:rsid w:val="671F6474"/>
    <w:rsid w:val="6B959BD6"/>
    <w:rsid w:val="6C90C0D3"/>
    <w:rsid w:val="6C90C0D3"/>
    <w:rsid w:val="7474C983"/>
    <w:rsid w:val="7A55A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F6474"/>
  <w15:chartTrackingRefBased/>
  <w15:docId w15:val="{6A842142-BBA1-42E4-880F-7144513748B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png" Id="R05bb3c2798b1489f" /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image" Target="/media/image2.png" Id="R3234ce8a8cde4b14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512EDD-DBE7-40E7-A1A5-1A954B7B43B4}"/>
</file>

<file path=customXml/itemProps2.xml><?xml version="1.0" encoding="utf-8"?>
<ds:datastoreItem xmlns:ds="http://schemas.openxmlformats.org/officeDocument/2006/customXml" ds:itemID="{8209D9CB-190B-4F4C-B013-B038027B9C5E}"/>
</file>

<file path=customXml/itemProps3.xml><?xml version="1.0" encoding="utf-8"?>
<ds:datastoreItem xmlns:ds="http://schemas.openxmlformats.org/officeDocument/2006/customXml" ds:itemID="{A8169145-2B1D-484E-9B78-D04DD97A1DC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Davies, Craig</dc:creator>
  <keywords/>
  <dc:description/>
  <lastModifiedBy>Davies, Craig</lastModifiedBy>
  <dcterms:created xsi:type="dcterms:W3CDTF">2021-10-18T11:51:53.0000000Z</dcterms:created>
  <dcterms:modified xsi:type="dcterms:W3CDTF">2021-11-23T17:32:18.8464209Z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