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6383"/>
      </w:tblGrid>
      <w:tr w:rsidRPr="002B13CB" w:rsidR="009E65EC" w:rsidTr="674758E2" w14:paraId="59D9977F" w14:textId="77777777">
        <w:tc>
          <w:tcPr>
            <w:tcW w:w="9016" w:type="dxa"/>
            <w:gridSpan w:val="2"/>
            <w:tcMar/>
          </w:tcPr>
          <w:p w:rsidRPr="00247134" w:rsidR="009E65EC" w:rsidP="674758E2" w:rsidRDefault="009E65EC" w14:paraId="16EE9512" w14:textId="0163899A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74758E2" w:rsidR="009E65EC">
              <w:rPr>
                <w:b w:val="1"/>
                <w:bCs w:val="1"/>
              </w:rPr>
              <w:t>SITE OVERVIEW</w:t>
            </w:r>
            <w:r w:rsidRPr="674758E2" w:rsidR="3DB38AFC">
              <w:rPr>
                <w:b w:val="1"/>
                <w:bCs w:val="1"/>
              </w:rPr>
              <w:t xml:space="preserve">: </w:t>
            </w:r>
            <w:r w:rsidRPr="674758E2" w:rsidR="3DB38AF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Pr="002B13CB" w:rsidR="00EA76CC" w:rsidTr="674758E2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A22225" w14:paraId="4B7E6320" w14:textId="0EF5F1A4">
            <w:pPr>
              <w:rPr>
                <w:b/>
              </w:rPr>
            </w:pPr>
            <w:r>
              <w:rPr>
                <w:b/>
              </w:rPr>
              <w:t>Torquay</w:t>
            </w:r>
          </w:p>
        </w:tc>
      </w:tr>
      <w:tr w:rsidRPr="002B13CB" w:rsidR="00EA76CC" w:rsidTr="674758E2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A228ED" w:rsidRDefault="00030831" w14:paraId="328A5D3F" w14:textId="44746606">
            <w:r w:rsidR="00030831">
              <w:rPr/>
              <w:t xml:space="preserve">Land south of </w:t>
            </w:r>
            <w:r w:rsidR="00030831">
              <w:rPr/>
              <w:t>Long</w:t>
            </w:r>
            <w:r w:rsidR="00030831">
              <w:rPr/>
              <w:t>park</w:t>
            </w:r>
            <w:r w:rsidR="00030831">
              <w:rPr/>
              <w:t xml:space="preserve"> Hill, Maidencombe </w:t>
            </w:r>
          </w:p>
        </w:tc>
      </w:tr>
      <w:tr w:rsidRPr="002B13CB" w:rsidR="009E65EC" w:rsidTr="674758E2" w14:paraId="2082E1E5" w14:textId="77777777">
        <w:tc>
          <w:tcPr>
            <w:tcW w:w="2633" w:type="dxa"/>
            <w:tcMar/>
          </w:tcPr>
          <w:p w:rsidRPr="002B13CB" w:rsidR="009E65EC" w:rsidP="00A228ED" w:rsidRDefault="009E65EC" w14:paraId="75C6AF11" w14:textId="77777777">
            <w:pPr>
              <w:rPr>
                <w:b/>
              </w:rPr>
            </w:pPr>
            <w:r w:rsidRPr="002B13CB">
              <w:rPr>
                <w:b/>
              </w:rPr>
              <w:t>HELAA Reference no.</w:t>
            </w:r>
          </w:p>
        </w:tc>
        <w:tc>
          <w:tcPr>
            <w:tcW w:w="6383" w:type="dxa"/>
            <w:tcMar/>
          </w:tcPr>
          <w:p w:rsidRPr="003F777D" w:rsidR="009E65EC" w:rsidP="00F13BF4" w:rsidRDefault="00030831" w14:paraId="7177EB18" w14:textId="24FE1069">
            <w:pPr>
              <w:outlineLvl w:val="0"/>
              <w:rPr>
                <w:noProof/>
              </w:rPr>
            </w:pPr>
            <w:r w:rsidRPr="1F14056E" w:rsidR="00030831">
              <w:rPr>
                <w:noProof/>
              </w:rPr>
              <w:t>21T1</w:t>
            </w:r>
            <w:r w:rsidRPr="1F14056E" w:rsidR="27466561">
              <w:rPr>
                <w:noProof/>
              </w:rPr>
              <w:t>43</w:t>
            </w:r>
          </w:p>
        </w:tc>
      </w:tr>
      <w:tr w:rsidRPr="002B13CB" w:rsidR="001C70E8" w:rsidTr="674758E2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0100FE" w:rsidR="00135146" w:rsidP="1F14056E" w:rsidRDefault="00030831" w14:paraId="7447AB3B" w14:textId="70B5E1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/>
              </w:rPr>
            </w:pPr>
            <w:r w:rsidRPr="1F14056E" w:rsidR="6A0343A5">
              <w:rPr>
                <w:noProof/>
              </w:rPr>
              <w:t>20</w:t>
            </w:r>
          </w:p>
        </w:tc>
      </w:tr>
      <w:tr w:rsidRPr="002B13CB" w:rsidR="00F13BF4" w:rsidTr="674758E2" w14:paraId="160921AF" w14:textId="77777777">
        <w:tc>
          <w:tcPr>
            <w:tcW w:w="2633" w:type="dxa"/>
            <w:tcMar/>
          </w:tcPr>
          <w:p w:rsidR="00F13BF4" w:rsidP="00F13BF4" w:rsidRDefault="00F13BF4" w14:paraId="7B90D0CD" w14:textId="77777777">
            <w:pPr>
              <w:rPr>
                <w:b/>
              </w:rPr>
            </w:pPr>
            <w:r>
              <w:rPr>
                <w:b/>
              </w:rPr>
              <w:t>Suitable</w:t>
            </w:r>
          </w:p>
        </w:tc>
        <w:tc>
          <w:tcPr>
            <w:tcW w:w="6383" w:type="dxa"/>
            <w:tcMar/>
          </w:tcPr>
          <w:p w:rsidRPr="000100FE" w:rsidR="00F13BF4" w:rsidP="00F13BF4" w:rsidRDefault="000100FE" w14:paraId="7DA74B85" w14:textId="5246404C">
            <w:r w:rsidRPr="000100FE">
              <w:t>See below</w:t>
            </w:r>
          </w:p>
        </w:tc>
      </w:tr>
      <w:tr w:rsidRPr="002B13CB" w:rsidR="00F13BF4" w:rsidTr="674758E2" w14:paraId="15B6F10E" w14:textId="77777777">
        <w:tc>
          <w:tcPr>
            <w:tcW w:w="2633" w:type="dxa"/>
            <w:tcMar/>
          </w:tcPr>
          <w:p w:rsidR="00F13BF4" w:rsidP="00F13BF4" w:rsidRDefault="00F13BF4" w14:paraId="775DED7E" w14:textId="77777777">
            <w:pPr>
              <w:rPr>
                <w:b/>
              </w:rPr>
            </w:pPr>
            <w:r>
              <w:rPr>
                <w:b/>
              </w:rPr>
              <w:t>Available</w:t>
            </w:r>
          </w:p>
        </w:tc>
        <w:tc>
          <w:tcPr>
            <w:tcW w:w="6383" w:type="dxa"/>
            <w:tcMar/>
          </w:tcPr>
          <w:p w:rsidRPr="003F777D" w:rsidR="00F13BF4" w:rsidP="00F13BF4" w:rsidRDefault="000100FE" w14:paraId="696D0071" w14:textId="0CED957F">
            <w:pPr>
              <w:outlineLvl w:val="0"/>
              <w:rPr>
                <w:noProof/>
              </w:rPr>
            </w:pPr>
            <w:r>
              <w:rPr>
                <w:noProof/>
              </w:rPr>
              <w:t>Not clear</w:t>
            </w:r>
          </w:p>
        </w:tc>
      </w:tr>
      <w:tr w:rsidRPr="002B13CB" w:rsidR="00F13BF4" w:rsidTr="674758E2" w14:paraId="3B6534BD" w14:textId="77777777">
        <w:trPr>
          <w:trHeight w:val="177"/>
        </w:trPr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3F777D" w:rsidR="00F13BF4" w:rsidP="00F13BF4" w:rsidRDefault="000100FE" w14:paraId="0E32514A" w14:textId="738B8866">
            <w:r>
              <w:t xml:space="preserve">Uplift in land value would be likely to render development viable. </w:t>
            </w:r>
          </w:p>
        </w:tc>
      </w:tr>
      <w:tr w:rsidRPr="002B13CB" w:rsidR="00F13BF4" w:rsidTr="674758E2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5158DC7D"/>
        </w:tc>
      </w:tr>
      <w:tr w:rsidRPr="002B13CB" w:rsidR="00135146" w:rsidTr="674758E2" w14:paraId="74A5EAD2" w14:textId="77777777">
        <w:tc>
          <w:tcPr>
            <w:tcW w:w="2633" w:type="dxa"/>
            <w:tcMar/>
          </w:tcPr>
          <w:p w:rsidRPr="002B13CB" w:rsidR="00135146" w:rsidP="00135146" w:rsidRDefault="00135146" w14:paraId="28BF12E5" w14:textId="77777777">
            <w:pPr>
              <w:rPr>
                <w:b/>
              </w:rPr>
            </w:pPr>
            <w:r>
              <w:rPr>
                <w:b/>
              </w:rPr>
              <w:t xml:space="preserve">Source of Site (call for sites, Local Plan allocation etc.).  </w:t>
            </w:r>
          </w:p>
        </w:tc>
        <w:tc>
          <w:tcPr>
            <w:tcW w:w="6383" w:type="dxa"/>
            <w:tcMar/>
          </w:tcPr>
          <w:p w:rsidRPr="003F777D" w:rsidR="00135146" w:rsidP="00135146" w:rsidRDefault="000100FE" w14:paraId="45449F73" w14:textId="46E9466E">
            <w:pPr>
              <w:rPr>
                <w:color w:val="FF0000"/>
              </w:rPr>
            </w:pPr>
            <w:r w:rsidRPr="000100FE">
              <w:t>Post Panel site addition</w:t>
            </w:r>
            <w:r>
              <w:rPr>
                <w:color w:val="FF0000"/>
              </w:rPr>
              <w:t xml:space="preserve">. </w:t>
            </w:r>
          </w:p>
        </w:tc>
      </w:tr>
      <w:tr w:rsidRPr="002B13CB" w:rsidR="00135146" w:rsidTr="674758E2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626FFE" w14:paraId="3DB0CA6F" w14:textId="3385C805">
            <w:r>
              <w:t xml:space="preserve">Agriculture </w:t>
            </w:r>
          </w:p>
        </w:tc>
      </w:tr>
      <w:tr w:rsidRPr="002B13CB" w:rsidR="00135146" w:rsidTr="674758E2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77777777">
            <w:pPr>
              <w:rPr>
                <w:b/>
              </w:rPr>
            </w:pPr>
            <w:r w:rsidRPr="002B13CB">
              <w:rPr>
                <w:b/>
              </w:rPr>
              <w:t>Site descriptions</w:t>
            </w:r>
          </w:p>
        </w:tc>
        <w:tc>
          <w:tcPr>
            <w:tcW w:w="6383" w:type="dxa"/>
            <w:tcMar/>
          </w:tcPr>
          <w:p w:rsidR="00135146" w:rsidP="00135146" w:rsidRDefault="000100FE" w14:paraId="3BBB59BF" w14:textId="37BD833F">
            <w:r w:rsidR="6652F7A9">
              <w:rPr/>
              <w:t>L</w:t>
            </w:r>
            <w:r w:rsidR="000100FE">
              <w:rPr/>
              <w:t xml:space="preserve">and between </w:t>
            </w:r>
            <w:r w:rsidR="209B9DA6">
              <w:rPr/>
              <w:t xml:space="preserve"> Ridge Road, </w:t>
            </w:r>
            <w:r w:rsidR="000100FE">
              <w:rPr/>
              <w:t>Longpark</w:t>
            </w:r>
            <w:r w:rsidR="000100FE">
              <w:rPr/>
              <w:t xml:space="preserve"> Hill, Stoke Road and Teignmouth Road, </w:t>
            </w:r>
            <w:proofErr w:type="spellStart"/>
            <w:r w:rsidR="000100FE">
              <w:rPr/>
              <w:t>Maidencombe</w:t>
            </w:r>
            <w:proofErr w:type="spellEnd"/>
            <w:r w:rsidR="000100FE">
              <w:rPr/>
              <w:t xml:space="preserve"> </w:t>
            </w:r>
          </w:p>
          <w:p w:rsidRPr="00EA76CC" w:rsidR="00135146" w:rsidP="00135146" w:rsidRDefault="00135146" w14:paraId="1D6ECC95" w14:textId="77777777"/>
        </w:tc>
      </w:tr>
      <w:tr w:rsidRPr="002B13CB" w:rsidR="00135146" w:rsidTr="674758E2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77777777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F14570" w:rsidR="00135146" w:rsidP="00135146" w:rsidRDefault="00135146" w14:paraId="4BC8F78B" w14:textId="1BD3ED96"/>
        </w:tc>
      </w:tr>
      <w:tr w:rsidRPr="002B13CB" w:rsidR="00135146" w:rsidTr="674758E2" w14:paraId="47978BE2" w14:textId="77777777">
        <w:tc>
          <w:tcPr>
            <w:tcW w:w="2633" w:type="dxa"/>
            <w:tcMar/>
          </w:tcPr>
          <w:p w:rsidRPr="002B13CB" w:rsidR="00135146" w:rsidP="00135146" w:rsidRDefault="00135146" w14:paraId="1F267038" w14:textId="77777777">
            <w:pPr>
              <w:rPr>
                <w:b/>
              </w:rPr>
            </w:pPr>
            <w:r w:rsidRPr="002B13CB">
              <w:rPr>
                <w:b/>
              </w:rPr>
              <w:t>Gross site area (ha)</w:t>
            </w:r>
          </w:p>
        </w:tc>
        <w:tc>
          <w:tcPr>
            <w:tcW w:w="6383" w:type="dxa"/>
            <w:tcMar/>
          </w:tcPr>
          <w:p w:rsidRPr="00F14570" w:rsidR="00135146" w:rsidP="1F14056E" w:rsidRDefault="000100FE" w14:paraId="598E6A79" w14:textId="58B8B6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12AAD10">
              <w:rPr/>
              <w:t>2.</w:t>
            </w:r>
            <w:r w:rsidR="2E747773">
              <w:rPr/>
              <w:t>5</w:t>
            </w:r>
          </w:p>
        </w:tc>
      </w:tr>
      <w:tr w:rsidRPr="002B13CB" w:rsidR="00135146" w:rsidTr="674758E2" w14:paraId="368FB17E" w14:textId="77777777">
        <w:tc>
          <w:tcPr>
            <w:tcW w:w="9016" w:type="dxa"/>
            <w:gridSpan w:val="2"/>
            <w:tcMar/>
          </w:tcPr>
          <w:p w:rsidR="00135146" w:rsidP="00135146" w:rsidRDefault="00135146" w14:paraId="14CEA387" w14:textId="3F3D5E41">
            <w:pPr>
              <w:rPr>
                <w:i/>
                <w:noProof/>
                <w:lang w:eastAsia="en-GB"/>
              </w:rPr>
            </w:pPr>
          </w:p>
          <w:p w:rsidR="00067052" w:rsidP="1F14056E" w:rsidRDefault="009F7A1C" w14:paraId="5A81B6AD" w14:textId="09990B2D">
            <w:pPr>
              <w:pStyle w:val="Normal"/>
              <w:rPr>
                <w:noProof/>
                <w:lang w:eastAsia="en-GB"/>
              </w:rPr>
            </w:pPr>
            <w:r w:rsidR="3A4F559D">
              <w:drawing>
                <wp:inline wp14:editId="7126B2B5" wp14:anchorId="531327BF">
                  <wp:extent cx="2200275" cy="2209800"/>
                  <wp:effectExtent l="0" t="0" r="0" b="0"/>
                  <wp:docPr id="1679867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09429c1082248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A4F559D">
              <w:drawing>
                <wp:inline wp14:editId="22F415B9" wp14:anchorId="6E89B05F">
                  <wp:extent cx="3295650" cy="2171700"/>
                  <wp:effectExtent l="0" t="0" r="0" b="0"/>
                  <wp:docPr id="129611684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5eef07c39cc46e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052" w:rsidP="00135146" w:rsidRDefault="00067052" w14:paraId="06FB79B4" w14:textId="77777777">
            <w:pPr>
              <w:rPr>
                <w:i/>
                <w:noProof/>
                <w:lang w:eastAsia="en-GB"/>
              </w:rPr>
            </w:pPr>
          </w:p>
          <w:p w:rsidRPr="002B13CB" w:rsidR="00067052" w:rsidP="00135146" w:rsidRDefault="00067052" w14:paraId="1BDE3478" w14:textId="38F415F7">
            <w:pPr>
              <w:rPr>
                <w:i/>
                <w:noProof/>
                <w:lang w:eastAsia="en-GB"/>
              </w:rPr>
            </w:pPr>
          </w:p>
        </w:tc>
      </w:tr>
      <w:tr w:rsidR="00135146" w:rsidTr="674758E2" w14:paraId="0E0D2E35" w14:textId="77777777">
        <w:tc>
          <w:tcPr>
            <w:tcW w:w="9016" w:type="dxa"/>
            <w:gridSpan w:val="2"/>
            <w:tcMar/>
          </w:tcPr>
          <w:p w:rsidRPr="009273D3" w:rsidR="00135146" w:rsidP="00135146" w:rsidRDefault="00135146" w14:paraId="4198F6B4" w14:textId="77777777"/>
          <w:p w:rsidRPr="009273D3" w:rsidR="00135146" w:rsidP="00135146" w:rsidRDefault="00135146" w14:paraId="243D3F9E" w14:textId="77777777">
            <w:pPr>
              <w:rPr>
                <w:b/>
              </w:rPr>
            </w:pPr>
            <w:r w:rsidRPr="009273D3">
              <w:rPr>
                <w:b/>
              </w:rPr>
              <w:t>SUITABILITY ASSESSMENT: STAGE A</w:t>
            </w:r>
          </w:p>
          <w:p w:rsidRPr="009273D3" w:rsidR="00135146" w:rsidP="00135146" w:rsidRDefault="00135146" w14:paraId="5CBE5D46" w14:textId="77777777">
            <w:pPr>
              <w:rPr>
                <w:b/>
              </w:rPr>
            </w:pPr>
          </w:p>
        </w:tc>
      </w:tr>
      <w:tr w:rsidR="00A87A88" w:rsidTr="674758E2" w14:paraId="1A99C3B7" w14:textId="77777777">
        <w:tc>
          <w:tcPr>
            <w:tcW w:w="2633" w:type="dxa"/>
            <w:tcMar/>
          </w:tcPr>
          <w:p w:rsidRPr="004520A9" w:rsidR="00A87A88" w:rsidP="00135146" w:rsidRDefault="00A87A88" w14:paraId="77491A3C" w14:textId="1148C162">
            <w:pPr>
              <w:rPr>
                <w:b/>
              </w:rPr>
            </w:pPr>
            <w:r w:rsidRPr="004520A9">
              <w:rPr>
                <w:b/>
              </w:rPr>
              <w:t>Strategic potential:</w:t>
            </w:r>
            <w:r>
              <w:rPr>
                <w:b/>
              </w:rPr>
              <w:t xml:space="preserve"> </w:t>
            </w:r>
            <w:r w:rsidRPr="004520A9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0100FE" w:rsidR="00A87A88" w:rsidP="1F14056E" w:rsidRDefault="00067052" w14:paraId="2AB270AF" w14:textId="31BE5FB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C03236F">
              <w:rPr/>
              <w:t xml:space="preserve">Only in conjunction with nearby sites. </w:t>
            </w:r>
          </w:p>
        </w:tc>
      </w:tr>
      <w:tr w:rsidR="00135146" w:rsidTr="674758E2" w14:paraId="11681D7C" w14:textId="77777777">
        <w:tc>
          <w:tcPr>
            <w:tcW w:w="2633" w:type="dxa"/>
            <w:tcMar/>
          </w:tcPr>
          <w:p w:rsidRPr="005C7BC0" w:rsidR="00135146" w:rsidP="00135146" w:rsidRDefault="00135146" w14:paraId="17F60AAA" w14:textId="77777777">
            <w:pPr>
              <w:rPr>
                <w:b/>
              </w:rPr>
            </w:pPr>
            <w:r w:rsidRPr="005C7BC0">
              <w:rPr>
                <w:b/>
              </w:rPr>
              <w:t>Housing?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5503E4A9" w14:textId="6D3EB7D8">
            <w:r w:rsidR="00067052">
              <w:rPr/>
              <w:t xml:space="preserve">Circa </w:t>
            </w:r>
            <w:r w:rsidR="3C7273D0">
              <w:rPr/>
              <w:t>20</w:t>
            </w:r>
            <w:r w:rsidR="00067052">
              <w:rPr/>
              <w:t xml:space="preserve"> </w:t>
            </w:r>
          </w:p>
        </w:tc>
      </w:tr>
      <w:tr w:rsidR="00135146" w:rsidTr="674758E2" w14:paraId="4189B5A2" w14:textId="77777777">
        <w:tc>
          <w:tcPr>
            <w:tcW w:w="2633" w:type="dxa"/>
            <w:tcMar/>
          </w:tcPr>
          <w:p w:rsidRPr="005C7BC0" w:rsidR="00135146" w:rsidP="00135146" w:rsidRDefault="00135146" w14:paraId="623FDBB6" w14:textId="77777777">
            <w:pPr>
              <w:rPr>
                <w:b/>
              </w:rPr>
            </w:pPr>
            <w:r w:rsidRPr="005C7BC0">
              <w:rPr>
                <w:b/>
              </w:rPr>
              <w:t>Employment?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13B5D3C4" w14:textId="41213EE9">
            <w:r w:rsidRPr="009273D3">
              <w:t>No -landscape impact</w:t>
            </w:r>
          </w:p>
        </w:tc>
      </w:tr>
      <w:tr w:rsidR="00135146" w:rsidTr="674758E2" w14:paraId="4A60051F" w14:textId="77777777">
        <w:tc>
          <w:tcPr>
            <w:tcW w:w="2633" w:type="dxa"/>
            <w:tcMar/>
          </w:tcPr>
          <w:p w:rsidRPr="005C7BC0" w:rsidR="00135146" w:rsidP="00135146" w:rsidRDefault="00135146" w14:paraId="5B09E0DD" w14:textId="77777777">
            <w:pPr>
              <w:rPr>
                <w:b/>
              </w:rPr>
            </w:pPr>
            <w:r>
              <w:rPr>
                <w:b/>
              </w:rPr>
              <w:t>Other Use?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1DAB2967" w14:textId="6AF64D4D">
            <w:r w:rsidRPr="009273D3">
              <w:t xml:space="preserve">No </w:t>
            </w:r>
          </w:p>
        </w:tc>
      </w:tr>
      <w:tr w:rsidR="00135146" w:rsidTr="674758E2" w14:paraId="13EFB393" w14:textId="77777777">
        <w:trPr>
          <w:trHeight w:val="377"/>
        </w:trPr>
        <w:tc>
          <w:tcPr>
            <w:tcW w:w="2633" w:type="dxa"/>
            <w:tcMar/>
          </w:tcPr>
          <w:p w:rsidRPr="005C7BC0" w:rsidR="00135146" w:rsidP="00135146" w:rsidRDefault="00135146" w14:paraId="60B152A6" w14:textId="77777777">
            <w:pPr>
              <w:rPr>
                <w:b/>
              </w:rPr>
            </w:pPr>
            <w:r w:rsidRPr="005C7BC0">
              <w:rPr>
                <w:b/>
              </w:rPr>
              <w:t>Biodiversity- Within SAC/SSSI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0DBC82B9" w14:textId="5D51E3FB">
            <w:r w:rsidRPr="009273D3">
              <w:t xml:space="preserve">Agricultural land: </w:t>
            </w:r>
          </w:p>
        </w:tc>
      </w:tr>
      <w:tr w:rsidR="00135146" w:rsidTr="674758E2" w14:paraId="419717F8" w14:textId="77777777">
        <w:trPr>
          <w:trHeight w:val="171"/>
        </w:trPr>
        <w:tc>
          <w:tcPr>
            <w:tcW w:w="2633" w:type="dxa"/>
            <w:tcMar/>
          </w:tcPr>
          <w:p w:rsidRPr="005C7BC0" w:rsidR="00135146" w:rsidP="00135146" w:rsidRDefault="00135146" w14:paraId="6DC8C300" w14:textId="77777777">
            <w:pPr>
              <w:rPr>
                <w:b/>
              </w:rPr>
            </w:pPr>
            <w:r w:rsidRPr="005C7BC0">
              <w:rPr>
                <w:b/>
              </w:rPr>
              <w:t>Flood Zone 3b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49EDC478" w14:textId="3D5E1BC0">
            <w:r w:rsidRPr="009273D3">
              <w:t>No</w:t>
            </w:r>
          </w:p>
        </w:tc>
      </w:tr>
      <w:tr w:rsidR="00135146" w:rsidTr="674758E2" w14:paraId="17D0EA1C" w14:textId="77777777">
        <w:tc>
          <w:tcPr>
            <w:tcW w:w="2633" w:type="dxa"/>
            <w:tcMar/>
          </w:tcPr>
          <w:p w:rsidRPr="005C7BC0" w:rsidR="00135146" w:rsidP="00135146" w:rsidRDefault="00135146" w14:paraId="5C7F5FE8" w14:textId="77777777">
            <w:pPr>
              <w:rPr>
                <w:b/>
              </w:rPr>
            </w:pPr>
            <w:r>
              <w:rPr>
                <w:b/>
              </w:rPr>
              <w:t>Other NPPF Showstoppers (not policy constraints)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1D8F26D1" w14:textId="0FBC48B9">
            <w:r w:rsidRPr="009273D3">
              <w:t xml:space="preserve">No </w:t>
            </w:r>
          </w:p>
        </w:tc>
      </w:tr>
      <w:tr w:rsidR="00135146" w:rsidTr="674758E2" w14:paraId="6BA1C20C" w14:textId="77777777">
        <w:tc>
          <w:tcPr>
            <w:tcW w:w="2633" w:type="dxa"/>
            <w:tcMar/>
          </w:tcPr>
          <w:p w:rsidRPr="005C7BC0" w:rsidR="00135146" w:rsidP="00135146" w:rsidRDefault="00135146" w14:paraId="44B1E0E7" w14:textId="77777777">
            <w:pPr>
              <w:rPr>
                <w:b/>
              </w:rPr>
            </w:pPr>
            <w:r w:rsidRPr="005C7BC0">
              <w:rPr>
                <w:b/>
              </w:rPr>
              <w:t>Conclusion</w:t>
            </w:r>
          </w:p>
        </w:tc>
        <w:tc>
          <w:tcPr>
            <w:tcW w:w="6383" w:type="dxa"/>
            <w:tcMar/>
          </w:tcPr>
          <w:p w:rsidRPr="009273D3" w:rsidR="00135146" w:rsidP="00135146" w:rsidRDefault="00067052" w14:paraId="770DE89D" w14:textId="213E9710">
            <w:r w:rsidRPr="009273D3">
              <w:t>Distance from services and landscape impact</w:t>
            </w:r>
            <w:r w:rsidR="000100FE">
              <w:t xml:space="preserve"> are likely to be constraints. </w:t>
            </w:r>
          </w:p>
        </w:tc>
      </w:tr>
      <w:tr w:rsidR="00135146" w:rsidTr="674758E2" w14:paraId="2F5715DE" w14:textId="77777777">
        <w:tc>
          <w:tcPr>
            <w:tcW w:w="2633" w:type="dxa"/>
            <w:tcMar/>
          </w:tcPr>
          <w:p w:rsidRPr="004520A9" w:rsidR="00135146" w:rsidP="00135146" w:rsidRDefault="00135146" w14:paraId="379E3FAB" w14:textId="77777777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="00135146" w:rsidP="00135146" w:rsidRDefault="00135146" w14:paraId="4CFD5FF5" w14:textId="77777777"/>
        </w:tc>
      </w:tr>
    </w:tbl>
    <w:p w:rsidR="00247134" w:rsidP="009E65EC" w:rsidRDefault="00247134" w14:paraId="3AEEB3A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E65EC" w:rsidTr="1F14056E" w14:paraId="1B27E252" w14:textId="77777777">
        <w:tc>
          <w:tcPr>
            <w:tcW w:w="9016" w:type="dxa"/>
            <w:gridSpan w:val="2"/>
            <w:tcMar/>
          </w:tcPr>
          <w:p w:rsidR="009E65EC" w:rsidP="00A228ED" w:rsidRDefault="00247134" w14:paraId="726EC483" w14:textId="77777777">
            <w:r>
              <w:rPr>
                <w:rFonts w:ascii="Arial" w:hAnsi="Arial" w:cs="Arial"/>
              </w:rPr>
              <w:br w:type="page"/>
            </w:r>
          </w:p>
          <w:p w:rsidR="009E65EC" w:rsidP="00A228ED" w:rsidRDefault="009E65EC" w14:paraId="1E75D44C" w14:textId="77777777">
            <w:pPr>
              <w:rPr>
                <w:i/>
              </w:rPr>
            </w:pPr>
            <w:r>
              <w:rPr>
                <w:b/>
              </w:rPr>
              <w:lastRenderedPageBreak/>
              <w:t xml:space="preserve">SUITABILITY ASSESSMENT: STAGE B </w:t>
            </w:r>
          </w:p>
          <w:p w:rsidR="009E65EC" w:rsidP="00A228ED" w:rsidRDefault="009E65EC" w14:paraId="295E2115" w14:textId="77777777"/>
        </w:tc>
      </w:tr>
      <w:tr w:rsidR="009E65EC" w:rsidTr="1F14056E" w14:paraId="4EEA3A0F" w14:textId="77777777">
        <w:trPr>
          <w:trHeight w:val="474"/>
        </w:trPr>
        <w:tc>
          <w:tcPr>
            <w:tcW w:w="4248" w:type="dxa"/>
            <w:tcMar/>
          </w:tcPr>
          <w:p w:rsidRPr="00463380" w:rsidR="009E65EC" w:rsidP="00A228ED" w:rsidRDefault="009E65EC" w14:paraId="64222666" w14:textId="77777777">
            <w:pPr>
              <w:rPr>
                <w:b/>
              </w:rPr>
            </w:pPr>
            <w:r w:rsidRPr="00463380">
              <w:rPr>
                <w:b/>
              </w:rPr>
              <w:lastRenderedPageBreak/>
              <w:t>Access</w:t>
            </w:r>
          </w:p>
        </w:tc>
        <w:tc>
          <w:tcPr>
            <w:tcW w:w="4768" w:type="dxa"/>
            <w:tcMar/>
          </w:tcPr>
          <w:p w:rsidR="009E65EC" w:rsidP="0051685F" w:rsidRDefault="00067052" w14:paraId="3CEF99C0" w14:textId="28BB49B8">
            <w:r w:rsidR="00067052">
              <w:rPr/>
              <w:t>From</w:t>
            </w:r>
            <w:r w:rsidR="00030831">
              <w:rPr/>
              <w:t xml:space="preserve"> A379 </w:t>
            </w:r>
            <w:r w:rsidR="00030831">
              <w:rPr/>
              <w:t xml:space="preserve">Teignmouth </w:t>
            </w:r>
            <w:r w:rsidR="00067052">
              <w:rPr/>
              <w:t xml:space="preserve"> Road</w:t>
            </w:r>
            <w:r w:rsidR="000100FE">
              <w:rPr/>
              <w:t xml:space="preserve">, </w:t>
            </w:r>
            <w:proofErr w:type="gramStart"/>
            <w:r w:rsidR="000100FE">
              <w:rPr/>
              <w:t>wither</w:t>
            </w:r>
            <w:proofErr w:type="gramEnd"/>
            <w:r w:rsidR="000100FE">
              <w:rPr/>
              <w:t xml:space="preserve"> directly or via Long Park Hill or </w:t>
            </w:r>
            <w:r w:rsidR="5751F700">
              <w:rPr/>
              <w:t>Ridge Road.</w:t>
            </w:r>
            <w:r w:rsidR="000100FE">
              <w:rPr/>
              <w:t xml:space="preserve"> </w:t>
            </w:r>
            <w:r w:rsidR="00030831">
              <w:rPr/>
              <w:t xml:space="preserve"> </w:t>
            </w:r>
          </w:p>
        </w:tc>
      </w:tr>
      <w:tr w:rsidRPr="00463380" w:rsidR="009E65EC" w:rsidTr="1F14056E" w14:paraId="25989CF8" w14:textId="77777777">
        <w:tc>
          <w:tcPr>
            <w:tcW w:w="4248" w:type="dxa"/>
            <w:tcMar/>
          </w:tcPr>
          <w:p w:rsidR="009E65EC" w:rsidP="00A228ED" w:rsidRDefault="009E65EC" w14:paraId="0AC22D17" w14:textId="77777777">
            <w:pPr>
              <w:rPr>
                <w:b/>
              </w:rPr>
            </w:pPr>
            <w:r>
              <w:rPr>
                <w:b/>
              </w:rPr>
              <w:t>Flood risk, water quality and drainage</w:t>
            </w:r>
          </w:p>
        </w:tc>
        <w:tc>
          <w:tcPr>
            <w:tcW w:w="4768" w:type="dxa"/>
            <w:tcMar/>
          </w:tcPr>
          <w:p w:rsidRPr="00463380" w:rsidR="009E65EC" w:rsidP="00A228ED" w:rsidRDefault="00067052" w14:paraId="32EF68EA" w14:textId="7C1B1740">
            <w:r>
              <w:t>No</w:t>
            </w:r>
          </w:p>
        </w:tc>
      </w:tr>
      <w:tr w:rsidR="009E65EC" w:rsidTr="1F14056E" w14:paraId="5133DCFB" w14:textId="77777777">
        <w:tc>
          <w:tcPr>
            <w:tcW w:w="4248" w:type="dxa"/>
            <w:tcMar/>
          </w:tcPr>
          <w:p w:rsidR="009E65EC" w:rsidP="00A228ED" w:rsidRDefault="009E65EC" w14:paraId="6ACAA644" w14:textId="77777777">
            <w:pPr>
              <w:rPr>
                <w:b/>
              </w:rPr>
            </w:pPr>
            <w:r>
              <w:rPr>
                <w:b/>
              </w:rPr>
              <w:t>Heritage and Archaeology</w:t>
            </w:r>
            <w:r w:rsidR="00247134">
              <w:rPr>
                <w:b/>
              </w:rPr>
              <w:t xml:space="preserve"> (including distance from assets). </w:t>
            </w:r>
          </w:p>
        </w:tc>
        <w:tc>
          <w:tcPr>
            <w:tcW w:w="4768" w:type="dxa"/>
            <w:tcMar/>
          </w:tcPr>
          <w:p w:rsidR="00135146" w:rsidP="0051685F" w:rsidRDefault="000846BA" w14:paraId="5220D90E" w14:textId="6152263C">
            <w:r w:rsidR="16514AD1">
              <w:rPr/>
              <w:t>Would need detailed assessment – but not thought to be significant</w:t>
            </w:r>
            <w:r w:rsidR="1FD14B82">
              <w:rPr/>
              <w:t>.</w:t>
            </w:r>
          </w:p>
        </w:tc>
      </w:tr>
      <w:tr w:rsidR="009E65EC" w:rsidTr="1F14056E" w14:paraId="7AE2DBEF" w14:textId="77777777">
        <w:tc>
          <w:tcPr>
            <w:tcW w:w="4248" w:type="dxa"/>
            <w:tcMar/>
          </w:tcPr>
          <w:p w:rsidR="009E65EC" w:rsidP="00A228ED" w:rsidRDefault="009E65EC" w14:paraId="4DB15C6E" w14:textId="77777777">
            <w:pPr>
              <w:rPr>
                <w:b/>
              </w:rPr>
            </w:pPr>
            <w:r>
              <w:rPr>
                <w:b/>
              </w:rPr>
              <w:t>Infrastructure</w:t>
            </w:r>
          </w:p>
        </w:tc>
        <w:tc>
          <w:tcPr>
            <w:tcW w:w="4768" w:type="dxa"/>
            <w:tcMar/>
          </w:tcPr>
          <w:p w:rsidRPr="000846BA" w:rsidR="00135146" w:rsidP="00A53B15" w:rsidRDefault="000846BA" w14:paraId="3D4E2B60" w14:textId="4F8AC99C">
            <w:r w:rsidRPr="000846BA">
              <w:t xml:space="preserve">Distance from the </w:t>
            </w:r>
            <w:proofErr w:type="gramStart"/>
            <w:r w:rsidRPr="000846BA">
              <w:t>built up</w:t>
            </w:r>
            <w:proofErr w:type="gramEnd"/>
            <w:r w:rsidRPr="000846BA">
              <w:t xml:space="preserve"> area. Development would be car dependent despite bus service</w:t>
            </w:r>
            <w:r w:rsidR="00030831">
              <w:t xml:space="preserve"> (no 22) between Torquay and </w:t>
            </w:r>
            <w:proofErr w:type="gramStart"/>
            <w:r w:rsidR="00030831">
              <w:t xml:space="preserve">Teignmouth </w:t>
            </w:r>
            <w:r w:rsidR="0035456C">
              <w:t>.</w:t>
            </w:r>
            <w:proofErr w:type="gramEnd"/>
            <w:r w:rsidR="0035456C">
              <w:t xml:space="preserve"> No mains sewers. </w:t>
            </w:r>
            <w:r w:rsidRPr="000846BA">
              <w:t xml:space="preserve"> </w:t>
            </w:r>
          </w:p>
        </w:tc>
      </w:tr>
      <w:tr w:rsidRPr="00463380" w:rsidR="009E65EC" w:rsidTr="1F14056E" w14:paraId="52E3443C" w14:textId="77777777">
        <w:tc>
          <w:tcPr>
            <w:tcW w:w="4248" w:type="dxa"/>
            <w:tcMar/>
          </w:tcPr>
          <w:p w:rsidR="009E65EC" w:rsidP="00A228ED" w:rsidRDefault="009E65EC" w14:paraId="6C1C6CC3" w14:textId="77777777">
            <w:pPr>
              <w:rPr>
                <w:b/>
              </w:rPr>
            </w:pPr>
            <w:r>
              <w:rPr>
                <w:b/>
              </w:rPr>
              <w:t>Landscape</w:t>
            </w:r>
          </w:p>
        </w:tc>
        <w:tc>
          <w:tcPr>
            <w:tcW w:w="4768" w:type="dxa"/>
            <w:tcMar/>
          </w:tcPr>
          <w:p w:rsidRPr="000846BA" w:rsidR="00135146" w:rsidP="00A53B15" w:rsidRDefault="0035456C" w14:paraId="367C1FF8" w14:textId="32EF7FBD">
            <w:r>
              <w:t xml:space="preserve">Countryside Area. AOLC 1A Rolling Farmland 1A Barton. Highly sensitive- conserve and enhance. </w:t>
            </w:r>
          </w:p>
        </w:tc>
      </w:tr>
      <w:tr w:rsidRPr="00463380" w:rsidR="009E65EC" w:rsidTr="1F14056E" w14:paraId="00654627" w14:textId="77777777">
        <w:tc>
          <w:tcPr>
            <w:tcW w:w="4248" w:type="dxa"/>
            <w:tcMar/>
          </w:tcPr>
          <w:p w:rsidR="009E65EC" w:rsidP="00A228ED" w:rsidRDefault="009E65EC" w14:paraId="73BD9526" w14:textId="77777777">
            <w:pPr>
              <w:rPr>
                <w:b/>
              </w:rPr>
            </w:pPr>
            <w:r>
              <w:rPr>
                <w:b/>
              </w:rPr>
              <w:t>Ecology</w:t>
            </w:r>
          </w:p>
        </w:tc>
        <w:tc>
          <w:tcPr>
            <w:tcW w:w="4768" w:type="dxa"/>
            <w:tcMar/>
          </w:tcPr>
          <w:p w:rsidR="00135146" w:rsidP="00135146" w:rsidRDefault="000846BA" w14:paraId="7033703A" w14:textId="58AD0F09">
            <w:pPr>
              <w:rPr>
                <w:noProof/>
              </w:rPr>
            </w:pPr>
            <w:r>
              <w:rPr>
                <w:noProof/>
              </w:rPr>
              <w:t xml:space="preserve">Cirl Buntings and Greater Horsehoe bat Sustenance Zone. </w:t>
            </w:r>
          </w:p>
        </w:tc>
      </w:tr>
      <w:tr w:rsidR="009E65EC" w:rsidTr="1F14056E" w14:paraId="571DD343" w14:textId="77777777">
        <w:tc>
          <w:tcPr>
            <w:tcW w:w="4248" w:type="dxa"/>
            <w:tcMar/>
          </w:tcPr>
          <w:p w:rsidR="009E65EC" w:rsidP="00A228ED" w:rsidRDefault="009E65EC" w14:paraId="4840FAFE" w14:textId="77777777">
            <w:pPr>
              <w:rPr>
                <w:b/>
              </w:rPr>
            </w:pPr>
            <w:r>
              <w:rPr>
                <w:b/>
              </w:rPr>
              <w:t>Safety related constraints</w:t>
            </w:r>
          </w:p>
        </w:tc>
        <w:tc>
          <w:tcPr>
            <w:tcW w:w="4768" w:type="dxa"/>
            <w:tcMar/>
          </w:tcPr>
          <w:p w:rsidR="00135146" w:rsidP="00A53B15" w:rsidRDefault="000846BA" w14:paraId="0AB183E6" w14:textId="217F3E7C">
            <w:r>
              <w:t xml:space="preserve">No </w:t>
            </w:r>
          </w:p>
        </w:tc>
      </w:tr>
      <w:tr w:rsidRPr="00463380" w:rsidR="009E65EC" w:rsidTr="1F14056E" w14:paraId="0C805465" w14:textId="77777777">
        <w:trPr>
          <w:trHeight w:val="984"/>
        </w:trPr>
        <w:tc>
          <w:tcPr>
            <w:tcW w:w="4248" w:type="dxa"/>
            <w:tcMar/>
          </w:tcPr>
          <w:p w:rsidRPr="00F8199E" w:rsidR="009E65EC" w:rsidP="00A228ED" w:rsidRDefault="009E65EC" w14:paraId="2E3EA0D6" w14:textId="77777777">
            <w:pPr>
              <w:rPr>
                <w:b/>
              </w:rPr>
            </w:pPr>
            <w:proofErr w:type="gramStart"/>
            <w:r w:rsidRPr="00F8199E">
              <w:rPr>
                <w:b/>
              </w:rPr>
              <w:t>Soils  (</w:t>
            </w:r>
            <w:proofErr w:type="gramEnd"/>
            <w:r w:rsidRPr="00F8199E">
              <w:rPr>
                <w:b/>
                <w:noProof/>
              </w:rPr>
              <w:t>Agricultural Land classification)</w:t>
            </w:r>
            <w:r w:rsidRPr="00F8199E">
              <w:rPr>
                <w:b/>
              </w:rPr>
              <w:t xml:space="preserve"> and contamination</w:t>
            </w:r>
          </w:p>
        </w:tc>
        <w:tc>
          <w:tcPr>
            <w:tcW w:w="4768" w:type="dxa"/>
            <w:tcMar/>
          </w:tcPr>
          <w:p w:rsidRPr="00463380" w:rsidR="009E65EC" w:rsidP="00A228ED" w:rsidRDefault="000846BA" w14:paraId="33ACF002" w14:textId="029D87A1">
            <w:r>
              <w:t xml:space="preserve">Agricultural land </w:t>
            </w:r>
          </w:p>
        </w:tc>
      </w:tr>
      <w:tr w:rsidRPr="00463380" w:rsidR="009E65EC" w:rsidTr="1F14056E" w14:paraId="3EAC87ED" w14:textId="77777777">
        <w:tc>
          <w:tcPr>
            <w:tcW w:w="4248" w:type="dxa"/>
            <w:tcMar/>
          </w:tcPr>
          <w:p w:rsidRPr="00F8199E" w:rsidR="009E65EC" w:rsidP="00A228ED" w:rsidRDefault="009E65EC" w14:paraId="32326E19" w14:textId="77777777">
            <w:pPr>
              <w:rPr>
                <w:b/>
              </w:rPr>
            </w:pPr>
            <w:r>
              <w:rPr>
                <w:b/>
              </w:rPr>
              <w:t xml:space="preserve">Local Plan </w:t>
            </w:r>
          </w:p>
        </w:tc>
        <w:tc>
          <w:tcPr>
            <w:tcW w:w="4768" w:type="dxa"/>
            <w:tcMar/>
          </w:tcPr>
          <w:p w:rsidRPr="000846BA" w:rsidR="00135146" w:rsidP="00A53B15" w:rsidRDefault="000846BA" w14:paraId="23B700F5" w14:textId="0F7E8A26">
            <w:pPr>
              <w:rPr>
                <w:noProof/>
              </w:rPr>
            </w:pPr>
            <w:r w:rsidRPr="000846BA">
              <w:rPr>
                <w:noProof/>
              </w:rPr>
              <w:t>C1 Countryside Area</w:t>
            </w:r>
          </w:p>
        </w:tc>
      </w:tr>
      <w:tr w:rsidRPr="00463380" w:rsidR="009E65EC" w:rsidTr="1F14056E" w14:paraId="1ECE6568" w14:textId="77777777">
        <w:tc>
          <w:tcPr>
            <w:tcW w:w="4248" w:type="dxa"/>
            <w:tcMar/>
          </w:tcPr>
          <w:p w:rsidRPr="00F8199E" w:rsidR="009E65EC" w:rsidP="00A228ED" w:rsidRDefault="009E65EC" w14:paraId="7BE76F87" w14:textId="77777777">
            <w:pPr>
              <w:rPr>
                <w:b/>
              </w:rPr>
            </w:pPr>
            <w:r>
              <w:rPr>
                <w:b/>
              </w:rPr>
              <w:t xml:space="preserve">Neighbourhood Plan </w:t>
            </w:r>
          </w:p>
        </w:tc>
        <w:tc>
          <w:tcPr>
            <w:tcW w:w="4768" w:type="dxa"/>
            <w:tcMar/>
          </w:tcPr>
          <w:p w:rsidRPr="000846BA" w:rsidR="00135146" w:rsidP="00A53B15" w:rsidRDefault="0035456C" w14:paraId="1D5346C3" w14:textId="7C8F86A7">
            <w:pPr>
              <w:rPr>
                <w:noProof/>
              </w:rPr>
            </w:pPr>
            <w:r>
              <w:rPr>
                <w:noProof/>
              </w:rPr>
              <w:t>Outside maidencombe Village ernvelope- contrary to Policy TH12</w:t>
            </w:r>
          </w:p>
        </w:tc>
      </w:tr>
      <w:tr w:rsidRPr="00463380" w:rsidR="009E65EC" w:rsidTr="1F14056E" w14:paraId="2A2C260A" w14:textId="77777777">
        <w:tc>
          <w:tcPr>
            <w:tcW w:w="4248" w:type="dxa"/>
            <w:tcMar/>
          </w:tcPr>
          <w:p w:rsidRPr="00F8199E" w:rsidR="009E65EC" w:rsidP="00A228ED" w:rsidRDefault="009E65EC" w14:paraId="6F1513F4" w14:textId="77777777">
            <w:pPr>
              <w:rPr>
                <w:b/>
              </w:rPr>
            </w:pPr>
            <w:r>
              <w:rPr>
                <w:b/>
              </w:rPr>
              <w:t>Development progress (where relevant)</w:t>
            </w:r>
          </w:p>
        </w:tc>
        <w:tc>
          <w:tcPr>
            <w:tcW w:w="4768" w:type="dxa"/>
            <w:tcMar/>
          </w:tcPr>
          <w:p w:rsidR="00135146" w:rsidP="00411C11" w:rsidRDefault="000846BA" w14:paraId="4BA5A544" w14:textId="0C520395">
            <w:pPr>
              <w:rPr>
                <w:noProof/>
              </w:rPr>
            </w:pPr>
            <w:r>
              <w:rPr>
                <w:noProof/>
              </w:rPr>
              <w:t>No</w:t>
            </w:r>
          </w:p>
          <w:p w:rsidR="009E65EC" w:rsidP="00411C11" w:rsidRDefault="009E65EC" w14:paraId="2CC2044F" w14:textId="77777777">
            <w:pPr>
              <w:rPr>
                <w:noProof/>
              </w:rPr>
            </w:pPr>
          </w:p>
        </w:tc>
      </w:tr>
      <w:tr w:rsidRPr="00463380" w:rsidR="009E65EC" w:rsidTr="1F14056E" w14:paraId="7D4A066C" w14:textId="77777777">
        <w:tc>
          <w:tcPr>
            <w:tcW w:w="4248" w:type="dxa"/>
            <w:tcMar/>
          </w:tcPr>
          <w:p w:rsidR="009E65EC" w:rsidP="00A228ED" w:rsidRDefault="009E65EC" w14:paraId="7ABC1137" w14:textId="77777777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768" w:type="dxa"/>
            <w:tcMar/>
          </w:tcPr>
          <w:p w:rsidRPr="00463380" w:rsidR="009E65EC" w:rsidP="00A228ED" w:rsidRDefault="000846BA" w14:paraId="1BED650B" w14:textId="76E17B0C">
            <w:r w:rsidR="16514AD1">
              <w:rPr/>
              <w:t xml:space="preserve">Close to boundary with </w:t>
            </w:r>
            <w:r w:rsidR="00030831">
              <w:rPr/>
              <w:t>Teignbridge</w:t>
            </w:r>
            <w:r w:rsidR="16514AD1">
              <w:rPr/>
              <w:t xml:space="preserve">. Impact </w:t>
            </w:r>
            <w:r w:rsidR="00030831">
              <w:rPr/>
              <w:t xml:space="preserve">on wider rural valley system (AGLV in Teignbridge).  </w:t>
            </w:r>
          </w:p>
        </w:tc>
      </w:tr>
      <w:tr w:rsidRPr="00463380" w:rsidR="009E65EC" w:rsidTr="1F14056E" w14:paraId="3C700D04" w14:textId="77777777">
        <w:tc>
          <w:tcPr>
            <w:tcW w:w="4248" w:type="dxa"/>
            <w:tcMar/>
          </w:tcPr>
          <w:p w:rsidR="009E65EC" w:rsidP="00A228ED" w:rsidRDefault="00247134" w14:paraId="1BE55C9D" w14:textId="77777777">
            <w:pPr>
              <w:rPr>
                <w:b/>
              </w:rPr>
            </w:pPr>
            <w:r>
              <w:rPr>
                <w:b/>
              </w:rPr>
              <w:t xml:space="preserve">HELAA Panel Summary </w:t>
            </w:r>
          </w:p>
        </w:tc>
        <w:tc>
          <w:tcPr>
            <w:tcW w:w="4768" w:type="dxa"/>
            <w:tcMar/>
          </w:tcPr>
          <w:p w:rsidRPr="00463380" w:rsidR="009E65EC" w:rsidP="00A228ED" w:rsidRDefault="007245A7" w14:paraId="491EC4C8" w14:textId="2BF153FA">
            <w:r>
              <w:t xml:space="preserve">Added post panel. </w:t>
            </w:r>
          </w:p>
        </w:tc>
      </w:tr>
      <w:tr w:rsidRPr="00463380" w:rsidR="00247134" w:rsidTr="1F14056E" w14:paraId="770CD5B8" w14:textId="77777777">
        <w:tc>
          <w:tcPr>
            <w:tcW w:w="4248" w:type="dxa"/>
            <w:tcMar/>
          </w:tcPr>
          <w:p w:rsidR="00247134" w:rsidP="00A228ED" w:rsidRDefault="00247134" w14:paraId="31B01C8F" w14:textId="77777777">
            <w:pPr>
              <w:rPr>
                <w:b/>
              </w:rPr>
            </w:pPr>
            <w:r>
              <w:rPr>
                <w:b/>
              </w:rPr>
              <w:t>Site potential</w:t>
            </w:r>
          </w:p>
        </w:tc>
        <w:tc>
          <w:tcPr>
            <w:tcW w:w="4768" w:type="dxa"/>
            <w:tcMar/>
          </w:tcPr>
          <w:p w:rsidRPr="00463380" w:rsidR="00247134" w:rsidP="1F14056E" w:rsidRDefault="00133D37" w14:paraId="4C446613" w14:textId="2351A4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6BBCAAB2">
              <w:rPr/>
              <w:t xml:space="preserve">Inserted following suggestion of panel </w:t>
            </w:r>
          </w:p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1F14056E" w14:paraId="2C22CF48" w14:textId="77777777">
        <w:tc>
          <w:tcPr>
            <w:tcW w:w="9016" w:type="dxa"/>
            <w:gridSpan w:val="2"/>
            <w:tcMar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9273D3" w14:paraId="56827EEA" w14:textId="43CFC3C8">
            <w:r w:rsidR="5A001474">
              <w:rPr/>
              <w:t xml:space="preserve">Site has significant constraints. </w:t>
            </w:r>
            <w:r w:rsidR="59E034A8">
              <w:rPr/>
              <w:t xml:space="preserve"> It is distant from main settlements and largely car </w:t>
            </w:r>
            <w:r w:rsidR="3EAECE04">
              <w:rPr/>
              <w:t>dependent.</w:t>
            </w:r>
            <w:r w:rsidR="59E034A8">
              <w:rPr/>
              <w:t xml:space="preserve"> There are no mains sewers, and there would b</w:t>
            </w:r>
            <w:r w:rsidR="7D6B07D6">
              <w:rPr/>
              <w:t>e</w:t>
            </w:r>
            <w:r w:rsidR="4E3B4BF0">
              <w:rPr/>
              <w:t xml:space="preserve"> at </w:t>
            </w:r>
            <w:r w:rsidR="4E3B4BF0">
              <w:rPr/>
              <w:t xml:space="preserve">least </w:t>
            </w:r>
            <w:r w:rsidR="04ACBF34">
              <w:rPr/>
              <w:t>some</w:t>
            </w:r>
            <w:r w:rsidR="59E034A8">
              <w:rPr/>
              <w:t xml:space="preserve"> </w:t>
            </w:r>
            <w:r w:rsidR="3EAECE04">
              <w:rPr/>
              <w:t>landscape</w:t>
            </w:r>
            <w:r w:rsidR="59E034A8">
              <w:rPr/>
              <w:t xml:space="preserve"> impact on </w:t>
            </w:r>
            <w:r w:rsidR="3EAECE04">
              <w:rPr/>
              <w:t xml:space="preserve">the wider </w:t>
            </w:r>
            <w:proofErr w:type="spellStart"/>
            <w:r w:rsidR="3EAECE04">
              <w:rPr/>
              <w:t>Rocombe</w:t>
            </w:r>
            <w:proofErr w:type="spellEnd"/>
            <w:r w:rsidR="3EAECE04">
              <w:rPr/>
              <w:t xml:space="preserve"> Valley.  Likely to only be acceptable as part of a wider Maidencombe broad location.  </w:t>
            </w:r>
          </w:p>
          <w:p w:rsidR="00135146" w:rsidP="00135146" w:rsidRDefault="009273D3" w14:paraId="1ED352F9" w14:textId="41206816">
            <w:r>
              <w:t xml:space="preserve"> </w:t>
            </w:r>
          </w:p>
        </w:tc>
      </w:tr>
      <w:tr w:rsidR="009E65EC" w:rsidTr="1F14056E" w14:paraId="0F189CEC" w14:textId="77777777">
        <w:tc>
          <w:tcPr>
            <w:tcW w:w="2263" w:type="dxa"/>
            <w:tcMar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  <w:tcMar/>
          </w:tcPr>
          <w:p w:rsidR="009E65EC" w:rsidP="003A244A" w:rsidRDefault="00645CDA" w14:paraId="4076228F" w14:textId="77777777">
            <w:r>
              <w:t xml:space="preserve">Yield </w:t>
            </w:r>
            <w:r w:rsidR="003A244A">
              <w:t xml:space="preserve">6 </w:t>
            </w:r>
            <w:r w:rsidRPr="003A244A" w:rsidR="003A244A">
              <w:rPr>
                <w:i/>
              </w:rPr>
              <w:t>(HELAA total spreadsheet)</w:t>
            </w:r>
          </w:p>
        </w:tc>
      </w:tr>
      <w:tr w:rsidR="009E65EC" w:rsidTr="1F14056E" w14:paraId="5B2BD75D" w14:textId="77777777">
        <w:tc>
          <w:tcPr>
            <w:tcW w:w="2263" w:type="dxa"/>
            <w:tcMar/>
          </w:tcPr>
          <w:p w:rsidR="009E65EC" w:rsidP="00A228ED" w:rsidRDefault="009E65EC" w14:paraId="3E48BC76" w14:textId="77777777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  <w:tcMar/>
          </w:tcPr>
          <w:p w:rsidR="009E65EC" w:rsidP="00A228ED" w:rsidRDefault="009E65EC" w14:paraId="0772D396" w14:textId="58F99653"/>
        </w:tc>
      </w:tr>
      <w:tr w:rsidR="009E65EC" w:rsidTr="1F14056E" w14:paraId="6E5C2AEE" w14:textId="77777777">
        <w:tc>
          <w:tcPr>
            <w:tcW w:w="2263" w:type="dxa"/>
            <w:tcMar/>
          </w:tcPr>
          <w:p w:rsidR="009E65EC" w:rsidP="00A228ED" w:rsidRDefault="009E65EC" w14:paraId="3BF1FBA1" w14:textId="77777777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  <w:tcMar/>
          </w:tcPr>
          <w:p w:rsidR="009E65EC" w:rsidP="1F14056E" w:rsidRDefault="007245A7" w14:paraId="4D4F1818" w14:textId="3016AA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37E5BE5">
              <w:rPr/>
              <w:t>20</w:t>
            </w:r>
          </w:p>
        </w:tc>
      </w:tr>
      <w:tr w:rsidR="009E65EC" w:rsidTr="1F14056E" w14:paraId="57973947" w14:textId="77777777">
        <w:tc>
          <w:tcPr>
            <w:tcW w:w="2263" w:type="dxa"/>
            <w:tcMar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  <w:tcMar/>
          </w:tcPr>
          <w:p w:rsidR="009E65EC" w:rsidP="00A228ED" w:rsidRDefault="009E65EC" w14:paraId="3AAE9BAE" w14:textId="77777777"/>
        </w:tc>
      </w:tr>
    </w:tbl>
    <w:p w:rsidR="009E65EC" w:rsidP="009E65EC" w:rsidRDefault="009E65EC" w14:paraId="5F7D352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858" w:rsidP="009E65EC" w:rsidRDefault="00441858" w14:paraId="743C48D9" w14:textId="77777777">
      <w:pPr>
        <w:spacing w:after="0" w:line="240" w:lineRule="auto"/>
      </w:pPr>
      <w:r>
        <w:separator/>
      </w:r>
    </w:p>
  </w:endnote>
  <w:endnote w:type="continuationSeparator" w:id="0">
    <w:p w:rsidR="00441858" w:rsidP="009E65EC" w:rsidRDefault="00441858" w14:paraId="3684BE9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20634" w:rsidR="00420634" w:rsidRDefault="00CB69F1" w14:paraId="65394F70" w14:textId="77777777">
    <w:pPr>
      <w:pStyle w:val="Footer"/>
      <w:rPr>
        <w:rFonts w:ascii="Arial" w:hAnsi="Arial" w:cs="Arial"/>
      </w:rPr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36C783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767171" strokeweight="1.25pt" w14:anchorId="72BB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6C78EF" w:rsidR="006C78EF">
      <w:rPr>
        <w:rFonts w:ascii="Arial" w:hAnsi="Arial" w:cs="Arial" w:eastAsiaTheme="majorEastAsia"/>
        <w:noProof/>
        <w:sz w:val="20"/>
        <w:szCs w:val="20"/>
      </w:rPr>
      <w:t>4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Torbay HELAA 2021: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Site Proforma: N.B For assessment only. Does not reflect the planning stus or view of LPA on this site.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858" w:rsidP="009E65EC" w:rsidRDefault="00441858" w14:paraId="10F8174C" w14:textId="77777777">
      <w:pPr>
        <w:spacing w:after="0" w:line="240" w:lineRule="auto"/>
      </w:pPr>
      <w:r>
        <w:separator/>
      </w:r>
    </w:p>
  </w:footnote>
  <w:footnote w:type="continuationSeparator" w:id="0">
    <w:p w:rsidR="00441858" w:rsidP="009E65EC" w:rsidRDefault="00441858" w14:paraId="2A44B012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100FE"/>
    <w:rsid w:val="00030831"/>
    <w:rsid w:val="00067052"/>
    <w:rsid w:val="000846BA"/>
    <w:rsid w:val="00133D37"/>
    <w:rsid w:val="00135146"/>
    <w:rsid w:val="00145AA2"/>
    <w:rsid w:val="00172F71"/>
    <w:rsid w:val="001733A8"/>
    <w:rsid w:val="001C5A09"/>
    <w:rsid w:val="001C70E8"/>
    <w:rsid w:val="001F65E6"/>
    <w:rsid w:val="00247134"/>
    <w:rsid w:val="00270E33"/>
    <w:rsid w:val="002C2C7D"/>
    <w:rsid w:val="0035456C"/>
    <w:rsid w:val="003A244A"/>
    <w:rsid w:val="003F777D"/>
    <w:rsid w:val="00411C11"/>
    <w:rsid w:val="00441858"/>
    <w:rsid w:val="004B39FD"/>
    <w:rsid w:val="004F0E3B"/>
    <w:rsid w:val="0051685F"/>
    <w:rsid w:val="00626FFE"/>
    <w:rsid w:val="00645CDA"/>
    <w:rsid w:val="006C78EF"/>
    <w:rsid w:val="006F2ACC"/>
    <w:rsid w:val="007245A7"/>
    <w:rsid w:val="00784486"/>
    <w:rsid w:val="00784732"/>
    <w:rsid w:val="00786820"/>
    <w:rsid w:val="007C624A"/>
    <w:rsid w:val="00841B36"/>
    <w:rsid w:val="00881E28"/>
    <w:rsid w:val="0089718B"/>
    <w:rsid w:val="008D4A16"/>
    <w:rsid w:val="009273D3"/>
    <w:rsid w:val="0095177A"/>
    <w:rsid w:val="00953B94"/>
    <w:rsid w:val="009E65EC"/>
    <w:rsid w:val="009F5B16"/>
    <w:rsid w:val="009F7A1C"/>
    <w:rsid w:val="00A16829"/>
    <w:rsid w:val="00A22225"/>
    <w:rsid w:val="00A53B15"/>
    <w:rsid w:val="00A71842"/>
    <w:rsid w:val="00A87A88"/>
    <w:rsid w:val="00AA250E"/>
    <w:rsid w:val="00AA5616"/>
    <w:rsid w:val="00AD57C3"/>
    <w:rsid w:val="00B32730"/>
    <w:rsid w:val="00B43D55"/>
    <w:rsid w:val="00CB69F1"/>
    <w:rsid w:val="00D00A6B"/>
    <w:rsid w:val="00D0154E"/>
    <w:rsid w:val="00D72B46"/>
    <w:rsid w:val="00DD1689"/>
    <w:rsid w:val="00DE680A"/>
    <w:rsid w:val="00E9100C"/>
    <w:rsid w:val="00EA76CC"/>
    <w:rsid w:val="00F13BF4"/>
    <w:rsid w:val="00F14570"/>
    <w:rsid w:val="00F54649"/>
    <w:rsid w:val="00F67B04"/>
    <w:rsid w:val="00F97B1A"/>
    <w:rsid w:val="011503FD"/>
    <w:rsid w:val="04ACBF34"/>
    <w:rsid w:val="080678AA"/>
    <w:rsid w:val="0BF24245"/>
    <w:rsid w:val="16514AD1"/>
    <w:rsid w:val="1C2ED7CC"/>
    <w:rsid w:val="1F14056E"/>
    <w:rsid w:val="1FD14B82"/>
    <w:rsid w:val="209B9DA6"/>
    <w:rsid w:val="27466561"/>
    <w:rsid w:val="2CFA535F"/>
    <w:rsid w:val="2E747773"/>
    <w:rsid w:val="312AAD10"/>
    <w:rsid w:val="337E5BE5"/>
    <w:rsid w:val="38D2A9AD"/>
    <w:rsid w:val="3A4F559D"/>
    <w:rsid w:val="3C7273D0"/>
    <w:rsid w:val="3DB38AFC"/>
    <w:rsid w:val="3EAECE04"/>
    <w:rsid w:val="4130C62A"/>
    <w:rsid w:val="4E3B4BF0"/>
    <w:rsid w:val="5693D76C"/>
    <w:rsid w:val="5751F700"/>
    <w:rsid w:val="59E034A8"/>
    <w:rsid w:val="5A001474"/>
    <w:rsid w:val="615489BB"/>
    <w:rsid w:val="6652F7A9"/>
    <w:rsid w:val="674758E2"/>
    <w:rsid w:val="68EBE0C7"/>
    <w:rsid w:val="69873C4D"/>
    <w:rsid w:val="6A0343A5"/>
    <w:rsid w:val="6BBCAAB2"/>
    <w:rsid w:val="6CA5B4B2"/>
    <w:rsid w:val="6F5B224B"/>
    <w:rsid w:val="739FAE5D"/>
    <w:rsid w:val="7421E186"/>
    <w:rsid w:val="7C03236F"/>
    <w:rsid w:val="7D6B07D6"/>
    <w:rsid w:val="7DAF9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3.png" Id="Rf09429c10822488d" /><Relationship Type="http://schemas.openxmlformats.org/officeDocument/2006/relationships/image" Target="/media/image4.png" Id="R65eef07c39cc46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933D0-CCBF-418E-B70E-7309BEA8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772BA-4BD9-43FD-B58B-D252D36787B4}">
  <ds:schemaRefs>
    <ds:schemaRef ds:uri="http://purl.org/dc/terms/"/>
    <ds:schemaRef ds:uri="http://schemas.openxmlformats.org/package/2006/metadata/core-properties"/>
    <ds:schemaRef ds:uri="http://purl.org/dc/dcmitype/"/>
    <ds:schemaRef ds:uri="216be0e3-fb59-44d6-9a08-5c3bad261b2e"/>
    <ds:schemaRef ds:uri="21e08795-e594-43a2-9ea7-16e3644ae68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4F7ED7-689F-4C8F-894A-BF4DA077B73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4</revision>
  <dcterms:created xsi:type="dcterms:W3CDTF">2021-10-13T13:21:00.0000000Z</dcterms:created>
  <dcterms:modified xsi:type="dcterms:W3CDTF">2021-11-25T11:27:13.0943285Z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