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7"/>
        <w:gridCol w:w="6099"/>
      </w:tblGrid>
      <w:tr w:rsidR="009E65EC" w:rsidRPr="002B13CB" w14:paraId="59D9977F" w14:textId="77777777" w:rsidTr="3EF22100">
        <w:tc>
          <w:tcPr>
            <w:tcW w:w="9016" w:type="dxa"/>
            <w:gridSpan w:val="2"/>
          </w:tcPr>
          <w:p w14:paraId="16EE9512" w14:textId="29FE7626" w:rsidR="009E65EC" w:rsidRPr="00247134" w:rsidRDefault="009E65EC" w:rsidP="045E6150">
            <w:pPr>
              <w:rPr>
                <w:rFonts w:ascii="Calibri" w:eastAsia="Calibri" w:hAnsi="Calibri" w:cs="Calibri"/>
              </w:rPr>
            </w:pPr>
            <w:r w:rsidRPr="045E6150">
              <w:rPr>
                <w:b/>
                <w:bCs/>
              </w:rPr>
              <w:t>SITE OVERVIEW</w:t>
            </w:r>
            <w:r w:rsidR="60B75103" w:rsidRPr="045E6150">
              <w:rPr>
                <w:b/>
                <w:bCs/>
              </w:rPr>
              <w:t xml:space="preserve">: </w:t>
            </w:r>
            <w:r w:rsidR="60B75103" w:rsidRPr="045E6150">
              <w:rPr>
                <w:rFonts w:ascii="Calibri" w:eastAsia="Calibri" w:hAnsi="Calibri" w:cs="Calibri"/>
                <w:b/>
                <w:bCs/>
                <w:color w:val="FF781D"/>
                <w:lang w:val="en-US"/>
              </w:rPr>
              <w:t>Amber sites – significant constraints</w:t>
            </w:r>
          </w:p>
        </w:tc>
      </w:tr>
      <w:tr w:rsidR="00EA76CC" w:rsidRPr="002B13CB" w14:paraId="4AAD99C4" w14:textId="77777777" w:rsidTr="3EF22100">
        <w:tc>
          <w:tcPr>
            <w:tcW w:w="2633" w:type="dxa"/>
          </w:tcPr>
          <w:p w14:paraId="0B95D9AD" w14:textId="77777777" w:rsidR="00EA76CC" w:rsidRPr="002B13CB" w:rsidRDefault="00EA76CC" w:rsidP="009B4EE2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383" w:type="dxa"/>
          </w:tcPr>
          <w:p w14:paraId="4B7E6320" w14:textId="29CBF6F6" w:rsidR="00EA76CC" w:rsidRPr="002B13CB" w:rsidRDefault="00510B8B" w:rsidP="003F777D">
            <w:pPr>
              <w:rPr>
                <w:b/>
              </w:rPr>
            </w:pPr>
            <w:r>
              <w:rPr>
                <w:b/>
              </w:rPr>
              <w:t>Torquay</w:t>
            </w:r>
          </w:p>
        </w:tc>
      </w:tr>
      <w:tr w:rsidR="00EA76CC" w:rsidRPr="002B13CB" w14:paraId="0127FAA1" w14:textId="77777777" w:rsidTr="3EF22100">
        <w:tc>
          <w:tcPr>
            <w:tcW w:w="2633" w:type="dxa"/>
          </w:tcPr>
          <w:p w14:paraId="00F0D790" w14:textId="77777777" w:rsidR="00EA76CC" w:rsidRDefault="00EA76CC" w:rsidP="009B4EE2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383" w:type="dxa"/>
          </w:tcPr>
          <w:p w14:paraId="328A5D3F" w14:textId="6A666BE2" w:rsidR="00EA76CC" w:rsidRPr="003F777D" w:rsidRDefault="00CD027B" w:rsidP="00F7459D">
            <w:r>
              <w:t>Marina Car park, adj. the Pavilion</w:t>
            </w:r>
          </w:p>
        </w:tc>
      </w:tr>
      <w:tr w:rsidR="00121165" w:rsidRPr="002B13CB" w14:paraId="69A06E6E" w14:textId="77777777" w:rsidTr="3EF22100">
        <w:tc>
          <w:tcPr>
            <w:tcW w:w="9016" w:type="dxa"/>
            <w:gridSpan w:val="2"/>
          </w:tcPr>
          <w:p w14:paraId="7882DDEC" w14:textId="77777777" w:rsidR="004A1A6E" w:rsidRDefault="004A1A6E" w:rsidP="009B4EE2">
            <w:r>
              <w:t xml:space="preserve">Map (if needed) </w:t>
            </w:r>
          </w:p>
          <w:p w14:paraId="4F888FC9" w14:textId="723A0A02" w:rsidR="00F743DA" w:rsidRDefault="00CD027B" w:rsidP="009B4EE2">
            <w:r>
              <w:rPr>
                <w:noProof/>
              </w:rPr>
              <w:drawing>
                <wp:inline distT="0" distB="0" distL="0" distR="0" wp14:anchorId="379EE843" wp14:editId="66411DCA">
                  <wp:extent cx="5731510" cy="31051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10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595F0D" w14:textId="2734B58A" w:rsidR="00F743DA" w:rsidRDefault="00F743DA" w:rsidP="009B4EE2"/>
        </w:tc>
      </w:tr>
      <w:tr w:rsidR="009E65EC" w:rsidRPr="002B13CB" w14:paraId="2082E1E5" w14:textId="77777777" w:rsidTr="3EF22100">
        <w:tc>
          <w:tcPr>
            <w:tcW w:w="2633" w:type="dxa"/>
          </w:tcPr>
          <w:p w14:paraId="75C6AF11" w14:textId="30B385DD" w:rsidR="009E65EC" w:rsidRPr="002B13CB" w:rsidRDefault="00675E5B" w:rsidP="009B4EE2">
            <w:pPr>
              <w:rPr>
                <w:b/>
              </w:rPr>
            </w:pPr>
            <w:r>
              <w:rPr>
                <w:b/>
              </w:rPr>
              <w:t xml:space="preserve">Allocation or HELAA Reference no. </w:t>
            </w:r>
          </w:p>
        </w:tc>
        <w:tc>
          <w:tcPr>
            <w:tcW w:w="6383" w:type="dxa"/>
          </w:tcPr>
          <w:p w14:paraId="7177EB18" w14:textId="03F53855" w:rsidR="00F7459D" w:rsidRPr="003F777D" w:rsidRDefault="00E45C8D" w:rsidP="00F7459D">
            <w:pPr>
              <w:outlineLvl w:val="0"/>
              <w:rPr>
                <w:noProof/>
              </w:rPr>
            </w:pPr>
            <w:r>
              <w:rPr>
                <w:noProof/>
              </w:rPr>
              <w:t>21T139</w:t>
            </w:r>
          </w:p>
        </w:tc>
      </w:tr>
      <w:tr w:rsidR="001C70E8" w:rsidRPr="002B13CB" w14:paraId="7C80FDAD" w14:textId="77777777" w:rsidTr="3EF22100">
        <w:tc>
          <w:tcPr>
            <w:tcW w:w="2633" w:type="dxa"/>
          </w:tcPr>
          <w:p w14:paraId="5820D080" w14:textId="77777777" w:rsidR="001C70E8" w:rsidRPr="002B13CB" w:rsidRDefault="001C70E8" w:rsidP="009B4EE2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383" w:type="dxa"/>
          </w:tcPr>
          <w:p w14:paraId="7447AB3B" w14:textId="2CDEAB20" w:rsidR="00135146" w:rsidRPr="003F777D" w:rsidRDefault="00E45C8D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>40</w:t>
            </w:r>
          </w:p>
        </w:tc>
      </w:tr>
      <w:tr w:rsidR="00F13BF4" w:rsidRPr="002B13CB" w14:paraId="160921AF" w14:textId="77777777" w:rsidTr="3EF22100">
        <w:tc>
          <w:tcPr>
            <w:tcW w:w="2633" w:type="dxa"/>
          </w:tcPr>
          <w:p w14:paraId="7B90D0CD" w14:textId="58147FF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Suitable</w:t>
            </w:r>
            <w:r w:rsidR="00133370">
              <w:rPr>
                <w:b/>
              </w:rPr>
              <w:t xml:space="preserve">: How the principle of development is established </w:t>
            </w:r>
          </w:p>
        </w:tc>
        <w:tc>
          <w:tcPr>
            <w:tcW w:w="6383" w:type="dxa"/>
          </w:tcPr>
          <w:p w14:paraId="532EF257" w14:textId="1B4A7926" w:rsidR="00F13BF4" w:rsidRDefault="00CD027B" w:rsidP="00F13BF4">
            <w:r>
              <w:t xml:space="preserve">Torquay </w:t>
            </w:r>
            <w:r w:rsidR="00763BC8">
              <w:t>H</w:t>
            </w:r>
            <w:r>
              <w:t xml:space="preserve">arbour Conservation </w:t>
            </w:r>
            <w:r w:rsidR="00763BC8">
              <w:t>A</w:t>
            </w:r>
            <w:r>
              <w:t xml:space="preserve">rea. </w:t>
            </w:r>
            <w:r w:rsidR="00763BC8">
              <w:t xml:space="preserve"> Adjacent Pavilion is a grade 2 listed building and there are other listed buildings </w:t>
            </w:r>
            <w:r w:rsidR="05816493">
              <w:t xml:space="preserve">and a Registered Park/Garden </w:t>
            </w:r>
            <w:r w:rsidR="00763BC8">
              <w:t>in the vicinity.  Application/2015/096</w:t>
            </w:r>
            <w:r w:rsidR="0034532F">
              <w:t xml:space="preserve">1 and P/2015/0962LBC.  However, the site is a sustainably located, key waterfront location.  </w:t>
            </w:r>
          </w:p>
          <w:p w14:paraId="55079A31" w14:textId="77777777" w:rsidR="004C6F66" w:rsidRDefault="004C6F66" w:rsidP="00F13BF4">
            <w:pPr>
              <w:rPr>
                <w:color w:val="FF0000"/>
              </w:rPr>
            </w:pPr>
          </w:p>
          <w:p w14:paraId="79C4260F" w14:textId="5C3F6D27" w:rsidR="004C6F66" w:rsidRPr="003F777D" w:rsidRDefault="004C6F66" w:rsidP="3EF22100">
            <w:pPr>
              <w:rPr>
                <w:color w:val="FF0000"/>
              </w:rPr>
            </w:pPr>
            <w:r>
              <w:t xml:space="preserve">P/2015 is for a 4/5 storey hotel and 7 storeys of residential= 43 units. </w:t>
            </w:r>
          </w:p>
          <w:p w14:paraId="7C5B5920" w14:textId="1F244F96" w:rsidR="004C6F66" w:rsidRPr="003F777D" w:rsidRDefault="004C6F66" w:rsidP="3EF22100"/>
          <w:p w14:paraId="7DA74B85" w14:textId="2654D9C2" w:rsidR="004C6F66" w:rsidRPr="003F777D" w:rsidRDefault="4B18A236" w:rsidP="3EF22100">
            <w:r>
              <w:t xml:space="preserve">Located within flood zone 3 and an area </w:t>
            </w:r>
            <w:r w:rsidR="2244C7F8">
              <w:t>at</w:t>
            </w:r>
            <w:r>
              <w:t xml:space="preserve"> significant risk should a tidal flooding event occur – update of SFRA would provide more detail on whether this risk has worsened.  </w:t>
            </w:r>
          </w:p>
        </w:tc>
      </w:tr>
      <w:tr w:rsidR="00F13BF4" w:rsidRPr="002B13CB" w14:paraId="15B6F10E" w14:textId="77777777" w:rsidTr="3EF22100">
        <w:tc>
          <w:tcPr>
            <w:tcW w:w="2633" w:type="dxa"/>
          </w:tcPr>
          <w:p w14:paraId="775DED7E" w14:textId="15D81E5F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Available</w:t>
            </w:r>
            <w:r w:rsidR="00133370">
              <w:rPr>
                <w:b/>
              </w:rPr>
              <w:t xml:space="preserve">: Any change in circumstances since principle established </w:t>
            </w:r>
          </w:p>
        </w:tc>
        <w:tc>
          <w:tcPr>
            <w:tcW w:w="6383" w:type="dxa"/>
          </w:tcPr>
          <w:p w14:paraId="696D0071" w14:textId="70444D31" w:rsidR="00F13BF4" w:rsidRPr="00675E5B" w:rsidRDefault="00763BC8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>Council owned site</w:t>
            </w:r>
            <w:r w:rsidR="0034532F">
              <w:rPr>
                <w:noProof/>
              </w:rPr>
              <w:t xml:space="preserve">. The application has had a troubled history and was quashed following judicial review. However, unless sistainably loated brownfield sites are pursued, there will be more pressure on greenfield development.  </w:t>
            </w:r>
          </w:p>
        </w:tc>
      </w:tr>
      <w:tr w:rsidR="00F13BF4" w:rsidRPr="002B13CB" w14:paraId="3B6534BD" w14:textId="77777777" w:rsidTr="3EF22100">
        <w:tc>
          <w:tcPr>
            <w:tcW w:w="2633" w:type="dxa"/>
          </w:tcPr>
          <w:p w14:paraId="264A5F2F" w14:textId="7777777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Achievable</w:t>
            </w:r>
          </w:p>
        </w:tc>
        <w:tc>
          <w:tcPr>
            <w:tcW w:w="6383" w:type="dxa"/>
          </w:tcPr>
          <w:p w14:paraId="0E32514A" w14:textId="2BF772C7" w:rsidR="00F13BF4" w:rsidRPr="00675E5B" w:rsidRDefault="0034532F" w:rsidP="00F13BF4">
            <w:r>
              <w:t xml:space="preserve">See above- there are obstacles relating to heritage assets, marine conservation and parking (Cary Green being a Local Green Space).  </w:t>
            </w:r>
          </w:p>
        </w:tc>
      </w:tr>
      <w:tr w:rsidR="00F13BF4" w:rsidRPr="002B13CB" w14:paraId="0FCC394E" w14:textId="77777777" w:rsidTr="3EF22100">
        <w:tc>
          <w:tcPr>
            <w:tcW w:w="2633" w:type="dxa"/>
          </w:tcPr>
          <w:p w14:paraId="34A4FA9F" w14:textId="77777777" w:rsidR="00F13BF4" w:rsidRPr="002B13CB" w:rsidRDefault="00F13BF4" w:rsidP="00F13BF4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383" w:type="dxa"/>
          </w:tcPr>
          <w:p w14:paraId="382F75F0" w14:textId="30F64C00" w:rsidR="00F13BF4" w:rsidRPr="003F777D" w:rsidRDefault="00F13BF4" w:rsidP="00F13BF4"/>
        </w:tc>
      </w:tr>
      <w:tr w:rsidR="00135146" w:rsidRPr="002B13CB" w14:paraId="4252E7D4" w14:textId="77777777" w:rsidTr="3EF22100">
        <w:tc>
          <w:tcPr>
            <w:tcW w:w="2633" w:type="dxa"/>
          </w:tcPr>
          <w:p w14:paraId="1C2E77A6" w14:textId="77777777" w:rsidR="00135146" w:rsidRPr="002B13CB" w:rsidRDefault="00135146" w:rsidP="00135146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383" w:type="dxa"/>
          </w:tcPr>
          <w:p w14:paraId="3DB0CA6F" w14:textId="37EF6B63" w:rsidR="00135146" w:rsidRPr="00EA76CC" w:rsidRDefault="0034532F" w:rsidP="00135146">
            <w:r>
              <w:t xml:space="preserve">Car park </w:t>
            </w:r>
          </w:p>
        </w:tc>
      </w:tr>
      <w:tr w:rsidR="00135146" w:rsidRPr="002B13CB" w14:paraId="3EAB270D" w14:textId="77777777" w:rsidTr="3EF22100">
        <w:tc>
          <w:tcPr>
            <w:tcW w:w="2633" w:type="dxa"/>
          </w:tcPr>
          <w:p w14:paraId="01949240" w14:textId="3346E1C9" w:rsidR="00135146" w:rsidRPr="002B13CB" w:rsidRDefault="00133370" w:rsidP="00135146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6383" w:type="dxa"/>
          </w:tcPr>
          <w:p w14:paraId="1D6ECC95" w14:textId="7F62294D" w:rsidR="00135146" w:rsidRPr="00EA76CC" w:rsidRDefault="00981C8F" w:rsidP="00135146">
            <w:r>
              <w:t>MDL car park and offices on the western side of Torquay Inner Harbour.</w:t>
            </w:r>
          </w:p>
        </w:tc>
      </w:tr>
      <w:tr w:rsidR="00135146" w:rsidRPr="002B13CB" w14:paraId="77CD6EF4" w14:textId="77777777" w:rsidTr="3EF22100">
        <w:tc>
          <w:tcPr>
            <w:tcW w:w="2633" w:type="dxa"/>
          </w:tcPr>
          <w:p w14:paraId="4705FD08" w14:textId="3FEDBB93" w:rsidR="00135146" w:rsidRPr="002B13CB" w:rsidRDefault="00135146" w:rsidP="00135146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383" w:type="dxa"/>
          </w:tcPr>
          <w:p w14:paraId="4BC8F78B" w14:textId="23DD80FD" w:rsidR="00135146" w:rsidRPr="00F14570" w:rsidRDefault="004C6F66" w:rsidP="00135146">
            <w:r>
              <w:t xml:space="preserve">0.38ha </w:t>
            </w:r>
          </w:p>
        </w:tc>
      </w:tr>
    </w:tbl>
    <w:p w14:paraId="426FE67C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14:paraId="2C22CF48" w14:textId="77777777" w:rsidTr="045E6150">
        <w:tc>
          <w:tcPr>
            <w:tcW w:w="9016" w:type="dxa"/>
            <w:gridSpan w:val="2"/>
          </w:tcPr>
          <w:p w14:paraId="0018E7D5" w14:textId="77777777" w:rsidR="009E65EC" w:rsidRPr="00761B28" w:rsidRDefault="009E65EC" w:rsidP="009B4EE2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14:paraId="1ED352F9" w14:textId="1CDCF98B" w:rsidR="00135146" w:rsidRDefault="00E45C8D" w:rsidP="00135146">
            <w:r>
              <w:t>Well located brownfield site. Significant heritage, LGS and marine ecology/SAC con</w:t>
            </w:r>
            <w:r w:rsidR="1062E046">
              <w:t>s</w:t>
            </w:r>
            <w:r>
              <w:t>t</w:t>
            </w:r>
            <w:r w:rsidR="19F91E61">
              <w:t>r</w:t>
            </w:r>
            <w:r>
              <w:t>ain</w:t>
            </w:r>
            <w:r w:rsidR="711C5512">
              <w:t>t</w:t>
            </w:r>
            <w:r>
              <w:t xml:space="preserve">s. Previous application quashed following legal challenge. Likely to be a longer term site unless concerted action is taken to expedite. </w:t>
            </w:r>
            <w:r w:rsidR="00675E5B" w:rsidRPr="045E6150">
              <w:rPr>
                <w:color w:val="FF0000"/>
              </w:rPr>
              <w:t xml:space="preserve"> </w:t>
            </w:r>
          </w:p>
        </w:tc>
      </w:tr>
      <w:tr w:rsidR="009E65EC" w14:paraId="0F189CEC" w14:textId="77777777" w:rsidTr="045E6150">
        <w:tc>
          <w:tcPr>
            <w:tcW w:w="2263" w:type="dxa"/>
          </w:tcPr>
          <w:p w14:paraId="4E76D92B" w14:textId="77777777" w:rsidR="009E65EC" w:rsidRDefault="009E65EC" w:rsidP="009B4EE2">
            <w:r>
              <w:t>The next 5 years</w:t>
            </w:r>
          </w:p>
        </w:tc>
        <w:tc>
          <w:tcPr>
            <w:tcW w:w="6753" w:type="dxa"/>
          </w:tcPr>
          <w:p w14:paraId="4076228F" w14:textId="39EDCC10" w:rsidR="009E65EC" w:rsidRDefault="009E65EC" w:rsidP="003A244A"/>
        </w:tc>
      </w:tr>
      <w:tr w:rsidR="009E65EC" w14:paraId="5B2BD75D" w14:textId="77777777" w:rsidTr="045E6150">
        <w:tc>
          <w:tcPr>
            <w:tcW w:w="2263" w:type="dxa"/>
          </w:tcPr>
          <w:p w14:paraId="3E48BC76" w14:textId="77777777" w:rsidR="009E65EC" w:rsidRDefault="009E65EC" w:rsidP="009B4EE2">
            <w:r>
              <w:t>A 6-10 year period</w:t>
            </w:r>
          </w:p>
        </w:tc>
        <w:tc>
          <w:tcPr>
            <w:tcW w:w="6753" w:type="dxa"/>
          </w:tcPr>
          <w:p w14:paraId="0772D396" w14:textId="77777777" w:rsidR="009E65EC" w:rsidRDefault="009E65EC" w:rsidP="009B4EE2"/>
        </w:tc>
      </w:tr>
      <w:tr w:rsidR="009E65EC" w14:paraId="6E5C2AEE" w14:textId="77777777" w:rsidTr="045E6150">
        <w:tc>
          <w:tcPr>
            <w:tcW w:w="2263" w:type="dxa"/>
          </w:tcPr>
          <w:p w14:paraId="3BF1FBA1" w14:textId="77777777" w:rsidR="009E65EC" w:rsidRDefault="009E65EC" w:rsidP="009B4EE2">
            <w:r>
              <w:t>An 11-15 year period</w:t>
            </w:r>
          </w:p>
        </w:tc>
        <w:tc>
          <w:tcPr>
            <w:tcW w:w="6753" w:type="dxa"/>
          </w:tcPr>
          <w:p w14:paraId="4D4F1818" w14:textId="790FC697" w:rsidR="009E65EC" w:rsidRDefault="00E45C8D" w:rsidP="009B4EE2">
            <w:r>
              <w:t>40</w:t>
            </w:r>
          </w:p>
        </w:tc>
      </w:tr>
      <w:tr w:rsidR="009E65EC" w14:paraId="57973947" w14:textId="77777777" w:rsidTr="045E6150">
        <w:tc>
          <w:tcPr>
            <w:tcW w:w="2263" w:type="dxa"/>
          </w:tcPr>
          <w:p w14:paraId="60E7E0F9" w14:textId="77777777" w:rsidR="009E65EC" w:rsidRDefault="009E65EC" w:rsidP="009B4EE2">
            <w:r>
              <w:t>Later than 15 years</w:t>
            </w:r>
          </w:p>
        </w:tc>
        <w:tc>
          <w:tcPr>
            <w:tcW w:w="6753" w:type="dxa"/>
          </w:tcPr>
          <w:p w14:paraId="3AAE9BAE" w14:textId="77777777" w:rsidR="009E65EC" w:rsidRDefault="009E65EC" w:rsidP="009B4EE2"/>
        </w:tc>
      </w:tr>
    </w:tbl>
    <w:p w14:paraId="616DFE20" w14:textId="77777777" w:rsidR="009E65EC" w:rsidRPr="00B50FC8" w:rsidRDefault="009E65EC" w:rsidP="009E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E65EC" w:rsidRPr="00B50FC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51F3" w14:textId="77777777" w:rsidR="00107A7A" w:rsidRDefault="00107A7A" w:rsidP="009E65EC">
      <w:pPr>
        <w:spacing w:after="0" w:line="240" w:lineRule="auto"/>
      </w:pPr>
      <w:r>
        <w:separator/>
      </w:r>
    </w:p>
  </w:endnote>
  <w:endnote w:type="continuationSeparator" w:id="0">
    <w:p w14:paraId="12CFA8E6" w14:textId="77777777" w:rsidR="00107A7A" w:rsidRDefault="00107A7A" w:rsidP="009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4F70" w14:textId="40FF5098" w:rsidR="009B4EE2" w:rsidRPr="00420634" w:rsidRDefault="00CB69F1">
    <w:pPr>
      <w:pStyle w:val="Footer"/>
      <w:rPr>
        <w:rFonts w:ascii="Arial" w:hAnsi="Arial" w:cs="Arial"/>
      </w:rPr>
    </w:pPr>
    <w:r>
      <w:rPr>
        <w:color w:val="5B9BD5" w:themeColor="accent1"/>
      </w:rPr>
      <w:t xml:space="preserve"> </w:t>
    </w:r>
    <w:r w:rsidRPr="00420634">
      <w:rPr>
        <w:rFonts w:ascii="Arial" w:eastAsiaTheme="majorEastAsia" w:hAnsi="Arial" w:cs="Arial"/>
        <w:sz w:val="20"/>
        <w:szCs w:val="20"/>
      </w:rPr>
      <w:t xml:space="preserve">pg. </w:t>
    </w:r>
    <w:r w:rsidRPr="00420634">
      <w:rPr>
        <w:rFonts w:ascii="Arial" w:eastAsiaTheme="minorEastAsia" w:hAnsi="Arial" w:cs="Arial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eastAsiaTheme="minorEastAsia" w:hAnsi="Arial" w:cs="Arial"/>
        <w:sz w:val="20"/>
        <w:szCs w:val="20"/>
      </w:rPr>
      <w:fldChar w:fldCharType="separate"/>
    </w:r>
    <w:r w:rsidR="006E7C80" w:rsidRPr="006E7C80">
      <w:rPr>
        <w:rFonts w:ascii="Arial" w:eastAsiaTheme="majorEastAsia" w:hAnsi="Arial" w:cs="Arial"/>
        <w:noProof/>
        <w:sz w:val="20"/>
        <w:szCs w:val="20"/>
      </w:rPr>
      <w:t>1</w:t>
    </w:r>
    <w:r w:rsidRPr="00420634">
      <w:rPr>
        <w:rFonts w:ascii="Arial" w:eastAsiaTheme="majorEastAsia" w:hAnsi="Arial" w:cs="Arial"/>
        <w:noProof/>
        <w:sz w:val="20"/>
        <w:szCs w:val="20"/>
      </w:rPr>
      <w:fldChar w:fldCharType="end"/>
    </w:r>
    <w:r w:rsidRPr="00420634">
      <w:rPr>
        <w:rFonts w:ascii="Arial" w:eastAsiaTheme="majorEastAsia" w:hAnsi="Arial" w:cs="Arial"/>
        <w:noProof/>
        <w:sz w:val="20"/>
        <w:szCs w:val="20"/>
      </w:rPr>
      <w:t xml:space="preserve">  </w:t>
    </w:r>
    <w:r w:rsidR="00133370" w:rsidRPr="00420634">
      <w:rPr>
        <w:rFonts w:ascii="Arial" w:eastAsiaTheme="majorEastAsia" w:hAnsi="Arial" w:cs="Arial"/>
        <w:noProof/>
        <w:sz w:val="20"/>
        <w:szCs w:val="20"/>
      </w:rPr>
      <w:t xml:space="preserve">Torbay HELAA 2021: </w:t>
    </w:r>
    <w:r w:rsidR="00133370">
      <w:rPr>
        <w:rFonts w:ascii="Arial" w:eastAsiaTheme="majorEastAsia" w:hAnsi="Arial" w:cs="Arial"/>
        <w:noProof/>
        <w:sz w:val="20"/>
        <w:szCs w:val="20"/>
      </w:rPr>
      <w:t xml:space="preserve">Summary Site Proforma: for sites where the principle of development is established (e.g. through site allocation, planning permission etc.).   </w:t>
    </w:r>
    <w:r w:rsidR="009E65EC">
      <w:rPr>
        <w:rFonts w:ascii="Arial" w:eastAsiaTheme="majorEastAsia" w:hAnsi="Arial" w:cs="Arial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CF587" w14:textId="77777777" w:rsidR="00107A7A" w:rsidRDefault="00107A7A" w:rsidP="009E65EC">
      <w:pPr>
        <w:spacing w:after="0" w:line="240" w:lineRule="auto"/>
      </w:pPr>
      <w:r>
        <w:separator/>
      </w:r>
    </w:p>
  </w:footnote>
  <w:footnote w:type="continuationSeparator" w:id="0">
    <w:p w14:paraId="181332D9" w14:textId="77777777" w:rsidR="00107A7A" w:rsidRDefault="00107A7A" w:rsidP="009E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1AB2" w14:textId="175E347C" w:rsidR="00133370" w:rsidRDefault="00133370">
    <w:pPr>
      <w:pStyle w:val="Head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479378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rect id="Rectangle 452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spid="_x0000_s1026" filled="f" strokecolor="#767171" strokeweight="1.25pt" w14:anchorId="435402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106986"/>
    <w:rsid w:val="00107A7A"/>
    <w:rsid w:val="00121165"/>
    <w:rsid w:val="00133370"/>
    <w:rsid w:val="00133D37"/>
    <w:rsid w:val="00135146"/>
    <w:rsid w:val="00172F71"/>
    <w:rsid w:val="001733A8"/>
    <w:rsid w:val="001C5A09"/>
    <w:rsid w:val="001C70E8"/>
    <w:rsid w:val="001F65E6"/>
    <w:rsid w:val="00242DDA"/>
    <w:rsid w:val="00247134"/>
    <w:rsid w:val="00270E33"/>
    <w:rsid w:val="002C2C7D"/>
    <w:rsid w:val="0034532F"/>
    <w:rsid w:val="003A244A"/>
    <w:rsid w:val="003E6B14"/>
    <w:rsid w:val="003F777D"/>
    <w:rsid w:val="00401DB5"/>
    <w:rsid w:val="00411C11"/>
    <w:rsid w:val="004A1A6E"/>
    <w:rsid w:val="004B39FD"/>
    <w:rsid w:val="004C6F66"/>
    <w:rsid w:val="004F0E3B"/>
    <w:rsid w:val="00510B8B"/>
    <w:rsid w:val="0051685F"/>
    <w:rsid w:val="00645CDA"/>
    <w:rsid w:val="00675E5B"/>
    <w:rsid w:val="00677CC6"/>
    <w:rsid w:val="006E7C80"/>
    <w:rsid w:val="006F2ACC"/>
    <w:rsid w:val="00763BC8"/>
    <w:rsid w:val="00784732"/>
    <w:rsid w:val="007C624A"/>
    <w:rsid w:val="00820DB0"/>
    <w:rsid w:val="00881E28"/>
    <w:rsid w:val="0095177A"/>
    <w:rsid w:val="00953B94"/>
    <w:rsid w:val="00972D03"/>
    <w:rsid w:val="00981C8F"/>
    <w:rsid w:val="009B4EE2"/>
    <w:rsid w:val="009E65EC"/>
    <w:rsid w:val="00A16829"/>
    <w:rsid w:val="00A71842"/>
    <w:rsid w:val="00A87A88"/>
    <w:rsid w:val="00AA250E"/>
    <w:rsid w:val="00AA5616"/>
    <w:rsid w:val="00AD57C3"/>
    <w:rsid w:val="00B32730"/>
    <w:rsid w:val="00BC2C74"/>
    <w:rsid w:val="00CB69F1"/>
    <w:rsid w:val="00CD027B"/>
    <w:rsid w:val="00CE2FC7"/>
    <w:rsid w:val="00D00A6B"/>
    <w:rsid w:val="00D0154E"/>
    <w:rsid w:val="00D72B46"/>
    <w:rsid w:val="00DD1689"/>
    <w:rsid w:val="00DE680A"/>
    <w:rsid w:val="00E16782"/>
    <w:rsid w:val="00E45C8D"/>
    <w:rsid w:val="00E9100C"/>
    <w:rsid w:val="00E965D0"/>
    <w:rsid w:val="00EA76CC"/>
    <w:rsid w:val="00F13BF4"/>
    <w:rsid w:val="00F14570"/>
    <w:rsid w:val="00F54649"/>
    <w:rsid w:val="00F67B04"/>
    <w:rsid w:val="00F743DA"/>
    <w:rsid w:val="00F7459D"/>
    <w:rsid w:val="00F85EBC"/>
    <w:rsid w:val="01F343A1"/>
    <w:rsid w:val="04466409"/>
    <w:rsid w:val="04570863"/>
    <w:rsid w:val="045E6150"/>
    <w:rsid w:val="05816493"/>
    <w:rsid w:val="0910B9B1"/>
    <w:rsid w:val="0CD37741"/>
    <w:rsid w:val="0DDCA2F0"/>
    <w:rsid w:val="0F54C41B"/>
    <w:rsid w:val="1062E046"/>
    <w:rsid w:val="1600DD32"/>
    <w:rsid w:val="165911CE"/>
    <w:rsid w:val="16D421BA"/>
    <w:rsid w:val="19013607"/>
    <w:rsid w:val="19D6D86F"/>
    <w:rsid w:val="19F91E61"/>
    <w:rsid w:val="1A1BCF5E"/>
    <w:rsid w:val="216F5E6B"/>
    <w:rsid w:val="2244C7F8"/>
    <w:rsid w:val="29A6D65A"/>
    <w:rsid w:val="2DDEC0FB"/>
    <w:rsid w:val="2EB7B688"/>
    <w:rsid w:val="312EB8F7"/>
    <w:rsid w:val="32683C27"/>
    <w:rsid w:val="350EC6D6"/>
    <w:rsid w:val="351AE116"/>
    <w:rsid w:val="39AB27D5"/>
    <w:rsid w:val="3CE2311F"/>
    <w:rsid w:val="3EF22100"/>
    <w:rsid w:val="41CF6217"/>
    <w:rsid w:val="448B5B75"/>
    <w:rsid w:val="49E55088"/>
    <w:rsid w:val="4B18A236"/>
    <w:rsid w:val="4D3DE350"/>
    <w:rsid w:val="4EABBA10"/>
    <w:rsid w:val="508590F4"/>
    <w:rsid w:val="55755B3F"/>
    <w:rsid w:val="60B75103"/>
    <w:rsid w:val="6521781E"/>
    <w:rsid w:val="674FE04E"/>
    <w:rsid w:val="67629366"/>
    <w:rsid w:val="67DD717C"/>
    <w:rsid w:val="69ED615D"/>
    <w:rsid w:val="6A8A8CE8"/>
    <w:rsid w:val="6B059CD4"/>
    <w:rsid w:val="711C5512"/>
    <w:rsid w:val="734BF2B5"/>
    <w:rsid w:val="755BE296"/>
    <w:rsid w:val="790C6835"/>
    <w:rsid w:val="7B84FE3B"/>
    <w:rsid w:val="7FD0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8B223820-1343-4997-9155-DAEBF7C9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D4322E-38C4-4432-A6B7-8878AC22A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B19F32-6E2E-490E-BA68-866AFFC6F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8473F0-8E76-4876-98D8-983AA5311D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4</DocSecurity>
  <Lines>12</Lines>
  <Paragraphs>3</Paragraphs>
  <ScaleCrop>false</ScaleCrop>
  <Company>Torbay Council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Bailey-Clark, Rose</cp:lastModifiedBy>
  <cp:revision>6</cp:revision>
  <dcterms:created xsi:type="dcterms:W3CDTF">2021-10-12T13:31:00Z</dcterms:created>
  <dcterms:modified xsi:type="dcterms:W3CDTF">2021-11-25T11:48:00Z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