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Pr="002B13CB" w:rsidR="009E65EC" w:rsidTr="73B7EE79" w14:paraId="59D9977F" w14:textId="77777777">
        <w:tc>
          <w:tcPr>
            <w:tcW w:w="9016" w:type="dxa"/>
            <w:gridSpan w:val="2"/>
            <w:tcMar/>
          </w:tcPr>
          <w:p w:rsidRPr="00247134" w:rsidR="009E65EC" w:rsidP="4B80A07A" w:rsidRDefault="009E65EC" w14:paraId="16EE9512" w14:textId="632119A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B80A07A" w:rsidR="009E65EC">
              <w:rPr>
                <w:b w:val="1"/>
                <w:bCs w:val="1"/>
              </w:rPr>
              <w:t>SITE OVERVIEW</w:t>
            </w:r>
            <w:r w:rsidRPr="4B80A07A" w:rsidR="26C79293">
              <w:rPr>
                <w:b w:val="1"/>
                <w:bCs w:val="1"/>
              </w:rPr>
              <w:t xml:space="preserve">: </w:t>
            </w:r>
            <w:r w:rsidRPr="4B80A07A" w:rsidR="26C792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Pr="002B13CB" w:rsidR="00EA76CC" w:rsidTr="73B7EE79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510B8B" w14:paraId="4B7E6320" w14:textId="29CBF6F6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Pr="002B13CB" w:rsidR="00EA76CC" w:rsidTr="73B7EE79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F7459D" w:rsidRDefault="00C75653" w14:paraId="328A5D3F" w14:textId="1B5A1874">
            <w:r>
              <w:t xml:space="preserve">Former Living Coasts, Beacon Hill </w:t>
            </w:r>
          </w:p>
        </w:tc>
      </w:tr>
      <w:tr w:rsidRPr="002B13CB" w:rsidR="00121165" w:rsidTr="73B7EE79" w14:paraId="69A06E6E" w14:textId="77777777">
        <w:tc>
          <w:tcPr>
            <w:tcW w:w="9016" w:type="dxa"/>
            <w:gridSpan w:val="2"/>
            <w:tcMar/>
          </w:tcPr>
          <w:p w:rsidR="004A1A6E" w:rsidP="00A228ED" w:rsidRDefault="004A1A6E" w14:paraId="7882DDEC" w14:textId="77777777">
            <w:r>
              <w:t xml:space="preserve">Map (if needed) </w:t>
            </w:r>
          </w:p>
          <w:p w:rsidR="00C75653" w:rsidP="00A228ED" w:rsidRDefault="00C75653" w14:paraId="72595F0D" w14:textId="01526E0F">
            <w:r>
              <w:rPr>
                <w:noProof/>
              </w:rPr>
              <w:drawing>
                <wp:inline distT="0" distB="0" distL="0" distR="0" wp14:anchorId="53E53C5A" wp14:editId="1C492B14">
                  <wp:extent cx="2819400" cy="3143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B13CB" w:rsidR="009E65EC" w:rsidTr="73B7EE79" w14:paraId="2082E1E5" w14:textId="77777777">
        <w:tc>
          <w:tcPr>
            <w:tcW w:w="2633" w:type="dxa"/>
            <w:tcMar/>
          </w:tcPr>
          <w:p w:rsidRPr="002B13CB" w:rsidR="009E65EC" w:rsidP="00A228ED" w:rsidRDefault="00675E5B" w14:paraId="75C6AF11" w14:textId="30B385D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383" w:type="dxa"/>
            <w:tcMar/>
          </w:tcPr>
          <w:p w:rsidRPr="003F777D" w:rsidR="00F7459D" w:rsidP="00F7459D" w:rsidRDefault="00C75653" w14:paraId="7177EB18" w14:textId="63839DCC">
            <w:pPr>
              <w:outlineLvl w:val="0"/>
              <w:rPr>
                <w:noProof/>
              </w:rPr>
            </w:pPr>
            <w:r>
              <w:rPr>
                <w:noProof/>
              </w:rPr>
              <w:t>21T119</w:t>
            </w:r>
          </w:p>
        </w:tc>
      </w:tr>
      <w:tr w:rsidRPr="002B13CB" w:rsidR="001C70E8" w:rsidTr="73B7EE79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F743DA" w:rsidRDefault="0027482C" w14:paraId="7447AB3B" w14:textId="592FE4E2">
            <w:pPr>
              <w:outlineLvl w:val="0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Pr="002B13CB" w:rsidR="00F13BF4" w:rsidTr="73B7EE79" w14:paraId="160921AF" w14:textId="77777777">
        <w:tc>
          <w:tcPr>
            <w:tcW w:w="2633" w:type="dxa"/>
            <w:tcMar/>
          </w:tcPr>
          <w:p w:rsidR="00F13BF4" w:rsidP="00F13BF4" w:rsidRDefault="00F13BF4" w14:paraId="7B90D0CD" w14:textId="58147FF7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383" w:type="dxa"/>
            <w:tcMar/>
          </w:tcPr>
          <w:p w:rsidRPr="00C75653" w:rsidR="00F13BF4" w:rsidP="00F13BF4" w:rsidRDefault="00C75653" w14:paraId="636EB13D" w14:textId="77777777">
            <w:r w:rsidRPr="00C75653">
              <w:t xml:space="preserve">Main issues are likely to be principle of </w:t>
            </w:r>
            <w:proofErr w:type="gramStart"/>
            <w:r w:rsidRPr="00C75653">
              <w:t>mixed use</w:t>
            </w:r>
            <w:proofErr w:type="gramEnd"/>
            <w:r w:rsidRPr="00C75653">
              <w:t xml:space="preserve"> development including some residential. Detailed amenity, Conservation Area and marine impacts need to be considered.   A landmark design would be necessary. </w:t>
            </w:r>
          </w:p>
          <w:p w:rsidRPr="00C75653" w:rsidR="00C75653" w:rsidP="00F13BF4" w:rsidRDefault="00C75653" w14:paraId="7DA74B85" w14:textId="0651FB35">
            <w:r>
              <w:t xml:space="preserve">Given the waterfront location a </w:t>
            </w:r>
            <w:proofErr w:type="gramStart"/>
            <w:r>
              <w:t>mixed use</w:t>
            </w:r>
            <w:proofErr w:type="gramEnd"/>
            <w:r>
              <w:t xml:space="preserve"> development incorporating. </w:t>
            </w:r>
          </w:p>
        </w:tc>
      </w:tr>
      <w:tr w:rsidRPr="002B13CB" w:rsidR="00F13BF4" w:rsidTr="73B7EE79" w14:paraId="15B6F10E" w14:textId="77777777">
        <w:tc>
          <w:tcPr>
            <w:tcW w:w="2633" w:type="dxa"/>
            <w:tcMar/>
          </w:tcPr>
          <w:p w:rsidR="00F13BF4" w:rsidP="00F13BF4" w:rsidRDefault="00F13BF4" w14:paraId="775DED7E" w14:textId="15D81E5F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383" w:type="dxa"/>
            <w:tcMar/>
          </w:tcPr>
          <w:p w:rsidRPr="00675E5B" w:rsidR="00F13BF4" w:rsidP="00F743DA" w:rsidRDefault="00C75653" w14:paraId="696D0071" w14:textId="59210113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Yes- site has been marketted </w:t>
            </w:r>
          </w:p>
        </w:tc>
      </w:tr>
      <w:tr w:rsidRPr="002B13CB" w:rsidR="00F13BF4" w:rsidTr="73B7EE79" w14:paraId="3B6534BD" w14:textId="77777777"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675E5B" w:rsidR="00F13BF4" w:rsidP="00F13BF4" w:rsidRDefault="00C75653" w14:paraId="0E32514A" w14:textId="068E740C">
            <w:r>
              <w:t xml:space="preserve">High value location, subject to viable mix of uses. </w:t>
            </w:r>
          </w:p>
        </w:tc>
      </w:tr>
      <w:tr w:rsidRPr="002B13CB" w:rsidR="00F13BF4" w:rsidTr="73B7EE79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30F64C00"/>
        </w:tc>
      </w:tr>
      <w:tr w:rsidRPr="002B13CB" w:rsidR="00135146" w:rsidTr="73B7EE79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1664D7" w14:paraId="3DB0CA6F" w14:textId="2DEF18A2">
            <w:r>
              <w:t xml:space="preserve">Vacant zoological aviary. </w:t>
            </w:r>
          </w:p>
        </w:tc>
      </w:tr>
      <w:tr w:rsidRPr="002B13CB" w:rsidR="00135146" w:rsidTr="73B7EE79" w14:paraId="3EAB270D" w14:textId="77777777">
        <w:tc>
          <w:tcPr>
            <w:tcW w:w="2633" w:type="dxa"/>
            <w:tcMar/>
          </w:tcPr>
          <w:p w:rsidRPr="002B13CB" w:rsidR="00135146" w:rsidP="00135146" w:rsidRDefault="00133370" w14:paraId="01949240" w14:textId="3346E1C9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  <w:tcMar/>
          </w:tcPr>
          <w:p w:rsidRPr="00EA76CC" w:rsidR="00135146" w:rsidP="00135146" w:rsidRDefault="001664D7" w14:paraId="1D6ECC95" w14:textId="713977FF">
            <w:r>
              <w:t xml:space="preserve">Vacant </w:t>
            </w:r>
            <w:proofErr w:type="gramStart"/>
            <w:r>
              <w:t>Living Coasts zoo</w:t>
            </w:r>
            <w:proofErr w:type="gramEnd"/>
            <w:r>
              <w:t xml:space="preserve"> on site of former Coral Island located on a headland on Beacon Quay. </w:t>
            </w:r>
          </w:p>
        </w:tc>
      </w:tr>
      <w:tr w:rsidRPr="002B13CB" w:rsidR="00135146" w:rsidTr="73B7EE79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3FEDBB93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F14570" w:rsidR="00135146" w:rsidP="00135146" w:rsidRDefault="00C75653" w14:paraId="4BC8F78B" w14:textId="4EB7EC4C">
            <w:r>
              <w:t xml:space="preserve">0.24ha (excluding car park) </w:t>
            </w:r>
          </w:p>
        </w:tc>
      </w:tr>
      <w:tr w:rsidR="73B7EE79" w:rsidTr="73B7EE79" w14:paraId="295F04A6">
        <w:tc>
          <w:tcPr>
            <w:tcW w:w="2633" w:type="dxa"/>
            <w:tcMar/>
          </w:tcPr>
          <w:p w:rsidR="17337E77" w:rsidP="73B7EE79" w:rsidRDefault="17337E77" w14:paraId="735B1CE4" w14:textId="09CC0F60">
            <w:pPr>
              <w:pStyle w:val="Normal"/>
              <w:rPr>
                <w:b w:val="1"/>
                <w:bCs w:val="1"/>
              </w:rPr>
            </w:pPr>
            <w:r w:rsidRPr="73B7EE79" w:rsidR="17337E77">
              <w:rPr>
                <w:b w:val="1"/>
                <w:bCs w:val="1"/>
              </w:rPr>
              <w:t>HELAA Panel Summary</w:t>
            </w:r>
          </w:p>
        </w:tc>
        <w:tc>
          <w:tcPr>
            <w:tcW w:w="6383" w:type="dxa"/>
            <w:tcMar/>
          </w:tcPr>
          <w:p w:rsidR="17337E77" w:rsidP="73B7EE79" w:rsidRDefault="17337E77" w14:paraId="4674DA33" w14:textId="0984D0F8">
            <w:pPr>
              <w:pStyle w:val="Normal"/>
            </w:pPr>
            <w:r w:rsidR="17337E77">
              <w:rPr/>
              <w:t>Premier site that would be incredible for apartments.</w:t>
            </w:r>
          </w:p>
          <w:p w:rsidR="17337E77" w:rsidP="73B7EE79" w:rsidRDefault="17337E77" w14:paraId="2A2E3CDE" w14:textId="67CE5732">
            <w:pPr>
              <w:pStyle w:val="Normal"/>
            </w:pPr>
            <w:r w:rsidR="17337E77">
              <w:rPr/>
              <w:t>TDA expressed desired for retention as an employment/tourist attraction site – something more special for Torbay than solely resi.</w:t>
            </w:r>
          </w:p>
          <w:p w:rsidR="17337E77" w:rsidP="73B7EE79" w:rsidRDefault="17337E77" w14:paraId="694CC95A" w14:textId="1E33263C">
            <w:pPr>
              <w:pStyle w:val="Normal"/>
            </w:pPr>
            <w:r w:rsidR="17337E77">
              <w:rPr/>
              <w:t>Some consensus that mixed use may be ideal.</w:t>
            </w:r>
          </w:p>
          <w:p w:rsidR="17337E77" w:rsidP="73B7EE79" w:rsidRDefault="17337E77" w14:paraId="1F945153" w14:textId="2897237C">
            <w:pPr>
              <w:pStyle w:val="Normal"/>
            </w:pPr>
            <w:r w:rsidR="17337E77">
              <w:rPr/>
              <w:t>Deliverability may be a challenge.</w:t>
            </w:r>
          </w:p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135146" w:rsidP="00135146" w:rsidRDefault="001C70E8" w14:paraId="1ED352F9" w14:textId="60D9099B">
            <w:r>
              <w:t>Reasonable prospect of delivery (timescale):</w:t>
            </w:r>
            <w:r w:rsidR="0027482C">
              <w:t xml:space="preserve"> </w:t>
            </w:r>
            <w:r w:rsidR="001664D7">
              <w:t xml:space="preserve">Suitable, high value site, subject to principle of residential use being agreed. </w:t>
            </w: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</w:tcPr>
          <w:p w:rsidR="009E65EC" w:rsidP="003A244A" w:rsidRDefault="009E65EC" w14:paraId="4076228F" w14:textId="39EDCC10"/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>A 6-10 year period</w:t>
            </w:r>
          </w:p>
        </w:tc>
        <w:tc>
          <w:tcPr>
            <w:tcW w:w="6753" w:type="dxa"/>
          </w:tcPr>
          <w:p w:rsidR="009E65EC" w:rsidP="00A228ED" w:rsidRDefault="001664D7" w14:paraId="0772D396" w14:textId="3340B15E">
            <w:r>
              <w:t>20</w:t>
            </w:r>
          </w:p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t>An 11-15 year period</w:t>
            </w:r>
          </w:p>
        </w:tc>
        <w:tc>
          <w:tcPr>
            <w:tcW w:w="6753" w:type="dxa"/>
          </w:tcPr>
          <w:p w:rsidR="009E65EC" w:rsidP="00A228ED" w:rsidRDefault="009E65EC" w14:paraId="4D4F1818" w14:textId="54C72884"/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9E65EC" w14:paraId="3AAE9BAE" w14:textId="77777777"/>
        </w:tc>
      </w:tr>
    </w:tbl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FEC" w:rsidP="009E65EC" w:rsidRDefault="00573FEC" w14:paraId="3DFDAFC9" w14:textId="77777777">
      <w:pPr>
        <w:spacing w:after="0" w:line="240" w:lineRule="auto"/>
      </w:pPr>
      <w:r>
        <w:separator/>
      </w:r>
    </w:p>
  </w:endnote>
  <w:endnote w:type="continuationSeparator" w:id="0">
    <w:p w:rsidR="00573FEC" w:rsidP="009E65EC" w:rsidRDefault="00573FEC" w14:paraId="5F99E4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0634" w:rsidR="00420634" w:rsidRDefault="00CB69F1" w14:paraId="65394F70" w14:textId="40FF5098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6E7C80" w:rsidR="006E7C80">
      <w:rPr>
        <w:rFonts w:ascii="Arial" w:hAnsi="Arial" w:cs="Arial" w:eastAsiaTheme="majorEastAsia"/>
        <w:noProof/>
        <w:sz w:val="20"/>
        <w:szCs w:val="20"/>
      </w:rPr>
      <w:t>1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</w:t>
    </w:r>
    <w:r w:rsidRPr="00420634" w:rsidR="00133370">
      <w:rPr>
        <w:rFonts w:ascii="Arial" w:hAnsi="Arial" w:cs="Arial" w:eastAsiaTheme="majorEastAsia"/>
        <w:noProof/>
        <w:sz w:val="20"/>
        <w:szCs w:val="20"/>
      </w:rPr>
      <w:t xml:space="preserve">Torbay HELAA 2021: </w:t>
    </w:r>
    <w:r w:rsidR="00133370">
      <w:rPr>
        <w:rFonts w:ascii="Arial" w:hAnsi="Arial" w:cs="Arial" w:eastAsiaTheme="majorEastAsia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FEC" w:rsidP="009E65EC" w:rsidRDefault="00573FEC" w14:paraId="0CD7DE6F" w14:textId="77777777">
      <w:pPr>
        <w:spacing w:after="0" w:line="240" w:lineRule="auto"/>
      </w:pPr>
      <w:r>
        <w:separator/>
      </w:r>
    </w:p>
  </w:footnote>
  <w:footnote w:type="continuationSeparator" w:id="0">
    <w:p w:rsidR="00573FEC" w:rsidP="009E65EC" w:rsidRDefault="00573FEC" w14:paraId="641FCC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33370" w:rsidRDefault="00133370" w14:paraId="184E1AB2" w14:textId="175E347C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664D7"/>
    <w:rsid w:val="00172F71"/>
    <w:rsid w:val="001733A8"/>
    <w:rsid w:val="001C5A09"/>
    <w:rsid w:val="001C70E8"/>
    <w:rsid w:val="001F65E6"/>
    <w:rsid w:val="00242DDA"/>
    <w:rsid w:val="00247134"/>
    <w:rsid w:val="00270E33"/>
    <w:rsid w:val="0027482C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573FEC"/>
    <w:rsid w:val="00645CDA"/>
    <w:rsid w:val="00675E5B"/>
    <w:rsid w:val="00677CC6"/>
    <w:rsid w:val="006E7C80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75653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85EBC"/>
    <w:rsid w:val="17337E77"/>
    <w:rsid w:val="26C79293"/>
    <w:rsid w:val="3630E9A4"/>
    <w:rsid w:val="4B80A07A"/>
    <w:rsid w:val="50C88A4A"/>
    <w:rsid w:val="6DABF645"/>
    <w:rsid w:val="73B7E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F984-6EC1-4ED0-BCB3-6D3052012DF3}"/>
</file>

<file path=customXml/itemProps2.xml><?xml version="1.0" encoding="utf-8"?>
<ds:datastoreItem xmlns:ds="http://schemas.openxmlformats.org/officeDocument/2006/customXml" ds:itemID="{B8A13B99-213D-4AA2-8E23-DA178BD676F5}"/>
</file>

<file path=customXml/itemProps3.xml><?xml version="1.0" encoding="utf-8"?>
<ds:datastoreItem xmlns:ds="http://schemas.openxmlformats.org/officeDocument/2006/customXml" ds:itemID="{D1C8B8BD-F14D-4B6D-B6A0-191E2A1066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Davies, Craig</lastModifiedBy>
  <revision>4</revision>
  <dcterms:created xsi:type="dcterms:W3CDTF">2021-10-08T16:51:00.0000000Z</dcterms:created>
  <dcterms:modified xsi:type="dcterms:W3CDTF">2021-11-26T12:12:24.2223089Z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