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640"/>
        <w:gridCol w:w="6390"/>
      </w:tblGrid>
      <w:tr w:rsidR="7BAB1B87" w:rsidTr="67E51A3C" w14:paraId="667B6A2F">
        <w:tc>
          <w:tcPr>
            <w:tcW w:w="9030" w:type="dxa"/>
            <w:gridSpan w:val="2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7BAB1B87" w:rsidP="67E51A3C" w:rsidRDefault="7BAB1B87" w14:paraId="16D6AE3D" w14:textId="13EE465A">
            <w:pPr>
              <w:pStyle w:val="Normal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  <w:r w:rsidRPr="67E51A3C" w:rsidR="7BAB1B87">
              <w:rPr>
                <w:rFonts w:ascii="Calibri" w:hAnsi="Calibri" w:eastAsia="Calibri" w:cs="Calibri"/>
                <w:b w:val="1"/>
                <w:bCs w:val="1"/>
                <w:sz w:val="22"/>
                <w:szCs w:val="22"/>
              </w:rPr>
              <w:t>SITE OVERVIEW</w:t>
            </w:r>
            <w:r w:rsidRPr="67E51A3C" w:rsidR="11DEA60F">
              <w:rPr>
                <w:rFonts w:ascii="Calibri" w:hAnsi="Calibri" w:eastAsia="Calibri" w:cs="Calibri"/>
                <w:b w:val="1"/>
                <w:bCs w:val="1"/>
                <w:sz w:val="22"/>
                <w:szCs w:val="22"/>
              </w:rPr>
              <w:t xml:space="preserve">: </w:t>
            </w:r>
            <w:r w:rsidRPr="67E51A3C" w:rsidR="11DEA60F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FF781D"/>
                <w:sz w:val="22"/>
                <w:szCs w:val="22"/>
                <w:u w:val="none"/>
                <w:lang w:val="en-US"/>
              </w:rPr>
              <w:t>Amber sites – significant constraints</w:t>
            </w:r>
          </w:p>
        </w:tc>
      </w:tr>
      <w:tr w:rsidR="7BAB1B87" w:rsidTr="67E51A3C" w14:paraId="1C12FCD1">
        <w:tc>
          <w:tcPr>
            <w:tcW w:w="264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7BAB1B87" w:rsidRDefault="7BAB1B87" w14:paraId="7BF6CAF4" w14:textId="39AD4A77">
            <w:r w:rsidRPr="7BAB1B87" w:rsidR="7BAB1B87">
              <w:rPr>
                <w:rFonts w:ascii="Calibri" w:hAnsi="Calibri" w:eastAsia="Calibri" w:cs="Calibri"/>
                <w:b w:val="1"/>
                <w:bCs w:val="1"/>
                <w:sz w:val="22"/>
                <w:szCs w:val="22"/>
              </w:rPr>
              <w:t xml:space="preserve">Town   </w:t>
            </w:r>
          </w:p>
        </w:tc>
        <w:tc>
          <w:tcPr>
            <w:tcW w:w="6390" w:type="dxa"/>
            <w:tcBorders>
              <w:top w:val="nil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7BAB1B87" w:rsidRDefault="7BAB1B87" w14:paraId="35438E7A" w14:textId="1CD51E35">
            <w:r w:rsidRPr="7BAB1B87" w:rsidR="7BAB1B87">
              <w:rPr>
                <w:rFonts w:ascii="Calibri" w:hAnsi="Calibri" w:eastAsia="Calibri" w:cs="Calibri"/>
                <w:b w:val="1"/>
                <w:bCs w:val="1"/>
                <w:sz w:val="22"/>
                <w:szCs w:val="22"/>
              </w:rPr>
              <w:t xml:space="preserve">Torquay </w:t>
            </w:r>
          </w:p>
        </w:tc>
      </w:tr>
      <w:tr w:rsidR="7BAB1B87" w:rsidTr="67E51A3C" w14:paraId="15A02FE0">
        <w:tc>
          <w:tcPr>
            <w:tcW w:w="264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7BAB1B87" w:rsidRDefault="7BAB1B87" w14:paraId="23E79A7D" w14:textId="0A635884">
            <w:r w:rsidRPr="7BAB1B87" w:rsidR="7BAB1B87">
              <w:rPr>
                <w:rFonts w:ascii="Calibri" w:hAnsi="Calibri" w:eastAsia="Calibri" w:cs="Calibri"/>
                <w:b w:val="1"/>
                <w:bCs w:val="1"/>
                <w:sz w:val="22"/>
                <w:szCs w:val="22"/>
              </w:rPr>
              <w:t>Site Name</w:t>
            </w:r>
          </w:p>
        </w:tc>
        <w:tc>
          <w:tcPr>
            <w:tcW w:w="639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7BAB1B87" w:rsidRDefault="7BAB1B87" w14:paraId="04F215FC" w14:textId="468DF571">
            <w:r w:rsidRPr="7BAB1B87" w:rsidR="7BAB1B87">
              <w:rPr>
                <w:rFonts w:ascii="Calibri" w:hAnsi="Calibri" w:eastAsia="Calibri" w:cs="Calibri"/>
                <w:sz w:val="22"/>
                <w:szCs w:val="22"/>
              </w:rPr>
              <w:t>North of Nuthatch Drive</w:t>
            </w:r>
          </w:p>
        </w:tc>
      </w:tr>
      <w:tr w:rsidR="7BAB1B87" w:rsidTr="67E51A3C" w14:paraId="722C7FF7">
        <w:tc>
          <w:tcPr>
            <w:tcW w:w="264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7BAB1B87" w:rsidRDefault="7BAB1B87" w14:paraId="43856342" w14:textId="11365B61">
            <w:r w:rsidRPr="7BAB1B87" w:rsidR="7BAB1B87">
              <w:rPr>
                <w:rFonts w:ascii="Calibri" w:hAnsi="Calibri" w:eastAsia="Calibri" w:cs="Calibri"/>
                <w:b w:val="1"/>
                <w:bCs w:val="1"/>
                <w:sz w:val="22"/>
                <w:szCs w:val="22"/>
              </w:rPr>
              <w:t xml:space="preserve">Allocation or HELAA Reference no. </w:t>
            </w:r>
          </w:p>
        </w:tc>
        <w:tc>
          <w:tcPr>
            <w:tcW w:w="639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7BAB1B87" w:rsidRDefault="7BAB1B87" w14:paraId="684DDC15" w14:textId="2E23CE4F">
            <w:r w:rsidRPr="7BAB1B87" w:rsidR="7BAB1B87">
              <w:rPr>
                <w:rFonts w:ascii="Calibri" w:hAnsi="Calibri" w:eastAsia="Calibri" w:cs="Calibri"/>
                <w:sz w:val="22"/>
                <w:szCs w:val="22"/>
              </w:rPr>
              <w:t>21T018</w:t>
            </w:r>
          </w:p>
          <w:p w:rsidR="7BAB1B87" w:rsidRDefault="7BAB1B87" w14:paraId="44CE1C89" w14:textId="22D8DBF2">
            <w:r w:rsidRPr="7BAB1B87" w:rsidR="7BAB1B87">
              <w:rPr>
                <w:rFonts w:ascii="Calibri" w:hAnsi="Calibri" w:eastAsia="Calibri" w:cs="Calibri"/>
                <w:sz w:val="22"/>
                <w:szCs w:val="22"/>
              </w:rPr>
              <w:t xml:space="preserve">TNPH3 </w:t>
            </w:r>
          </w:p>
          <w:p w:rsidR="7BAB1B87" w:rsidRDefault="7BAB1B87" w14:paraId="5664FD0B" w14:textId="0F9066E9">
            <w:r w:rsidRPr="7BAB1B87" w:rsidR="7BAB1B87">
              <w:rPr>
                <w:rFonts w:ascii="Calibri" w:hAnsi="Calibri" w:eastAsia="Calibri" w:cs="Calibri"/>
                <w:sz w:val="22"/>
                <w:szCs w:val="22"/>
              </w:rPr>
              <w:t>T749</w:t>
            </w:r>
          </w:p>
        </w:tc>
      </w:tr>
      <w:tr w:rsidR="7BAB1B87" w:rsidTr="67E51A3C" w14:paraId="387D9CC0">
        <w:tc>
          <w:tcPr>
            <w:tcW w:w="264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7BAB1B87" w:rsidRDefault="7BAB1B87" w14:paraId="4A8347A4" w14:textId="62F01076">
            <w:r w:rsidRPr="7BAB1B87" w:rsidR="7BAB1B87">
              <w:rPr>
                <w:rFonts w:ascii="Calibri" w:hAnsi="Calibri" w:eastAsia="Calibri" w:cs="Calibri"/>
                <w:b w:val="1"/>
                <w:bCs w:val="1"/>
                <w:sz w:val="22"/>
                <w:szCs w:val="22"/>
              </w:rPr>
              <w:t>Approx. yield</w:t>
            </w:r>
          </w:p>
        </w:tc>
        <w:tc>
          <w:tcPr>
            <w:tcW w:w="639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7BAB1B87" w:rsidRDefault="7BAB1B87" w14:paraId="4F240C96" w14:textId="258F4883">
            <w:r w:rsidRPr="7BAB1B87" w:rsidR="7BAB1B87">
              <w:rPr>
                <w:rFonts w:ascii="Calibri" w:hAnsi="Calibri" w:eastAsia="Calibri" w:cs="Calibri"/>
                <w:sz w:val="22"/>
                <w:szCs w:val="22"/>
              </w:rPr>
              <w:t xml:space="preserve">100 </w:t>
            </w:r>
          </w:p>
        </w:tc>
      </w:tr>
      <w:tr w:rsidR="7BAB1B87" w:rsidTr="67E51A3C" w14:paraId="46313919">
        <w:tc>
          <w:tcPr>
            <w:tcW w:w="9030" w:type="dxa"/>
            <w:gridSpan w:val="2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15579510" w:rsidP="7BAB1B87" w:rsidRDefault="15579510" w14:paraId="2B3293FF" w14:textId="279ECF0D">
            <w:pPr>
              <w:pStyle w:val="Normal"/>
            </w:pPr>
            <w:r w:rsidR="15579510">
              <w:drawing>
                <wp:inline wp14:editId="156CF121" wp14:anchorId="04E2231E">
                  <wp:extent cx="4410075" cy="2686050"/>
                  <wp:effectExtent l="0" t="0" r="0" b="0"/>
                  <wp:docPr id="2130718854" name="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43ea9496309d4ca7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10075" cy="2686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7BAB1B87" w:rsidTr="67E51A3C" w14:paraId="265BF9B0">
        <w:tc>
          <w:tcPr>
            <w:tcW w:w="264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7BAB1B87" w:rsidRDefault="7BAB1B87" w14:paraId="400C063A" w14:textId="36ECB09C">
            <w:r w:rsidRPr="7BAB1B87" w:rsidR="7BAB1B87">
              <w:rPr>
                <w:rFonts w:ascii="Calibri" w:hAnsi="Calibri" w:eastAsia="Calibri" w:cs="Calibri"/>
                <w:b w:val="1"/>
                <w:bCs w:val="1"/>
                <w:sz w:val="22"/>
                <w:szCs w:val="22"/>
              </w:rPr>
              <w:t xml:space="preserve">Suitable: How the principle of development is established </w:t>
            </w:r>
          </w:p>
        </w:tc>
        <w:tc>
          <w:tcPr>
            <w:tcW w:w="6390" w:type="dxa"/>
            <w:tcBorders>
              <w:top w:val="nil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7BAB1B87" w:rsidRDefault="7BAB1B87" w14:paraId="20849923" w14:textId="1681AF84">
            <w:r w:rsidRPr="3C90A019" w:rsidR="7BAB1B87">
              <w:rPr>
                <w:rFonts w:ascii="Calibri" w:hAnsi="Calibri" w:eastAsia="Calibri" w:cs="Calibri"/>
                <w:sz w:val="22"/>
                <w:szCs w:val="22"/>
              </w:rPr>
              <w:t xml:space="preserve">Allocated site </w:t>
            </w:r>
          </w:p>
          <w:p w:rsidR="7BAB1B87" w:rsidP="3C90A019" w:rsidRDefault="7BAB1B87" w14:paraId="5F2CD651" w14:textId="49076EC1">
            <w:pPr>
              <w:pStyle w:val="Normal"/>
              <w:rPr>
                <w:rFonts w:ascii="Calibri" w:hAnsi="Calibri" w:eastAsia="Calibri" w:cs="Calibri"/>
                <w:sz w:val="22"/>
                <w:szCs w:val="22"/>
              </w:rPr>
            </w:pPr>
          </w:p>
          <w:p w:rsidR="7BAB1B87" w:rsidP="3C90A019" w:rsidRDefault="7BAB1B87" w14:paraId="208767B5" w14:textId="1987BC9A">
            <w:pPr>
              <w:pStyle w:val="Normal"/>
              <w:rPr>
                <w:rFonts w:ascii="Arial" w:hAnsi="Arial" w:eastAsia="Arial" w:cs="Arial"/>
                <w:noProof w:val="0"/>
                <w:sz w:val="22"/>
                <w:szCs w:val="22"/>
                <w:lang w:val="en-US"/>
              </w:rPr>
            </w:pPr>
            <w:r w:rsidRPr="3C90A019" w:rsidR="7BFB4991">
              <w:rPr>
                <w:rFonts w:ascii="Calibri" w:hAnsi="Calibri" w:eastAsia="Calibri" w:cs="Calibri"/>
                <w:sz w:val="22"/>
                <w:szCs w:val="22"/>
              </w:rPr>
              <w:t xml:space="preserve">Archaeology: </w:t>
            </w:r>
            <w:r w:rsidRPr="3C90A019" w:rsidR="7BFB4991">
              <w:rPr>
                <w:rFonts w:ascii="Arial" w:hAnsi="Arial" w:eastAsia="Arial" w:cs="Arial"/>
                <w:noProof w:val="0"/>
                <w:sz w:val="22"/>
                <w:szCs w:val="22"/>
                <w:lang w:val="en-US"/>
              </w:rPr>
              <w:t>Medieval field system identified on LiDAR. May need programme of archaeological mitigation.</w:t>
            </w:r>
          </w:p>
        </w:tc>
      </w:tr>
      <w:tr w:rsidR="7BAB1B87" w:rsidTr="67E51A3C" w14:paraId="1A4E36F5">
        <w:tc>
          <w:tcPr>
            <w:tcW w:w="264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7BAB1B87" w:rsidRDefault="7BAB1B87" w14:paraId="3EF1276A" w14:textId="6206913E">
            <w:r w:rsidRPr="7BAB1B87" w:rsidR="7BAB1B87">
              <w:rPr>
                <w:rFonts w:ascii="Calibri" w:hAnsi="Calibri" w:eastAsia="Calibri" w:cs="Calibri"/>
                <w:b w:val="1"/>
                <w:bCs w:val="1"/>
                <w:sz w:val="22"/>
                <w:szCs w:val="22"/>
              </w:rPr>
              <w:t xml:space="preserve">Available: Any change in circumstances since principle established </w:t>
            </w:r>
          </w:p>
        </w:tc>
        <w:tc>
          <w:tcPr>
            <w:tcW w:w="639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7BAB1B87" w:rsidRDefault="7BAB1B87" w14:paraId="200C2760" w14:textId="3B4F1801">
            <w:r w:rsidRPr="7BAB1B87" w:rsidR="7BAB1B87">
              <w:rPr>
                <w:rFonts w:ascii="Calibri" w:hAnsi="Calibri" w:eastAsia="Calibri" w:cs="Calibri"/>
                <w:sz w:val="22"/>
                <w:szCs w:val="22"/>
              </w:rPr>
              <w:t xml:space="preserve">Appears </w:t>
            </w:r>
            <w:r w:rsidRPr="7BAB1B87" w:rsidR="7BAB1B87">
              <w:rPr>
                <w:rFonts w:ascii="Calibri" w:hAnsi="Calibri" w:eastAsia="Calibri" w:cs="Calibri"/>
                <w:sz w:val="22"/>
                <w:szCs w:val="22"/>
              </w:rPr>
              <w:t>to</w:t>
            </w:r>
            <w:r w:rsidRPr="7BAB1B87" w:rsidR="7BAB1B87">
              <w:rPr>
                <w:rFonts w:ascii="Calibri" w:hAnsi="Calibri" w:eastAsia="Calibri" w:cs="Calibri"/>
                <w:sz w:val="22"/>
                <w:szCs w:val="22"/>
              </w:rPr>
              <w:t xml:space="preserve"> be available </w:t>
            </w:r>
          </w:p>
        </w:tc>
      </w:tr>
      <w:tr w:rsidR="7BAB1B87" w:rsidTr="67E51A3C" w14:paraId="5491E0D1">
        <w:tc>
          <w:tcPr>
            <w:tcW w:w="264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7BAB1B87" w:rsidRDefault="7BAB1B87" w14:paraId="606D0C23" w14:textId="0D0AE63E">
            <w:r w:rsidRPr="7BAB1B87" w:rsidR="7BAB1B87">
              <w:rPr>
                <w:rFonts w:ascii="Calibri" w:hAnsi="Calibri" w:eastAsia="Calibri" w:cs="Calibri"/>
                <w:b w:val="1"/>
                <w:bCs w:val="1"/>
                <w:sz w:val="22"/>
                <w:szCs w:val="22"/>
              </w:rPr>
              <w:t>Achievable</w:t>
            </w:r>
          </w:p>
        </w:tc>
        <w:tc>
          <w:tcPr>
            <w:tcW w:w="639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7BAB1B87" w:rsidRDefault="7BAB1B87" w14:paraId="0B19F1DF" w14:textId="0E9D4189">
            <w:r w:rsidRPr="7BAB1B87" w:rsidR="7BAB1B87">
              <w:rPr>
                <w:rFonts w:ascii="Calibri" w:hAnsi="Calibri" w:eastAsia="Calibri" w:cs="Calibri"/>
                <w:sz w:val="22"/>
                <w:szCs w:val="22"/>
              </w:rPr>
              <w:t>Yes- subject to availability</w:t>
            </w:r>
          </w:p>
        </w:tc>
      </w:tr>
      <w:tr w:rsidR="7BAB1B87" w:rsidTr="67E51A3C" w14:paraId="6308ED5B">
        <w:tc>
          <w:tcPr>
            <w:tcW w:w="264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7BAB1B87" w:rsidRDefault="7BAB1B87" w14:paraId="546D7639" w14:textId="0AF15B01">
            <w:r w:rsidRPr="7BAB1B87" w:rsidR="7BAB1B87">
              <w:rPr>
                <w:rFonts w:ascii="Calibri" w:hAnsi="Calibri" w:eastAsia="Calibri" w:cs="Calibri"/>
                <w:b w:val="1"/>
                <w:bCs w:val="1"/>
                <w:sz w:val="22"/>
                <w:szCs w:val="22"/>
              </w:rPr>
              <w:t>Customer Reference no.</w:t>
            </w:r>
          </w:p>
        </w:tc>
        <w:tc>
          <w:tcPr>
            <w:tcW w:w="639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7BAB1B87" w:rsidRDefault="7BAB1B87" w14:paraId="1FB58793" w14:textId="70C38FCB">
            <w:r w:rsidRPr="7BAB1B87" w:rsidR="7BAB1B87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</w:tr>
      <w:tr w:rsidR="7BAB1B87" w:rsidTr="67E51A3C" w14:paraId="5E2E31D3">
        <w:tc>
          <w:tcPr>
            <w:tcW w:w="264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7BAB1B87" w:rsidRDefault="7BAB1B87" w14:paraId="350AB514" w14:textId="2178C158">
            <w:r w:rsidRPr="7BAB1B87" w:rsidR="7BAB1B87">
              <w:rPr>
                <w:rFonts w:ascii="Calibri" w:hAnsi="Calibri" w:eastAsia="Calibri" w:cs="Calibri"/>
                <w:b w:val="1"/>
                <w:bCs w:val="1"/>
                <w:sz w:val="22"/>
                <w:szCs w:val="22"/>
              </w:rPr>
              <w:t>Current use</w:t>
            </w:r>
          </w:p>
        </w:tc>
        <w:tc>
          <w:tcPr>
            <w:tcW w:w="639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7BAB1B87" w:rsidRDefault="7BAB1B87" w14:paraId="3F7ABAB0" w14:textId="0B9C371B">
            <w:r w:rsidRPr="7BAB1B87" w:rsidR="7BAB1B87">
              <w:rPr>
                <w:rFonts w:ascii="Calibri" w:hAnsi="Calibri" w:eastAsia="Calibri" w:cs="Calibri"/>
                <w:sz w:val="22"/>
                <w:szCs w:val="22"/>
              </w:rPr>
              <w:t xml:space="preserve">Land associated with holiday park </w:t>
            </w:r>
          </w:p>
        </w:tc>
      </w:tr>
      <w:tr w:rsidR="7BAB1B87" w:rsidTr="67E51A3C" w14:paraId="6783FCB5">
        <w:tc>
          <w:tcPr>
            <w:tcW w:w="264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7BAB1B87" w:rsidRDefault="7BAB1B87" w14:paraId="356C34C2" w14:textId="20D203FF">
            <w:r w:rsidRPr="7BAB1B87" w:rsidR="7BAB1B87">
              <w:rPr>
                <w:rFonts w:ascii="Calibri" w:hAnsi="Calibri" w:eastAsia="Calibri" w:cs="Calibri"/>
                <w:b w:val="1"/>
                <w:bCs w:val="1"/>
                <w:sz w:val="22"/>
                <w:szCs w:val="22"/>
              </w:rPr>
              <w:t>Site description</w:t>
            </w:r>
          </w:p>
        </w:tc>
        <w:tc>
          <w:tcPr>
            <w:tcW w:w="639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7BAB1B87" w:rsidRDefault="7BAB1B87" w14:paraId="0541BDCB" w14:textId="071F5EC8">
            <w:r w:rsidRPr="7BAB1B87" w:rsidR="7BAB1B87">
              <w:rPr>
                <w:rFonts w:ascii="Calibri" w:hAnsi="Calibri" w:eastAsia="Calibri" w:cs="Calibri"/>
                <w:sz w:val="22"/>
                <w:szCs w:val="22"/>
              </w:rPr>
              <w:t xml:space="preserve">Land north of Nuthatch Drive and to the east of Furzebank Plantation, Scotts Bridge, Torquay. </w:t>
            </w:r>
          </w:p>
        </w:tc>
      </w:tr>
      <w:tr w:rsidR="7BAB1B87" w:rsidTr="67E51A3C" w14:paraId="199C9D41">
        <w:tc>
          <w:tcPr>
            <w:tcW w:w="264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7BAB1B87" w:rsidRDefault="7BAB1B87" w14:paraId="42A90136" w14:textId="07A33064">
            <w:r w:rsidRPr="7BAB1B87" w:rsidR="7BAB1B87">
              <w:rPr>
                <w:rFonts w:ascii="Calibri" w:hAnsi="Calibri" w:eastAsia="Calibri" w:cs="Calibri"/>
                <w:b w:val="1"/>
                <w:bCs w:val="1"/>
                <w:sz w:val="22"/>
                <w:szCs w:val="22"/>
              </w:rPr>
              <w:t xml:space="preserve">Total site area (ha) </w:t>
            </w:r>
          </w:p>
        </w:tc>
        <w:tc>
          <w:tcPr>
            <w:tcW w:w="639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7BAB1B87" w:rsidRDefault="7BAB1B87" w14:paraId="085060C7" w14:textId="013EA7FD">
            <w:r w:rsidRPr="7BAB1B87" w:rsidR="7BAB1B87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</w:tr>
    </w:tbl>
    <w:p xmlns:wp14="http://schemas.microsoft.com/office/word/2010/wordml" w14:paraId="07A8BE5F" wp14:textId="2501EAAE">
      <w:r w:rsidRPr="7BAB1B87" w:rsidR="45E3F6C3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265"/>
        <w:gridCol w:w="6750"/>
      </w:tblGrid>
      <w:tr w:rsidR="7BAB1B87" w:rsidTr="7BAB1B87" w14:paraId="3CA3B5EF">
        <w:tc>
          <w:tcPr>
            <w:tcW w:w="9015" w:type="dxa"/>
            <w:gridSpan w:val="2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7BAB1B87" w:rsidRDefault="7BAB1B87" w14:paraId="02BBDC27" w14:textId="5A325394">
            <w:r w:rsidRPr="7BAB1B87" w:rsidR="7BAB1B87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  <w:p w:rsidR="7BAB1B87" w:rsidRDefault="7BAB1B87" w14:paraId="66EE27F5" w14:textId="698E3F1A">
            <w:r w:rsidRPr="7BAB1B87" w:rsidR="7BAB1B87">
              <w:rPr>
                <w:rFonts w:ascii="Calibri" w:hAnsi="Calibri" w:eastAsia="Calibri" w:cs="Calibri"/>
                <w:b w:val="1"/>
                <w:bCs w:val="1"/>
                <w:sz w:val="22"/>
                <w:szCs w:val="22"/>
              </w:rPr>
              <w:t xml:space="preserve">AVAILABILITY ASSESSMENT </w:t>
            </w:r>
          </w:p>
          <w:p w:rsidR="7BAB1B87" w:rsidRDefault="7BAB1B87" w14:paraId="7E877AB0" w14:textId="0E5C0A2C">
            <w:r w:rsidRPr="7BAB1B87" w:rsidR="7BAB1B87">
              <w:rPr>
                <w:rFonts w:ascii="Calibri" w:hAnsi="Calibri" w:eastAsia="Calibri" w:cs="Calibri"/>
                <w:sz w:val="22"/>
                <w:szCs w:val="22"/>
              </w:rPr>
              <w:t>Reasonable prospect of delivery (timescale):</w:t>
            </w:r>
          </w:p>
          <w:p w:rsidR="7BAB1B87" w:rsidRDefault="7BAB1B87" w14:paraId="419CF41D" w14:textId="6E8C9CE0">
            <w:r w:rsidRPr="7BAB1B87" w:rsidR="7BAB1B87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  <w:p w:rsidR="7BAB1B87" w:rsidRDefault="7BAB1B87" w14:paraId="490163DE" w14:textId="5737778D">
            <w:r w:rsidRPr="7BAB1B87" w:rsidR="7BAB1B87">
              <w:rPr>
                <w:rFonts w:ascii="Calibri" w:hAnsi="Calibri" w:eastAsia="Calibri" w:cs="Calibri"/>
                <w:sz w:val="22"/>
                <w:szCs w:val="22"/>
              </w:rPr>
              <w:t>Confirmation of availability needed from owners</w:t>
            </w:r>
            <w:r w:rsidRPr="7BAB1B87" w:rsidR="7BAB1B87">
              <w:rPr>
                <w:rFonts w:ascii="Calibri" w:hAnsi="Calibri" w:eastAsia="Calibri" w:cs="Calibri"/>
                <w:color w:val="FF0000"/>
                <w:sz w:val="22"/>
                <w:szCs w:val="22"/>
              </w:rPr>
              <w:t xml:space="preserve">. </w:t>
            </w:r>
          </w:p>
        </w:tc>
      </w:tr>
      <w:tr w:rsidR="7BAB1B87" w:rsidTr="7BAB1B87" w14:paraId="44D94DBB">
        <w:tc>
          <w:tcPr>
            <w:tcW w:w="226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7BAB1B87" w:rsidRDefault="7BAB1B87" w14:paraId="526DEFB0" w14:textId="0D717719">
            <w:r w:rsidRPr="7BAB1B87" w:rsidR="7BAB1B87">
              <w:rPr>
                <w:rFonts w:ascii="Calibri" w:hAnsi="Calibri" w:eastAsia="Calibri" w:cs="Calibri"/>
                <w:sz w:val="22"/>
                <w:szCs w:val="22"/>
              </w:rPr>
              <w:t>The next 5 years</w:t>
            </w:r>
          </w:p>
        </w:tc>
        <w:tc>
          <w:tcPr>
            <w:tcW w:w="6750" w:type="dxa"/>
            <w:tcBorders>
              <w:top w:val="nil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7BAB1B87" w:rsidRDefault="7BAB1B87" w14:paraId="35E9E3BB" w14:textId="0650FC52">
            <w:r w:rsidRPr="7BAB1B87" w:rsidR="7BAB1B87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</w:tr>
      <w:tr w:rsidR="7BAB1B87" w:rsidTr="7BAB1B87" w14:paraId="21D81AB4">
        <w:tc>
          <w:tcPr>
            <w:tcW w:w="226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7BAB1B87" w:rsidRDefault="7BAB1B87" w14:paraId="4268FD51" w14:textId="2BBB282A">
            <w:r w:rsidRPr="7BAB1B87" w:rsidR="7BAB1B87">
              <w:rPr>
                <w:rFonts w:ascii="Calibri" w:hAnsi="Calibri" w:eastAsia="Calibri" w:cs="Calibri"/>
                <w:sz w:val="22"/>
                <w:szCs w:val="22"/>
              </w:rPr>
              <w:t>A 6-10 year period</w:t>
            </w:r>
          </w:p>
        </w:tc>
        <w:tc>
          <w:tcPr>
            <w:tcW w:w="675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7BAB1B87" w:rsidRDefault="7BAB1B87" w14:paraId="6E310D5A" w14:textId="21442384">
            <w:r w:rsidRPr="7BAB1B87" w:rsidR="7BAB1B87">
              <w:rPr>
                <w:rFonts w:ascii="Calibri" w:hAnsi="Calibri" w:eastAsia="Calibri" w:cs="Calibri"/>
                <w:sz w:val="22"/>
                <w:szCs w:val="22"/>
              </w:rPr>
              <w:t>100</w:t>
            </w:r>
          </w:p>
        </w:tc>
      </w:tr>
      <w:tr w:rsidR="7BAB1B87" w:rsidTr="7BAB1B87" w14:paraId="560EA666">
        <w:tc>
          <w:tcPr>
            <w:tcW w:w="226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7BAB1B87" w:rsidRDefault="7BAB1B87" w14:paraId="32818561" w14:textId="6FD6A1C0">
            <w:r w:rsidRPr="7BAB1B87" w:rsidR="7BAB1B87">
              <w:rPr>
                <w:rFonts w:ascii="Calibri" w:hAnsi="Calibri" w:eastAsia="Calibri" w:cs="Calibri"/>
                <w:sz w:val="22"/>
                <w:szCs w:val="22"/>
              </w:rPr>
              <w:t>An 11-15 year period</w:t>
            </w:r>
          </w:p>
        </w:tc>
        <w:tc>
          <w:tcPr>
            <w:tcW w:w="675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7BAB1B87" w:rsidRDefault="7BAB1B87" w14:paraId="5D0CCAEE" w14:textId="67BDD164">
            <w:r w:rsidRPr="7BAB1B87" w:rsidR="7BAB1B87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</w:tr>
      <w:tr w:rsidR="7BAB1B87" w:rsidTr="7BAB1B87" w14:paraId="6114C42D">
        <w:tc>
          <w:tcPr>
            <w:tcW w:w="226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7BAB1B87" w:rsidRDefault="7BAB1B87" w14:paraId="5D945317" w14:textId="593AF8F0">
            <w:r w:rsidRPr="7BAB1B87" w:rsidR="7BAB1B87">
              <w:rPr>
                <w:rFonts w:ascii="Calibri" w:hAnsi="Calibri" w:eastAsia="Calibri" w:cs="Calibri"/>
                <w:sz w:val="22"/>
                <w:szCs w:val="22"/>
              </w:rPr>
              <w:t>Later than 15 years</w:t>
            </w:r>
          </w:p>
        </w:tc>
        <w:tc>
          <w:tcPr>
            <w:tcW w:w="675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7BAB1B87" w:rsidRDefault="7BAB1B87" w14:paraId="15C302F4" w14:textId="1D54BF15">
            <w:r w:rsidRPr="7BAB1B87" w:rsidR="7BAB1B87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</w:tr>
    </w:tbl>
    <w:p xmlns:wp14="http://schemas.microsoft.com/office/word/2010/wordml" w14:paraId="327D0962" wp14:textId="2747343C">
      <w:r w:rsidRPr="7BAB1B87" w:rsidR="45E3F6C3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 </w:t>
      </w:r>
    </w:p>
    <w:p xmlns:wp14="http://schemas.microsoft.com/office/word/2010/wordml" w:rsidP="7BAB1B87" w14:paraId="2AF6C69D" wp14:textId="74C836BE">
      <w:pPr>
        <w:rPr>
          <w:rFonts w:ascii="Arial" w:hAnsi="Arial" w:eastAsia="Arial" w:cs="Arial"/>
          <w:noProof w:val="0"/>
          <w:sz w:val="22"/>
          <w:szCs w:val="22"/>
          <w:lang w:val="en-US"/>
        </w:rPr>
      </w:pPr>
    </w:p>
    <w:p xmlns:wp14="http://schemas.microsoft.com/office/word/2010/wordml" w:rsidP="7BAB1B87" w14:paraId="2C078E63" wp14:textId="128DEBCD">
      <w:pPr>
        <w:pStyle w:val="Normal"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19CDA6A"/>
    <w:rsid w:val="019CDA6A"/>
    <w:rsid w:val="11DEA60F"/>
    <w:rsid w:val="15579510"/>
    <w:rsid w:val="3C90A019"/>
    <w:rsid w:val="45E3F6C3"/>
    <w:rsid w:val="67E51A3C"/>
    <w:rsid w:val="794E8AA8"/>
    <w:rsid w:val="7BAB1B87"/>
    <w:rsid w:val="7BFB4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9CDA6A"/>
  <w15:chartTrackingRefBased/>
  <w15:docId w15:val="{494A3384-1D0B-49D9-9BFA-0939229DBD0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png" Id="R43ea9496309d4ca7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E2F9E21189074F9C2F026F08F36625" ma:contentTypeVersion="13" ma:contentTypeDescription="Create a new document." ma:contentTypeScope="" ma:versionID="c949057315d1d42127ae4dfcd2f67965">
  <xsd:schema xmlns:xsd="http://www.w3.org/2001/XMLSchema" xmlns:xs="http://www.w3.org/2001/XMLSchema" xmlns:p="http://schemas.microsoft.com/office/2006/metadata/properties" xmlns:ns2="216be0e3-fb59-44d6-9a08-5c3bad261b2e" xmlns:ns3="21e08795-e594-43a2-9ea7-16e3644ae68e" targetNamespace="http://schemas.microsoft.com/office/2006/metadata/properties" ma:root="true" ma:fieldsID="d6a75d12afaca8ac6c0106347905a455" ns2:_="" ns3:_="">
    <xsd:import namespace="216be0e3-fb59-44d6-9a08-5c3bad261b2e"/>
    <xsd:import namespace="21e08795-e594-43a2-9ea7-16e3644ae6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6be0e3-fb59-44d6-9a08-5c3bad261b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e08795-e594-43a2-9ea7-16e3644ae68e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93A2411-9AF9-4254-B3E6-7741DB25958B}"/>
</file>

<file path=customXml/itemProps2.xml><?xml version="1.0" encoding="utf-8"?>
<ds:datastoreItem xmlns:ds="http://schemas.openxmlformats.org/officeDocument/2006/customXml" ds:itemID="{14FB75E8-0B90-4FF0-BE8C-FEECB6348BB8}"/>
</file>

<file path=customXml/itemProps3.xml><?xml version="1.0" encoding="utf-8"?>
<ds:datastoreItem xmlns:ds="http://schemas.openxmlformats.org/officeDocument/2006/customXml" ds:itemID="{515A36E9-BE48-4348-8DE1-B83248A7CA63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Davies, Craig</dc:creator>
  <keywords/>
  <dc:description/>
  <lastModifiedBy>Bailey-Clark, Rose</lastModifiedBy>
  <dcterms:created xsi:type="dcterms:W3CDTF">2021-09-16T15:39:04.0000000Z</dcterms:created>
  <dcterms:modified xsi:type="dcterms:W3CDTF">2021-11-25T10:14:10.2842466Z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0x010100FAE2F9E21189074F9C2F026F08F36625</vt:lpwstr>
  </property>
</Properties>
</file>