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bottomFromText="284" w:vertAnchor="text" w:tblpY="1"/>
        <w:tblOverlap w:val="never"/>
        <w:tblW w:w="10573" w:type="dxa"/>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shd w:val="clear" w:color="auto" w:fill="800080"/>
        <w:tblCellMar>
          <w:left w:w="0" w:type="dxa"/>
          <w:right w:w="0" w:type="dxa"/>
        </w:tblCellMar>
        <w:tblLook w:val="04A0" w:firstRow="1" w:lastRow="0" w:firstColumn="1" w:lastColumn="0" w:noHBand="0" w:noVBand="1"/>
      </w:tblPr>
      <w:tblGrid>
        <w:gridCol w:w="3861"/>
        <w:gridCol w:w="6712"/>
      </w:tblGrid>
      <w:tr w:rsidR="00206976" w:rsidRPr="008952DF" w14:paraId="0047432A" w14:textId="77777777" w:rsidTr="00004D05">
        <w:trPr>
          <w:trHeight w:val="883"/>
        </w:trPr>
        <w:tc>
          <w:tcPr>
            <w:tcW w:w="3861" w:type="dxa"/>
            <w:shd w:val="clear" w:color="auto" w:fill="800080" w:themeFill="text1"/>
            <w:tcMar>
              <w:right w:w="284" w:type="dxa"/>
            </w:tcMar>
            <w:vAlign w:val="center"/>
          </w:tcPr>
          <w:p w14:paraId="2781D5C3" w14:textId="77777777" w:rsidR="00206976" w:rsidRPr="008952DF" w:rsidRDefault="00206976" w:rsidP="00904AEE">
            <w:pPr>
              <w:jc w:val="right"/>
            </w:pPr>
          </w:p>
        </w:tc>
        <w:tc>
          <w:tcPr>
            <w:tcW w:w="6712" w:type="dxa"/>
            <w:shd w:val="clear" w:color="auto" w:fill="800080" w:themeFill="text1"/>
            <w:tcMar>
              <w:right w:w="284" w:type="dxa"/>
            </w:tcMar>
            <w:vAlign w:val="center"/>
          </w:tcPr>
          <w:p w14:paraId="3AF26631" w14:textId="77777777" w:rsidR="00206976" w:rsidRPr="008952DF" w:rsidRDefault="00206976" w:rsidP="00904AEE">
            <w:pPr>
              <w:jc w:val="right"/>
            </w:pPr>
            <w:r>
              <w:rPr>
                <w:noProof/>
                <w:lang w:eastAsia="en-GB"/>
              </w:rPr>
              <w:t xml:space="preserve"> </w:t>
            </w:r>
            <w:r w:rsidRPr="008952DF">
              <w:rPr>
                <w:noProof/>
                <w:lang w:eastAsia="en-GB"/>
              </w:rPr>
              <w:drawing>
                <wp:inline distT="0" distB="0" distL="0" distR="0" wp14:anchorId="03DA90C7" wp14:editId="72F0E31A">
                  <wp:extent cx="2159993"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206976" w:rsidRPr="008952DF" w14:paraId="6549B119" w14:textId="77777777" w:rsidTr="00004D05">
        <w:trPr>
          <w:trHeight w:val="7601"/>
        </w:trPr>
        <w:tc>
          <w:tcPr>
            <w:tcW w:w="10573" w:type="dxa"/>
            <w:gridSpan w:val="2"/>
            <w:tcBorders>
              <w:bottom w:val="nil"/>
            </w:tcBorders>
            <w:shd w:val="clear" w:color="auto" w:fill="800080" w:themeFill="text1"/>
          </w:tcPr>
          <w:p w14:paraId="48E8622C" w14:textId="77777777" w:rsidR="00206976" w:rsidRDefault="00206976" w:rsidP="00904AEE">
            <w:pPr>
              <w:spacing w:after="240"/>
              <w:jc w:val="center"/>
              <w:rPr>
                <w:noProof/>
                <w:lang w:eastAsia="en-GB"/>
              </w:rPr>
            </w:pPr>
            <w:r>
              <w:rPr>
                <w:noProof/>
                <w:lang w:eastAsia="en-GB"/>
              </w:rPr>
              <w:drawing>
                <wp:inline distT="0" distB="0" distL="0" distR="0" wp14:anchorId="1E456138" wp14:editId="66AF7616">
                  <wp:extent cx="665797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2" cstate="print">
                            <a:extLst>
                              <a:ext uri="{28A0092B-C50C-407E-A947-70E740481C1C}">
                                <a14:useLocalDpi xmlns:a14="http://schemas.microsoft.com/office/drawing/2010/main" val="0"/>
                              </a:ext>
                            </a:extLst>
                          </a:blip>
                          <a:srcRect t="15318" r="1376" b="34776"/>
                          <a:stretch/>
                        </pic:blipFill>
                        <pic:spPr bwMode="auto">
                          <a:xfrm>
                            <a:off x="0" y="0"/>
                            <a:ext cx="6660254" cy="1753200"/>
                          </a:xfrm>
                          <a:prstGeom prst="rect">
                            <a:avLst/>
                          </a:prstGeom>
                          <a:ln>
                            <a:noFill/>
                          </a:ln>
                          <a:extLst>
                            <a:ext uri="{53640926-AAD7-44D8-BBD7-CCE9431645EC}">
                              <a14:shadowObscured xmlns:a14="http://schemas.microsoft.com/office/drawing/2010/main"/>
                            </a:ext>
                          </a:extLst>
                        </pic:spPr>
                      </pic:pic>
                    </a:graphicData>
                  </a:graphic>
                </wp:inline>
              </w:drawing>
            </w:r>
          </w:p>
          <w:p w14:paraId="160B0981" w14:textId="77777777" w:rsidR="00206976" w:rsidRDefault="00206976" w:rsidP="00904AEE">
            <w:pPr>
              <w:spacing w:after="240"/>
              <w:jc w:val="right"/>
              <w:rPr>
                <w:noProof/>
                <w:lang w:eastAsia="en-GB"/>
              </w:rPr>
            </w:pPr>
            <w:r>
              <w:rPr>
                <w:noProof/>
                <w:lang w:eastAsia="en-GB"/>
              </w:rPr>
              <w:drawing>
                <wp:inline distT="0" distB="0" distL="0" distR="0" wp14:anchorId="7452148A" wp14:editId="0BEAD737">
                  <wp:extent cx="6660219" cy="17614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3" cstate="print">
                            <a:extLst>
                              <a:ext uri="{28A0092B-C50C-407E-A947-70E740481C1C}">
                                <a14:useLocalDpi xmlns:a14="http://schemas.microsoft.com/office/drawing/2010/main" val="0"/>
                              </a:ext>
                            </a:extLst>
                          </a:blip>
                          <a:srcRect t="14394" b="38588"/>
                          <a:stretch/>
                        </pic:blipFill>
                        <pic:spPr bwMode="auto">
                          <a:xfrm>
                            <a:off x="0" y="0"/>
                            <a:ext cx="6711119" cy="1774952"/>
                          </a:xfrm>
                          <a:prstGeom prst="rect">
                            <a:avLst/>
                          </a:prstGeom>
                          <a:ln>
                            <a:noFill/>
                          </a:ln>
                          <a:extLst>
                            <a:ext uri="{53640926-AAD7-44D8-BBD7-CCE9431645EC}">
                              <a14:shadowObscured xmlns:a14="http://schemas.microsoft.com/office/drawing/2010/main"/>
                            </a:ext>
                          </a:extLst>
                        </pic:spPr>
                      </pic:pic>
                    </a:graphicData>
                  </a:graphic>
                </wp:inline>
              </w:drawing>
            </w:r>
          </w:p>
          <w:p w14:paraId="407861B8" w14:textId="77777777" w:rsidR="00206976" w:rsidRPr="008952DF" w:rsidRDefault="00206976" w:rsidP="00904AEE">
            <w:pPr>
              <w:spacing w:after="240"/>
              <w:jc w:val="right"/>
              <w:rPr>
                <w:noProof/>
                <w:lang w:eastAsia="en-GB"/>
              </w:rPr>
            </w:pPr>
            <w:r>
              <w:rPr>
                <w:noProof/>
                <w:lang w:eastAsia="en-GB"/>
              </w:rPr>
              <w:drawing>
                <wp:inline distT="0" distB="0" distL="0" distR="0" wp14:anchorId="4B4F0DCE" wp14:editId="32D173D9">
                  <wp:extent cx="6677025" cy="1735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4" cstate="print">
                            <a:extLst>
                              <a:ext uri="{28A0092B-C50C-407E-A947-70E740481C1C}">
                                <a14:useLocalDpi xmlns:a14="http://schemas.microsoft.com/office/drawing/2010/main" val="0"/>
                              </a:ext>
                            </a:extLst>
                          </a:blip>
                          <a:srcRect b="60870"/>
                          <a:stretch/>
                        </pic:blipFill>
                        <pic:spPr bwMode="auto">
                          <a:xfrm>
                            <a:off x="0" y="0"/>
                            <a:ext cx="6760502" cy="1757029"/>
                          </a:xfrm>
                          <a:prstGeom prst="rect">
                            <a:avLst/>
                          </a:prstGeom>
                          <a:ln>
                            <a:noFill/>
                          </a:ln>
                          <a:extLst>
                            <a:ext uri="{53640926-AAD7-44D8-BBD7-CCE9431645EC}">
                              <a14:shadowObscured xmlns:a14="http://schemas.microsoft.com/office/drawing/2010/main"/>
                            </a:ext>
                          </a:extLst>
                        </pic:spPr>
                      </pic:pic>
                    </a:graphicData>
                  </a:graphic>
                </wp:inline>
              </w:drawing>
            </w:r>
          </w:p>
        </w:tc>
      </w:tr>
      <w:tr w:rsidR="00206976" w:rsidRPr="002369A7" w14:paraId="32EE4818" w14:textId="77777777" w:rsidTr="00004D05">
        <w:trPr>
          <w:trHeight w:val="3907"/>
        </w:trPr>
        <w:tc>
          <w:tcPr>
            <w:tcW w:w="10573" w:type="dxa"/>
            <w:gridSpan w:val="2"/>
            <w:tcBorders>
              <w:bottom w:val="nil"/>
            </w:tcBorders>
            <w:shd w:val="clear" w:color="auto" w:fill="800080" w:themeFill="text1"/>
            <w:tcMar>
              <w:left w:w="170" w:type="dxa"/>
              <w:right w:w="170" w:type="dxa"/>
            </w:tcMar>
          </w:tcPr>
          <w:p w14:paraId="571C0371" w14:textId="3A46A7C0" w:rsidR="00206976" w:rsidRPr="00184A46" w:rsidRDefault="0002399E" w:rsidP="00904AEE">
            <w:pPr>
              <w:pStyle w:val="Title"/>
              <w:framePr w:hSpace="0" w:wrap="auto" w:vAnchor="margin" w:yAlign="inline"/>
              <w:suppressOverlap w:val="0"/>
            </w:pPr>
            <w:r>
              <w:t xml:space="preserve">Housing and Economic Land Availability Assessment </w:t>
            </w:r>
            <w:r w:rsidR="00FD198B">
              <w:t>(HELAA)</w:t>
            </w:r>
          </w:p>
          <w:p w14:paraId="68BCED73" w14:textId="1A6C059A" w:rsidR="00206976" w:rsidRPr="00FD198B" w:rsidRDefault="00817C6C" w:rsidP="00206976">
            <w:pPr>
              <w:pStyle w:val="Subtitle"/>
              <w:framePr w:hSpace="0" w:wrap="auto" w:vAnchor="margin" w:yAlign="inline"/>
              <w:suppressOverlap w:val="0"/>
              <w:rPr>
                <w:sz w:val="32"/>
                <w:szCs w:val="32"/>
              </w:rPr>
            </w:pPr>
            <w:r>
              <w:rPr>
                <w:sz w:val="32"/>
                <w:szCs w:val="32"/>
              </w:rPr>
              <w:t>December 2021</w:t>
            </w:r>
          </w:p>
        </w:tc>
      </w:tr>
    </w:tbl>
    <w:p w14:paraId="7A508919" w14:textId="77777777" w:rsidR="00206976" w:rsidRDefault="00206976">
      <w:pPr>
        <w:spacing w:line="264" w:lineRule="auto"/>
        <w:sectPr w:rsidR="00206976" w:rsidSect="00206976">
          <w:headerReference w:type="even" r:id="rId15"/>
          <w:headerReference w:type="default" r:id="rId16"/>
          <w:footerReference w:type="even" r:id="rId17"/>
          <w:footerReference w:type="first" r:id="rId18"/>
          <w:pgSz w:w="11906" w:h="16838" w:code="9"/>
          <w:pgMar w:top="720" w:right="720" w:bottom="720" w:left="720" w:header="567" w:footer="284" w:gutter="0"/>
          <w:cols w:space="708"/>
          <w:docGrid w:linePitch="360"/>
        </w:sectPr>
      </w:pPr>
    </w:p>
    <w:sdt>
      <w:sdtPr>
        <w:rPr>
          <w:b/>
          <w:noProof/>
          <w:color w:val="auto"/>
          <w:sz w:val="24"/>
          <w:szCs w:val="21"/>
        </w:rPr>
        <w:id w:val="698511224"/>
        <w:docPartObj>
          <w:docPartGallery w:val="Table of Contents"/>
          <w:docPartUnique/>
        </w:docPartObj>
      </w:sdtPr>
      <w:sdtEndPr/>
      <w:sdtContent>
        <w:p w14:paraId="7EA86FC0" w14:textId="77777777" w:rsidR="002369A7" w:rsidRPr="00206976" w:rsidRDefault="002369A7" w:rsidP="00206976">
          <w:pPr>
            <w:pStyle w:val="contentsheading"/>
          </w:pPr>
          <w:r w:rsidRPr="00206976">
            <w:t>Contents</w:t>
          </w:r>
        </w:p>
        <w:p w14:paraId="1A1A24FD" w14:textId="681A6D4B" w:rsidR="0070559F" w:rsidRDefault="00E05A4C">
          <w:pPr>
            <w:pStyle w:val="TOC1"/>
            <w:rPr>
              <w:b w:val="0"/>
              <w:sz w:val="22"/>
              <w:szCs w:val="22"/>
              <w:lang w:eastAsia="en-GB"/>
            </w:rPr>
          </w:pPr>
          <w:r>
            <w:fldChar w:fldCharType="begin"/>
          </w:r>
          <w:r>
            <w:instrText xml:space="preserve"> TOC \o "1-1" \h \z \u </w:instrText>
          </w:r>
          <w:r>
            <w:fldChar w:fldCharType="separate"/>
          </w:r>
          <w:hyperlink w:anchor="_Toc93076257" w:history="1">
            <w:r w:rsidR="0070559F" w:rsidRPr="003B07A0">
              <w:rPr>
                <w:rStyle w:val="Hyperlink"/>
              </w:rPr>
              <w:t>Torbay Housing and Economic Land Availability Assessment</w:t>
            </w:r>
            <w:r w:rsidR="0070559F">
              <w:rPr>
                <w:webHidden/>
              </w:rPr>
              <w:tab/>
            </w:r>
            <w:r w:rsidR="0070559F">
              <w:rPr>
                <w:webHidden/>
              </w:rPr>
              <w:fldChar w:fldCharType="begin"/>
            </w:r>
            <w:r w:rsidR="0070559F">
              <w:rPr>
                <w:webHidden/>
              </w:rPr>
              <w:instrText xml:space="preserve"> PAGEREF _Toc93076257 \h </w:instrText>
            </w:r>
            <w:r w:rsidR="0070559F">
              <w:rPr>
                <w:webHidden/>
              </w:rPr>
            </w:r>
            <w:r w:rsidR="0070559F">
              <w:rPr>
                <w:webHidden/>
              </w:rPr>
              <w:fldChar w:fldCharType="separate"/>
            </w:r>
            <w:r w:rsidR="0070559F">
              <w:rPr>
                <w:webHidden/>
              </w:rPr>
              <w:t>3</w:t>
            </w:r>
            <w:r w:rsidR="0070559F">
              <w:rPr>
                <w:webHidden/>
              </w:rPr>
              <w:fldChar w:fldCharType="end"/>
            </w:r>
          </w:hyperlink>
        </w:p>
        <w:p w14:paraId="7809AB63" w14:textId="0145CF3C" w:rsidR="0070559F" w:rsidRDefault="00246C30">
          <w:pPr>
            <w:pStyle w:val="TOC1"/>
            <w:rPr>
              <w:b w:val="0"/>
              <w:sz w:val="22"/>
              <w:szCs w:val="22"/>
              <w:lang w:eastAsia="en-GB"/>
            </w:rPr>
          </w:pPr>
          <w:hyperlink w:anchor="_Toc93076258" w:history="1">
            <w:r w:rsidR="0070559F" w:rsidRPr="003B07A0">
              <w:rPr>
                <w:rStyle w:val="Hyperlink"/>
              </w:rPr>
              <w:t>Appendices</w:t>
            </w:r>
            <w:r w:rsidR="0070559F">
              <w:rPr>
                <w:webHidden/>
              </w:rPr>
              <w:tab/>
            </w:r>
            <w:r w:rsidR="0070559F">
              <w:rPr>
                <w:webHidden/>
              </w:rPr>
              <w:fldChar w:fldCharType="begin"/>
            </w:r>
            <w:r w:rsidR="0070559F">
              <w:rPr>
                <w:webHidden/>
              </w:rPr>
              <w:instrText xml:space="preserve"> PAGEREF _Toc93076258 \h </w:instrText>
            </w:r>
            <w:r w:rsidR="0070559F">
              <w:rPr>
                <w:webHidden/>
              </w:rPr>
            </w:r>
            <w:r w:rsidR="0070559F">
              <w:rPr>
                <w:webHidden/>
              </w:rPr>
              <w:fldChar w:fldCharType="separate"/>
            </w:r>
            <w:r w:rsidR="0070559F">
              <w:rPr>
                <w:webHidden/>
              </w:rPr>
              <w:t>19</w:t>
            </w:r>
            <w:r w:rsidR="0070559F">
              <w:rPr>
                <w:webHidden/>
              </w:rPr>
              <w:fldChar w:fldCharType="end"/>
            </w:r>
          </w:hyperlink>
        </w:p>
        <w:p w14:paraId="342DE449" w14:textId="2600FEFC" w:rsidR="002369A7" w:rsidRDefault="00E05A4C" w:rsidP="002369A7">
          <w:pPr>
            <w:pStyle w:val="TOC1"/>
          </w:pPr>
          <w:r>
            <w:fldChar w:fldCharType="end"/>
          </w:r>
        </w:p>
      </w:sdtContent>
    </w:sdt>
    <w:p w14:paraId="5F9B93CB" w14:textId="03702EA5" w:rsidR="009B7227" w:rsidRPr="009B7227" w:rsidRDefault="00E05A4C" w:rsidP="00E05A4C">
      <w:pPr>
        <w:pStyle w:val="largeprinttext"/>
        <w:framePr w:wrap="around"/>
        <w:pBdr>
          <w:top w:val="single" w:sz="4" w:space="12" w:color="auto"/>
        </w:pBdr>
      </w:pPr>
      <w:r w:rsidRPr="005E2D99">
        <w:t xml:space="preserve">This document can be made available in other languages and formats. For more </w:t>
      </w:r>
      <w:r w:rsidR="0066462A" w:rsidRPr="005E2D99">
        <w:t>information,</w:t>
      </w:r>
      <w:r w:rsidRPr="005E2D99">
        <w:t xml:space="preserve"> please contact </w:t>
      </w:r>
      <w:hyperlink r:id="rId19" w:history="1">
        <w:r w:rsidR="00797CFD" w:rsidRPr="0087211D">
          <w:rPr>
            <w:rStyle w:val="Hyperlink"/>
          </w:rPr>
          <w:t>Future.Planning@torbay.gov.uk</w:t>
        </w:r>
      </w:hyperlink>
    </w:p>
    <w:p w14:paraId="3E00FCC8" w14:textId="6318332A" w:rsidR="00184A46" w:rsidRDefault="003E72CE" w:rsidP="00AD0B6E">
      <w:pPr>
        <w:pStyle w:val="Heading1"/>
      </w:pPr>
      <w:r>
        <w:br w:type="page"/>
      </w:r>
    </w:p>
    <w:p w14:paraId="46EE51D5" w14:textId="266DDCB8" w:rsidR="00184A46" w:rsidRDefault="0002399E" w:rsidP="00184A46">
      <w:pPr>
        <w:pStyle w:val="Heading1"/>
      </w:pPr>
      <w:bookmarkStart w:id="0" w:name="_Toc93076257"/>
      <w:r>
        <w:t>Torbay Housing and Economic Land Availability Assessment</w:t>
      </w:r>
      <w:bookmarkEnd w:id="0"/>
      <w:r>
        <w:t xml:space="preserve"> </w:t>
      </w:r>
    </w:p>
    <w:p w14:paraId="3FC635AA" w14:textId="17E442F5" w:rsidR="00184A46" w:rsidRDefault="00AC7CE6" w:rsidP="00184A46">
      <w:pPr>
        <w:pStyle w:val="Heading2"/>
      </w:pPr>
      <w:r>
        <w:t>Introduction</w:t>
      </w:r>
      <w:r w:rsidR="00C00608">
        <w:t xml:space="preserve"> </w:t>
      </w:r>
    </w:p>
    <w:p w14:paraId="6D6C8659" w14:textId="3388A128" w:rsidR="00C64C87" w:rsidRDefault="008D5752" w:rsidP="00D07D53">
      <w:pPr>
        <w:rPr>
          <w:lang w:eastAsia="en-GB"/>
        </w:rPr>
      </w:pPr>
      <w:r>
        <w:t xml:space="preserve">The Housing and Economic Land Availability Assessment (HELAA) </w:t>
      </w:r>
      <w:r w:rsidR="004A5940">
        <w:t xml:space="preserve">has been carried out in house by </w:t>
      </w:r>
      <w:r w:rsidR="005C083C">
        <w:t xml:space="preserve">the </w:t>
      </w:r>
      <w:r w:rsidR="00D030E0">
        <w:t>Strategy and P</w:t>
      </w:r>
      <w:r w:rsidR="0072175F">
        <w:t>roject</w:t>
      </w:r>
      <w:r w:rsidR="00D030E0">
        <w:t xml:space="preserve"> Management Team in </w:t>
      </w:r>
      <w:r w:rsidR="00C64C87">
        <w:t xml:space="preserve">2021.  </w:t>
      </w:r>
      <w:r w:rsidR="00944145" w:rsidRPr="00944145">
        <w:rPr>
          <w:lang w:eastAsia="en-GB"/>
        </w:rPr>
        <w:t>The HELAA does not allocate sites</w:t>
      </w:r>
      <w:r w:rsidR="00C64C87">
        <w:t xml:space="preserve"> or make council policy.  </w:t>
      </w:r>
      <w:r w:rsidR="00490B4B">
        <w:t>Rather it is an assessment of</w:t>
      </w:r>
      <w:r w:rsidR="006406F1">
        <w:t xml:space="preserve"> the </w:t>
      </w:r>
      <w:r w:rsidR="00944145" w:rsidRPr="00944145">
        <w:rPr>
          <w:lang w:eastAsia="en-GB"/>
        </w:rPr>
        <w:t>Suitability, Availability and Achievability of development land</w:t>
      </w:r>
      <w:r w:rsidR="006406F1">
        <w:t xml:space="preserve">. </w:t>
      </w:r>
    </w:p>
    <w:p w14:paraId="07BE5F9A" w14:textId="3126EF2F" w:rsidR="00944145" w:rsidRPr="00944145" w:rsidRDefault="00B70CBC" w:rsidP="00B70CBC">
      <w:pPr>
        <w:rPr>
          <w:lang w:eastAsia="en-GB"/>
        </w:rPr>
      </w:pPr>
      <w:r>
        <w:t xml:space="preserve">The NPPF requires that </w:t>
      </w:r>
      <w:r w:rsidR="00944145" w:rsidRPr="00944145">
        <w:rPr>
          <w:lang w:eastAsia="en-GB"/>
        </w:rPr>
        <w:t>“Strategic policy-making authorities should have a clear understanding of the land available in their area through the preparation of a strategic housing land availability assessment</w:t>
      </w:r>
      <w:r w:rsidR="00B2533D">
        <w:t>"</w:t>
      </w:r>
      <w:r w:rsidR="00944145" w:rsidRPr="00944145">
        <w:rPr>
          <w:lang w:eastAsia="en-GB"/>
        </w:rPr>
        <w:t xml:space="preserve"> (para</w:t>
      </w:r>
      <w:r>
        <w:t>graph</w:t>
      </w:r>
      <w:r w:rsidR="00944145" w:rsidRPr="00944145">
        <w:rPr>
          <w:lang w:eastAsia="en-GB"/>
        </w:rPr>
        <w:t xml:space="preserve"> 6</w:t>
      </w:r>
      <w:r w:rsidR="00674690">
        <w:rPr>
          <w:lang w:eastAsia="en-GB"/>
        </w:rPr>
        <w:t>8</w:t>
      </w:r>
      <w:r w:rsidR="00944145" w:rsidRPr="00944145">
        <w:rPr>
          <w:lang w:eastAsia="en-GB"/>
        </w:rPr>
        <w:t>)</w:t>
      </w:r>
      <w:r w:rsidR="006C34E2">
        <w:rPr>
          <w:lang w:eastAsia="en-GB"/>
        </w:rPr>
        <w:t>.</w:t>
      </w:r>
    </w:p>
    <w:p w14:paraId="3754F99A" w14:textId="6F911506" w:rsidR="00944145" w:rsidRDefault="00B2533D" w:rsidP="00944145">
      <w:r>
        <w:t>The HELAA assesses p</w:t>
      </w:r>
      <w:r w:rsidR="00944145" w:rsidRPr="00944145">
        <w:rPr>
          <w:lang w:eastAsia="en-GB"/>
        </w:rPr>
        <w:t xml:space="preserve">rimarily housing </w:t>
      </w:r>
      <w:r>
        <w:t xml:space="preserve">land, </w:t>
      </w:r>
      <w:r w:rsidR="00944145" w:rsidRPr="00944145">
        <w:rPr>
          <w:lang w:eastAsia="en-GB"/>
        </w:rPr>
        <w:t>but</w:t>
      </w:r>
      <w:r>
        <w:t xml:space="preserve"> </w:t>
      </w:r>
      <w:r w:rsidR="004A6936">
        <w:t xml:space="preserve">Policies SS2 and SS5 of the Local Plan </w:t>
      </w:r>
      <w:r w:rsidR="00E23E84">
        <w:t>require that major sites be provided as mixed</w:t>
      </w:r>
      <w:r w:rsidR="66600048">
        <w:t>-</w:t>
      </w:r>
      <w:r w:rsidR="00E23E84">
        <w:t xml:space="preserve">use development incorporating </w:t>
      </w:r>
      <w:r w:rsidR="00944145" w:rsidRPr="00944145">
        <w:rPr>
          <w:lang w:eastAsia="en-GB"/>
        </w:rPr>
        <w:t xml:space="preserve">employment </w:t>
      </w:r>
      <w:r w:rsidR="00E12810">
        <w:t xml:space="preserve">space as well as housing. </w:t>
      </w:r>
    </w:p>
    <w:p w14:paraId="5141FCBE" w14:textId="09EB1F7E" w:rsidR="00804772" w:rsidRDefault="00E12810" w:rsidP="00944145">
      <w:pPr>
        <w:rPr>
          <w:lang w:eastAsia="en-GB"/>
        </w:rPr>
      </w:pPr>
      <w:r>
        <w:t xml:space="preserve">The </w:t>
      </w:r>
      <w:r w:rsidRPr="005F7F39">
        <w:t>2021</w:t>
      </w:r>
      <w:r>
        <w:t xml:space="preserve"> HELAA </w:t>
      </w:r>
      <w:r w:rsidR="00804772">
        <w:t xml:space="preserve">refers to, but supersedes, the 2013 Strategic Housing Land Availability Assessment </w:t>
      </w:r>
      <w:r w:rsidR="22F08CEF">
        <w:t>(SHLAA)</w:t>
      </w:r>
      <w:r w:rsidR="00804772">
        <w:t xml:space="preserve"> carried out by Peter Brett Associates. </w:t>
      </w:r>
    </w:p>
    <w:p w14:paraId="56E032EF" w14:textId="3DB2B777" w:rsidR="00AC7CE6" w:rsidRDefault="00804772" w:rsidP="00D07D53">
      <w:r>
        <w:t xml:space="preserve">The findings of the HELAA </w:t>
      </w:r>
      <w:r w:rsidR="000D7FB7">
        <w:t xml:space="preserve">have been used to inform </w:t>
      </w:r>
      <w:r w:rsidR="00217F55">
        <w:t xml:space="preserve">the Local Plan </w:t>
      </w:r>
      <w:r w:rsidR="00D45347">
        <w:t>G</w:t>
      </w:r>
      <w:r w:rsidR="00217F55">
        <w:t xml:space="preserve">rowth Options, due to be published in January 2022.  </w:t>
      </w:r>
      <w:r w:rsidR="00294CAE">
        <w:t xml:space="preserve">It </w:t>
      </w:r>
      <w:r w:rsidR="00944145" w:rsidRPr="00944145">
        <w:rPr>
          <w:lang w:eastAsia="en-GB"/>
        </w:rPr>
        <w:t>provide</w:t>
      </w:r>
      <w:r w:rsidR="00294CAE">
        <w:t>s</w:t>
      </w:r>
      <w:r w:rsidR="00944145" w:rsidRPr="00944145">
        <w:rPr>
          <w:lang w:eastAsia="en-GB"/>
        </w:rPr>
        <w:t xml:space="preserve"> information about sites and broad locations</w:t>
      </w:r>
      <w:r w:rsidR="00B70AE4">
        <w:t>, however the HELAA is not policy</w:t>
      </w:r>
      <w:r w:rsidR="00775934">
        <w:t xml:space="preserve"> and the </w:t>
      </w:r>
      <w:r w:rsidR="169825D3">
        <w:t>planning judgements</w:t>
      </w:r>
      <w:r w:rsidR="00775934">
        <w:t xml:space="preserve"> expressed are not council policy or the LPA's final assessment of sites or options. </w:t>
      </w:r>
    </w:p>
    <w:p w14:paraId="38038FC0" w14:textId="29ED8D16" w:rsidR="00EE6854" w:rsidRDefault="00EE6854" w:rsidP="00D07D53">
      <w:pPr>
        <w:rPr>
          <w:lang w:eastAsia="en-GB"/>
        </w:rPr>
      </w:pPr>
      <w:r>
        <w:t>The HELAA has sought to identify as many sources</w:t>
      </w:r>
      <w:r w:rsidR="00FD3044">
        <w:t xml:space="preserve">, </w:t>
      </w:r>
      <w:r w:rsidR="007C3ED1">
        <w:t>sites,</w:t>
      </w:r>
      <w:r w:rsidR="00FD3044">
        <w:t xml:space="preserve"> and broad locations of housing as possible. Some of them have </w:t>
      </w:r>
      <w:r w:rsidR="00F20DB3">
        <w:t xml:space="preserve">significant constraints, and we have sought to identify the nature of these in the proformas. </w:t>
      </w:r>
    </w:p>
    <w:p w14:paraId="3CE4BC3C" w14:textId="326FAE45" w:rsidR="00AD0B6E" w:rsidRDefault="00AD0B6E">
      <w:pPr>
        <w:spacing w:line="264" w:lineRule="auto"/>
      </w:pPr>
      <w:r>
        <w:br w:type="page"/>
      </w:r>
    </w:p>
    <w:p w14:paraId="017D6902" w14:textId="77777777" w:rsidR="00AC7CE6" w:rsidRDefault="00AC7CE6" w:rsidP="00D07D53"/>
    <w:p w14:paraId="2CC91C42" w14:textId="731184C1" w:rsidR="00D07D53" w:rsidRDefault="00D07D53" w:rsidP="00D07D53">
      <w:pPr>
        <w:pStyle w:val="Heading2"/>
      </w:pPr>
      <w:r>
        <w:t>Methodology</w:t>
      </w:r>
    </w:p>
    <w:p w14:paraId="021EDBAD" w14:textId="731D1F16" w:rsidR="00107F17" w:rsidRDefault="00107F17" w:rsidP="00107F17">
      <w:r>
        <w:t xml:space="preserve">The HELAA has sought to follow </w:t>
      </w:r>
      <w:r w:rsidR="00EE5513">
        <w:t xml:space="preserve">the methodology used by Neighbouring authorities, particularly </w:t>
      </w:r>
      <w:r w:rsidR="000F65A6">
        <w:t xml:space="preserve">Teignbridge District Council and the former Greater Exeter Strategic </w:t>
      </w:r>
      <w:r w:rsidR="0026049E">
        <w:t xml:space="preserve">Plan authorities.  This is to </w:t>
      </w:r>
      <w:r w:rsidR="00AB1FB1">
        <w:t xml:space="preserve">try to achieve </w:t>
      </w:r>
      <w:r w:rsidR="009B4668">
        <w:t>comparability</w:t>
      </w:r>
      <w:r w:rsidR="00AB1FB1">
        <w:t xml:space="preserve"> with </w:t>
      </w:r>
      <w:r w:rsidR="009B4668">
        <w:t>our neighbours' assessments of land availability.  A full methodology is set out at Appendix 1</w:t>
      </w:r>
      <w:r w:rsidR="00C51004">
        <w:t>.</w:t>
      </w:r>
    </w:p>
    <w:p w14:paraId="6E00A206" w14:textId="0704A2FE" w:rsidR="005E4634" w:rsidRDefault="005E4634" w:rsidP="00107F17">
      <w:r>
        <w:t xml:space="preserve">The </w:t>
      </w:r>
      <w:r w:rsidR="009726FA">
        <w:t xml:space="preserve">council carried out two "calls for sites", in 2020 and early 2021.  </w:t>
      </w:r>
      <w:r w:rsidR="002054E3">
        <w:t>Additional</w:t>
      </w:r>
      <w:r w:rsidR="009726FA">
        <w:t xml:space="preserve"> sites have come forward outside the formal call for sites period, and we have </w:t>
      </w:r>
      <w:r w:rsidR="002054E3">
        <w:t>added these into the assessment</w:t>
      </w:r>
      <w:r w:rsidR="093D4681">
        <w:t xml:space="preserve">, up to a </w:t>
      </w:r>
      <w:r w:rsidR="48F6F5CA">
        <w:t>cut-off</w:t>
      </w:r>
      <w:r w:rsidR="093D4681">
        <w:t xml:space="preserve"> point of December 2021</w:t>
      </w:r>
      <w:r w:rsidR="002054E3">
        <w:t>.   In addition, we have assessed sites with planning permission</w:t>
      </w:r>
      <w:r w:rsidR="003E5BF0">
        <w:t xml:space="preserve">, </w:t>
      </w:r>
      <w:r w:rsidR="002054E3">
        <w:t>pre-application enquiries</w:t>
      </w:r>
      <w:r w:rsidR="003E5BF0">
        <w:t xml:space="preserve"> and refusals</w:t>
      </w:r>
      <w:r w:rsidR="002054E3">
        <w:t xml:space="preserve">. We have also looked at sites which were promoted to previous assessments, such as the 2008 or 2013 SHLAA.  </w:t>
      </w:r>
      <w:r w:rsidR="00C25088">
        <w:t>Lastly,</w:t>
      </w:r>
      <w:r w:rsidR="00C142A4">
        <w:t xml:space="preserve"> we have considered "broad locations" </w:t>
      </w:r>
      <w:r w:rsidR="0066462A">
        <w:t>i.e.,</w:t>
      </w:r>
      <w:r w:rsidR="00C142A4">
        <w:t xml:space="preserve"> relatively undeveloped </w:t>
      </w:r>
      <w:r w:rsidR="00C25088">
        <w:t xml:space="preserve">areas of Torbay.  </w:t>
      </w:r>
    </w:p>
    <w:p w14:paraId="7E888309" w14:textId="689BF4A2" w:rsidR="008C6DD3" w:rsidRDefault="008C6DD3" w:rsidP="008C6DD3">
      <w:pPr>
        <w:pStyle w:val="Heading3"/>
      </w:pPr>
      <w:r>
        <w:t xml:space="preserve">Phase 1 scoping </w:t>
      </w:r>
    </w:p>
    <w:p w14:paraId="7E5DF802" w14:textId="656CEDDD" w:rsidR="00107F17" w:rsidRDefault="00BC706F" w:rsidP="00107F17">
      <w:r>
        <w:t xml:space="preserve">The HELAA was carried out in two </w:t>
      </w:r>
      <w:r w:rsidR="00EE6854">
        <w:t>phases</w:t>
      </w:r>
      <w:r w:rsidR="00F20DB3">
        <w:t xml:space="preserve">.  The </w:t>
      </w:r>
      <w:r w:rsidR="007F745E">
        <w:t xml:space="preserve">first phase was to "scope out" sites with </w:t>
      </w:r>
      <w:r w:rsidR="00DE5912">
        <w:t>"show</w:t>
      </w:r>
      <w:r w:rsidR="417B954E">
        <w:t>-</w:t>
      </w:r>
      <w:r w:rsidR="00DE5912">
        <w:t xml:space="preserve"> stopper" type constraints.  </w:t>
      </w:r>
      <w:r w:rsidR="002C087E">
        <w:t xml:space="preserve">These include: </w:t>
      </w:r>
    </w:p>
    <w:p w14:paraId="0B02E72A" w14:textId="25A60370" w:rsidR="00F42963" w:rsidRDefault="002C087E" w:rsidP="00F42963">
      <w:pPr>
        <w:pStyle w:val="squarebullets"/>
      </w:pPr>
      <w:r>
        <w:t xml:space="preserve">Special Areas of Conservation, </w:t>
      </w:r>
      <w:r w:rsidR="00F42963" w:rsidRPr="00F42963">
        <w:rPr>
          <w:lang w:eastAsia="en-GB"/>
        </w:rPr>
        <w:t xml:space="preserve">SSSIs, Natura 2000 sites  </w:t>
      </w:r>
    </w:p>
    <w:p w14:paraId="5B72A9FD" w14:textId="6D7956B6" w:rsidR="00F42963" w:rsidRPr="002C087E" w:rsidRDefault="00F42963" w:rsidP="002C087E">
      <w:pPr>
        <w:pStyle w:val="squarebullets"/>
      </w:pPr>
      <w:r w:rsidRPr="002C087E">
        <w:t xml:space="preserve">Local Green Spaces in Neighbourhood Plans </w:t>
      </w:r>
      <w:r w:rsidR="002C087E">
        <w:t>(which have a similar status as green belt</w:t>
      </w:r>
      <w:r w:rsidR="00EB1C68">
        <w:t>)</w:t>
      </w:r>
      <w:r w:rsidR="00616F73">
        <w:t>.</w:t>
      </w:r>
    </w:p>
    <w:p w14:paraId="1451D0C5" w14:textId="6204A8C1" w:rsidR="002C087E" w:rsidRDefault="00F42963" w:rsidP="00F42963">
      <w:pPr>
        <w:pStyle w:val="squarebullets"/>
      </w:pPr>
      <w:r w:rsidRPr="00F42963">
        <w:rPr>
          <w:lang w:eastAsia="en-GB"/>
        </w:rPr>
        <w:t>Functional Flood Plain</w:t>
      </w:r>
      <w:r w:rsidR="002C087E">
        <w:t xml:space="preserve"> (Flood Risk Zone 3B. However</w:t>
      </w:r>
      <w:r w:rsidR="400EC792">
        <w:t>,</w:t>
      </w:r>
      <w:r w:rsidR="002C087E">
        <w:t xml:space="preserve"> it is noted that some town centre sites with </w:t>
      </w:r>
      <w:r w:rsidR="005E4634">
        <w:t>flooding issues are included</w:t>
      </w:r>
      <w:r w:rsidR="00AE69CD">
        <w:t>)</w:t>
      </w:r>
      <w:r w:rsidR="00616F73">
        <w:t>.</w:t>
      </w:r>
      <w:r w:rsidR="005E4634">
        <w:t xml:space="preserve">  </w:t>
      </w:r>
    </w:p>
    <w:p w14:paraId="3577104A" w14:textId="6F2CE60B" w:rsidR="00A27DBA" w:rsidRDefault="78F31D73" w:rsidP="00F42963">
      <w:r>
        <w:t>S</w:t>
      </w:r>
      <w:r w:rsidR="002B666C">
        <w:t>ome sites with significant constraints have not been scoped out</w:t>
      </w:r>
      <w:r w:rsidR="00FC2B29">
        <w:t xml:space="preserve">. These include urban sites that have flooding issues.  Because the </w:t>
      </w:r>
      <w:r w:rsidR="0054043C">
        <w:t>likely supply of suitable housing land is almost certainly below the assessed need</w:t>
      </w:r>
      <w:r w:rsidR="0054043C" w:rsidRPr="00770FB6">
        <w:rPr>
          <w:vertAlign w:val="superscript"/>
        </w:rPr>
        <w:footnoteReference w:id="2"/>
      </w:r>
      <w:r w:rsidR="00323126">
        <w:t xml:space="preserve">, and many of the town centre sites are already allocated in the </w:t>
      </w:r>
      <w:r w:rsidR="000A63F3">
        <w:t xml:space="preserve">existing development plan, there is a strong case to argue that these sites pass the </w:t>
      </w:r>
      <w:r w:rsidR="00387795">
        <w:t>"sequential test"</w:t>
      </w:r>
      <w:r w:rsidR="002B666C" w:rsidRPr="20CCEC74">
        <w:rPr>
          <w:rStyle w:val="FootnoteReference"/>
        </w:rPr>
        <w:footnoteReference w:id="3"/>
      </w:r>
      <w:r w:rsidR="00387795">
        <w:t xml:space="preserve"> and that the sustainability benefits associate</w:t>
      </w:r>
      <w:r w:rsidR="20CE07E7">
        <w:t>d</w:t>
      </w:r>
      <w:r w:rsidR="00387795">
        <w:t xml:space="preserve"> with regenerating town centres </w:t>
      </w:r>
      <w:r w:rsidR="003B7C8E">
        <w:t>and other areas close to transport networks, shops community facilities etc. represents a</w:t>
      </w:r>
      <w:r w:rsidR="00583794">
        <w:t xml:space="preserve"> gain under the "exceptions test</w:t>
      </w:r>
      <w:r w:rsidR="00410A00">
        <w:t>”</w:t>
      </w:r>
      <w:r w:rsidR="005E1ECD">
        <w:rPr>
          <w:rStyle w:val="FootnoteReference"/>
        </w:rPr>
        <w:footnoteReference w:id="4"/>
      </w:r>
      <w:r w:rsidR="00583794">
        <w:t>. It will however be necessary to show that these sites can be made safe for their lifetime</w:t>
      </w:r>
      <w:r w:rsidR="00061B89">
        <w:t xml:space="preserve"> and where possible </w:t>
      </w:r>
      <w:r w:rsidR="00C40635">
        <w:t>reduce overall flood risk</w:t>
      </w:r>
      <w:r w:rsidR="00583794">
        <w:t xml:space="preserve">.  </w:t>
      </w:r>
      <w:r w:rsidR="00A27DBA">
        <w:t>Notwithstanding this, site</w:t>
      </w:r>
      <w:r w:rsidR="002150C2">
        <w:t xml:space="preserve">s’ flood risk is </w:t>
      </w:r>
      <w:proofErr w:type="gramStart"/>
      <w:r w:rsidR="002150C2">
        <w:t>taken into account</w:t>
      </w:r>
      <w:proofErr w:type="gramEnd"/>
      <w:r w:rsidR="002150C2">
        <w:t xml:space="preserve"> in their </w:t>
      </w:r>
      <w:r w:rsidR="004F7037">
        <w:t xml:space="preserve">suitability and </w:t>
      </w:r>
      <w:r w:rsidR="002150C2">
        <w:t>deliverability</w:t>
      </w:r>
      <w:r w:rsidR="004F7037">
        <w:t xml:space="preserve"> and is treated as a significant constraint.  </w:t>
      </w:r>
    </w:p>
    <w:p w14:paraId="7BE4EF57" w14:textId="1D8FE079" w:rsidR="00583794" w:rsidRDefault="005802E4" w:rsidP="00F42963">
      <w:pPr>
        <w:rPr>
          <w:lang w:eastAsia="en-GB"/>
        </w:rPr>
      </w:pPr>
      <w:r>
        <w:t xml:space="preserve">In </w:t>
      </w:r>
      <w:r w:rsidR="00463977">
        <w:t>addition</w:t>
      </w:r>
      <w:r>
        <w:t xml:space="preserve">, sites which are within the </w:t>
      </w:r>
      <w:r w:rsidR="0066462A">
        <w:t>AONB,</w:t>
      </w:r>
      <w:r>
        <w:t xml:space="preserve"> or </w:t>
      </w:r>
      <w:r w:rsidR="00AB0CF1">
        <w:t xml:space="preserve">South Hams SAC </w:t>
      </w:r>
      <w:r>
        <w:t xml:space="preserve">greater horseshoe bat sustenance zone/landscape connectivity zone have not been </w:t>
      </w:r>
      <w:r w:rsidR="003344BD">
        <w:t>scope</w:t>
      </w:r>
      <w:r w:rsidR="00461D76">
        <w:t>d</w:t>
      </w:r>
      <w:r w:rsidR="003344BD">
        <w:t xml:space="preserve"> out in principle.  These matters are recorded as "significant constraints" </w:t>
      </w:r>
      <w:r w:rsidR="003B106B">
        <w:t>and it is a matter when drafting the Local Plan to decide which if any of these sites may be proposed for development.</w:t>
      </w:r>
      <w:r w:rsidR="00BA3A82">
        <w:t xml:space="preserve"> </w:t>
      </w:r>
      <w:r w:rsidR="003B106B">
        <w:t xml:space="preserve"> </w:t>
      </w:r>
      <w:r w:rsidR="009B4322">
        <w:t xml:space="preserve">It is also noted that the in-combination effects of sites on the environment will also need to be </w:t>
      </w:r>
      <w:r w:rsidR="00BA3A82">
        <w:t>considered</w:t>
      </w:r>
      <w:r w:rsidR="00D54890">
        <w:t xml:space="preserve"> in the plan making.  The Plan will </w:t>
      </w:r>
      <w:r w:rsidR="00E432AE">
        <w:t>also</w:t>
      </w:r>
      <w:r w:rsidR="00D54890">
        <w:t xml:space="preserve"> be subject to a Habitats Regulations Appropriate Assessment, and Sustainability Appraisal, which will </w:t>
      </w:r>
      <w:r w:rsidR="00BA3A82">
        <w:t>assess</w:t>
      </w:r>
      <w:r w:rsidR="003F0CDE">
        <w:t xml:space="preserve"> these in-combination effects.</w:t>
      </w:r>
    </w:p>
    <w:p w14:paraId="50A13684" w14:textId="62D34BBE" w:rsidR="005E4634" w:rsidRDefault="00463977" w:rsidP="00463977">
      <w:pPr>
        <w:pStyle w:val="Heading3"/>
        <w:rPr>
          <w:lang w:eastAsia="en-GB"/>
        </w:rPr>
      </w:pPr>
      <w:r>
        <w:t xml:space="preserve">Windfalls </w:t>
      </w:r>
    </w:p>
    <w:p w14:paraId="4A28AB57" w14:textId="292038DB" w:rsidR="002C087E" w:rsidRDefault="002C087E" w:rsidP="00F42963">
      <w:pPr>
        <w:rPr>
          <w:lang w:eastAsia="en-GB"/>
        </w:rPr>
      </w:pPr>
    </w:p>
    <w:p w14:paraId="54320246" w14:textId="7BDDEE32" w:rsidR="00460C23" w:rsidRDefault="00460C23" w:rsidP="00F42963">
      <w:r>
        <w:t xml:space="preserve">The HELAA cannot assess every single site.  </w:t>
      </w:r>
      <w:r w:rsidR="007F3042">
        <w:t xml:space="preserve">We have tried to assess the likely </w:t>
      </w:r>
      <w:r w:rsidR="00623E80">
        <w:t xml:space="preserve">yield from sites. Where we consider that they are reasonably likely to </w:t>
      </w:r>
      <w:r w:rsidR="009C525F">
        <w:t>yield fewer than 6 net new dwellings (</w:t>
      </w:r>
      <w:r w:rsidR="0066462A">
        <w:t>i.e.,</w:t>
      </w:r>
      <w:r w:rsidR="009C525F">
        <w:t xml:space="preserve"> </w:t>
      </w:r>
      <w:r w:rsidR="00A3092B">
        <w:t>1-5 dwellings), we have treated them as</w:t>
      </w:r>
      <w:r w:rsidR="00487094">
        <w:t xml:space="preserve"> small</w:t>
      </w:r>
      <w:r w:rsidR="00A3092B">
        <w:t xml:space="preserve"> "windfalls"</w:t>
      </w:r>
      <w:r w:rsidR="006B753E">
        <w:rPr>
          <w:rStyle w:val="FootnoteReference"/>
        </w:rPr>
        <w:footnoteReference w:id="5"/>
      </w:r>
      <w:r w:rsidR="00A3092B">
        <w:t xml:space="preserve">.  </w:t>
      </w:r>
    </w:p>
    <w:p w14:paraId="70E86A84" w14:textId="69393902" w:rsidR="00487094" w:rsidRDefault="00487094" w:rsidP="00F42963">
      <w:r>
        <w:t xml:space="preserve">Similarly, we know that there will be some larger sites that come forward for development on unallocated sites. </w:t>
      </w:r>
    </w:p>
    <w:p w14:paraId="534CEF1F" w14:textId="173DF15B" w:rsidR="00AD047E" w:rsidRDefault="00AD047E" w:rsidP="00F42963">
      <w:r>
        <w:t xml:space="preserve">However, it is appropriate to </w:t>
      </w:r>
      <w:r w:rsidR="009651FA">
        <w:t>assume that some ho</w:t>
      </w:r>
      <w:r w:rsidR="003F0CDE">
        <w:t>u</w:t>
      </w:r>
      <w:r w:rsidR="009651FA">
        <w:t xml:space="preserve">sing will be provided on windfall sites.   </w:t>
      </w:r>
      <w:r w:rsidR="00754399">
        <w:t xml:space="preserve">Paragraph 71 of the NPPF indicates that where a </w:t>
      </w:r>
      <w:r w:rsidR="005A4079">
        <w:t>windfall</w:t>
      </w:r>
      <w:r w:rsidR="00754399">
        <w:t xml:space="preserve"> allowance </w:t>
      </w:r>
      <w:r w:rsidR="00DB6207">
        <w:t>forms part o</w:t>
      </w:r>
      <w:r w:rsidR="003F0CDE">
        <w:t>f</w:t>
      </w:r>
      <w:r w:rsidR="00DB6207">
        <w:t xml:space="preserve"> anticipate</w:t>
      </w:r>
      <w:r w:rsidR="003F0CDE">
        <w:t>d</w:t>
      </w:r>
      <w:r w:rsidR="00DB6207">
        <w:t xml:space="preserve"> supply, there should be compelling </w:t>
      </w:r>
      <w:r w:rsidR="005A4079">
        <w:t>evidence</w:t>
      </w:r>
      <w:r w:rsidR="00DB6207">
        <w:t xml:space="preserve"> that they will provide a </w:t>
      </w:r>
      <w:r w:rsidR="005A4079">
        <w:t>reliable</w:t>
      </w:r>
      <w:r w:rsidR="00DB6207">
        <w:t xml:space="preserve"> source of supply</w:t>
      </w:r>
      <w:r w:rsidR="00065323">
        <w:t>.  Any windfall allowance should be realistic having r</w:t>
      </w:r>
      <w:r w:rsidR="005A4079">
        <w:t>e</w:t>
      </w:r>
      <w:r w:rsidR="00065323">
        <w:t xml:space="preserve">gard </w:t>
      </w:r>
      <w:r w:rsidR="006439E4">
        <w:t xml:space="preserve">to the assessment of </w:t>
      </w:r>
      <w:r w:rsidR="005A4079">
        <w:t>housing</w:t>
      </w:r>
      <w:r w:rsidR="006439E4">
        <w:t xml:space="preserve"> availability, historic windfall delivery</w:t>
      </w:r>
      <w:r w:rsidR="005A4079">
        <w:t xml:space="preserve"> rates and expected future trends.  </w:t>
      </w:r>
    </w:p>
    <w:p w14:paraId="686CC4B8" w14:textId="2B46FC36" w:rsidR="00A3092B" w:rsidRDefault="00B614F7" w:rsidP="008C1363">
      <w:pPr>
        <w:pStyle w:val="numberedlist"/>
        <w:numPr>
          <w:ilvl w:val="0"/>
          <w:numId w:val="0"/>
        </w:numPr>
      </w:pPr>
      <w:r>
        <w:t>A list of potential windfall sites is includ</w:t>
      </w:r>
      <w:r w:rsidR="004E0B74">
        <w:t>ed</w:t>
      </w:r>
      <w:r>
        <w:t xml:space="preserve"> at </w:t>
      </w:r>
      <w:r w:rsidR="00E55180">
        <w:t>A</w:t>
      </w:r>
      <w:r>
        <w:t xml:space="preserve">ppendix </w:t>
      </w:r>
      <w:r w:rsidR="00A46CE2" w:rsidRPr="00A46CE2">
        <w:rPr>
          <w:rStyle w:val="bold"/>
          <w:b w:val="0"/>
          <w:bCs/>
        </w:rPr>
        <w:t>3</w:t>
      </w:r>
      <w:r>
        <w:rPr>
          <w:rStyle w:val="bold"/>
        </w:rPr>
        <w:t xml:space="preserve">.  </w:t>
      </w:r>
      <w:r>
        <w:t>Note that this is</w:t>
      </w:r>
      <w:r w:rsidR="008C1363">
        <w:t xml:space="preserve">, by definition, not a comprehensive list but points to examples of "known unknowns" that can be expected to arise over the next few years.  </w:t>
      </w:r>
      <w:r w:rsidR="00A41033">
        <w:t xml:space="preserve">Some Neighbourhood Plan sites </w:t>
      </w:r>
      <w:r w:rsidR="00597F3F">
        <w:t>are</w:t>
      </w:r>
      <w:r w:rsidR="00D11334">
        <w:t xml:space="preserve"> counted as “windfalls” where they are likely to deliver fewer than 6 net new dwellings. </w:t>
      </w:r>
    </w:p>
    <w:p w14:paraId="00538DD2" w14:textId="7C229D2F" w:rsidR="00085E41" w:rsidRDefault="00D27C84" w:rsidP="00F42963">
      <w:r>
        <w:t xml:space="preserve">Over the </w:t>
      </w:r>
      <w:r w:rsidR="00622B4B">
        <w:t>current Plan period</w:t>
      </w:r>
      <w:r w:rsidR="00223F27">
        <w:t xml:space="preserve"> to </w:t>
      </w:r>
      <w:r w:rsidR="00DA270A">
        <w:t xml:space="preserve">date </w:t>
      </w:r>
      <w:r w:rsidR="00FA5263">
        <w:t>(</w:t>
      </w:r>
      <w:r w:rsidR="00622B4B">
        <w:t>2012-</w:t>
      </w:r>
      <w:r w:rsidR="00820DF6">
        <w:t>21</w:t>
      </w:r>
      <w:r w:rsidR="00174534">
        <w:t>)</w:t>
      </w:r>
      <w:r w:rsidR="00820DF6">
        <w:t xml:space="preserve"> there have been an average of 91 dwellings a year from </w:t>
      </w:r>
      <w:r w:rsidR="00B72C85">
        <w:t>sites of fewer than 6 net dwellings; and 32</w:t>
      </w:r>
      <w:r w:rsidR="00854F56">
        <w:t xml:space="preserve"> dwellings </w:t>
      </w:r>
      <w:r w:rsidR="00B72C85">
        <w:t xml:space="preserve">per year from unallocated </w:t>
      </w:r>
      <w:r w:rsidR="005D0E5A">
        <w:t xml:space="preserve">sites of </w:t>
      </w:r>
      <w:r w:rsidR="00A84DBA">
        <w:t>6-9 dwellings</w:t>
      </w:r>
      <w:r w:rsidR="003E2682">
        <w:t>; equal t</w:t>
      </w:r>
      <w:r w:rsidR="003F0CDE">
        <w:t>o</w:t>
      </w:r>
      <w:r w:rsidR="003E2682">
        <w:t xml:space="preserve"> 123 dwellings a year. For future years</w:t>
      </w:r>
      <w:r w:rsidR="003F0CDE">
        <w:t>,</w:t>
      </w:r>
      <w:r w:rsidR="003E2682">
        <w:t xml:space="preserve"> it cannot be guaranteed that </w:t>
      </w:r>
      <w:proofErr w:type="gramStart"/>
      <w:r w:rsidR="003E2682">
        <w:t>all of</w:t>
      </w:r>
      <w:proofErr w:type="gramEnd"/>
      <w:r w:rsidR="003E2682">
        <w:t xml:space="preserve"> the </w:t>
      </w:r>
      <w:r w:rsidR="00BA0CEF">
        <w:t xml:space="preserve">sites of 6-9 dwellings would not be allocated in future neighbourhood plans, and therefore a conservative figure of 100 windfall dwellings per year is </w:t>
      </w:r>
      <w:r w:rsidR="00085E41">
        <w:t xml:space="preserve">assumed by the HELAA. </w:t>
      </w:r>
      <w:r w:rsidR="00D66F93">
        <w:t xml:space="preserve"> Adopting a conservative figure </w:t>
      </w:r>
      <w:r w:rsidR="008F404B">
        <w:t>should</w:t>
      </w:r>
      <w:r w:rsidR="00D66F93">
        <w:t xml:space="preserve"> also minimise the risk of </w:t>
      </w:r>
      <w:r w:rsidR="008F404B">
        <w:t>“</w:t>
      </w:r>
      <w:r w:rsidR="00D66F93">
        <w:t>double counting</w:t>
      </w:r>
      <w:r w:rsidR="008F404B">
        <w:t xml:space="preserve">” small sites identified elsewhere.  </w:t>
      </w:r>
    </w:p>
    <w:p w14:paraId="0264E3CE" w14:textId="41AB46E7" w:rsidR="00A3092B" w:rsidRDefault="00085E41" w:rsidP="00F42963">
      <w:r>
        <w:t xml:space="preserve">A different approach would be to count annual permissions </w:t>
      </w:r>
      <w:r w:rsidR="006A7909">
        <w:t>granted for non-major sites (i.e</w:t>
      </w:r>
      <w:r w:rsidR="0043064A">
        <w:t>.,</w:t>
      </w:r>
      <w:r w:rsidR="006A7909">
        <w:t xml:space="preserve"> fewer than 10 dwellings).</w:t>
      </w:r>
      <w:r w:rsidR="00A711DF">
        <w:t xml:space="preserve"> At April 2021 there were 398 </w:t>
      </w:r>
      <w:r w:rsidR="003F0CDE">
        <w:t>not commenced</w:t>
      </w:r>
      <w:r w:rsidR="00D65B7D">
        <w:t xml:space="preserve"> </w:t>
      </w:r>
      <w:r w:rsidR="00A711DF">
        <w:t xml:space="preserve">dwellings </w:t>
      </w:r>
      <w:r w:rsidR="00FA008E">
        <w:t xml:space="preserve">with planning permission from such sites </w:t>
      </w:r>
      <w:r w:rsidR="00FB45D3">
        <w:t xml:space="preserve">(not counting permissions where there had been no action for 10 years).  </w:t>
      </w:r>
      <w:r w:rsidR="007135A0">
        <w:t xml:space="preserve">In theory non-major permissions should be built within 3 years, </w:t>
      </w:r>
      <w:r w:rsidR="00196D61">
        <w:t xml:space="preserve">but there will be an element of non-completion </w:t>
      </w:r>
      <w:r w:rsidR="00DC0213">
        <w:t>that would need</w:t>
      </w:r>
      <w:r w:rsidR="000D0095">
        <w:t xml:space="preserve"> to be factored into windfall calculations if permissions are used. On this basis, trend</w:t>
      </w:r>
      <w:r w:rsidR="00F266D2">
        <w:t xml:space="preserve"> data </w:t>
      </w:r>
      <w:r w:rsidR="000D0095">
        <w:t xml:space="preserve">is a simpler and more appropriate approach.  </w:t>
      </w:r>
    </w:p>
    <w:p w14:paraId="1C21C03C" w14:textId="77777777" w:rsidR="00CC615D" w:rsidRDefault="00CC615D" w:rsidP="00583882">
      <w:pPr>
        <w:rPr>
          <w:b/>
          <w:bCs/>
        </w:rPr>
      </w:pPr>
    </w:p>
    <w:p w14:paraId="61DCFADE" w14:textId="31585746" w:rsidR="00F41B90" w:rsidRDefault="00A46CE2" w:rsidP="00583882">
      <w:pPr>
        <w:rPr>
          <w:b/>
          <w:bCs/>
        </w:rPr>
      </w:pPr>
      <w:r w:rsidRPr="00CC615D">
        <w:rPr>
          <w:b/>
          <w:bCs/>
        </w:rPr>
        <w:t xml:space="preserve">Vacant Dwellings </w:t>
      </w:r>
    </w:p>
    <w:p w14:paraId="2518E4B5" w14:textId="4DF6B3BA" w:rsidR="001B6DD7" w:rsidRDefault="008D25F9" w:rsidP="00583882">
      <w:r w:rsidRPr="008D25F9">
        <w:t>T</w:t>
      </w:r>
      <w:r>
        <w:t xml:space="preserve">he Adopted Local Plan seeks to bring 150 vacant dwellings back into use </w:t>
      </w:r>
      <w:r w:rsidR="00525230">
        <w:t xml:space="preserve">(paragraph </w:t>
      </w:r>
      <w:r w:rsidR="00593E2A">
        <w:t xml:space="preserve">4.5.36). </w:t>
      </w:r>
      <w:r w:rsidR="00DD77C5">
        <w:t xml:space="preserve">Vacant dwellings are assessed in section </w:t>
      </w:r>
      <w:r w:rsidR="00950A3F">
        <w:t xml:space="preserve">3 of the </w:t>
      </w:r>
      <w:r w:rsidR="007E26A3">
        <w:t xml:space="preserve">Housing Delivery Test Action Plan (September 2021) </w:t>
      </w:r>
      <w:hyperlink r:id="rId20" w:history="1">
        <w:r w:rsidR="007E26A3" w:rsidRPr="007E26A3">
          <w:rPr>
            <w:color w:val="0000FF"/>
            <w:u w:val="single"/>
          </w:rPr>
          <w:t>Evidence Base and Monitoring - Torbay Council</w:t>
        </w:r>
      </w:hyperlink>
      <w:r w:rsidR="007E26A3">
        <w:t xml:space="preserve"> </w:t>
      </w:r>
      <w:r w:rsidR="00B36673">
        <w:t xml:space="preserve">. Whilst </w:t>
      </w:r>
      <w:r w:rsidR="009D285F">
        <w:t>T</w:t>
      </w:r>
      <w:r w:rsidR="00B36673">
        <w:t xml:space="preserve">orbay </w:t>
      </w:r>
      <w:r w:rsidR="009D285F">
        <w:t xml:space="preserve">has a higher than national rate of long term (6 months or longer) vacant dwellings </w:t>
      </w:r>
      <w:r w:rsidR="005B5FA4">
        <w:t>at about 2% of housing stock, compare</w:t>
      </w:r>
      <w:r w:rsidR="00E364CA">
        <w:t>d</w:t>
      </w:r>
      <w:r w:rsidR="005B5FA4">
        <w:t xml:space="preserve"> to 1% in England.  </w:t>
      </w:r>
      <w:r w:rsidR="00F72B7E">
        <w:t>However,</w:t>
      </w:r>
      <w:r w:rsidR="00FB34E5">
        <w:t xml:space="preserve"> nearly </w:t>
      </w:r>
      <w:r w:rsidR="00D3229E">
        <w:t xml:space="preserve">two-thirds of these are </w:t>
      </w:r>
      <w:r w:rsidR="00DF0B23">
        <w:t>Council tax band A and B</w:t>
      </w:r>
      <w:r w:rsidR="00040E9B">
        <w:t>, most of which will be apartments rather than houses.  The</w:t>
      </w:r>
      <w:r w:rsidR="008A74DB">
        <w:t>r</w:t>
      </w:r>
      <w:r w:rsidR="00040E9B">
        <w:t xml:space="preserve">e is also a </w:t>
      </w:r>
      <w:r w:rsidR="0056196A">
        <w:t xml:space="preserve">significant churn in the stock of </w:t>
      </w:r>
      <w:r w:rsidR="00AE1321">
        <w:t>long-term</w:t>
      </w:r>
      <w:r w:rsidR="001E15AE">
        <w:t xml:space="preserve"> v</w:t>
      </w:r>
      <w:r w:rsidR="0056196A">
        <w:t>acant homes</w:t>
      </w:r>
      <w:r w:rsidR="001E15AE">
        <w:t xml:space="preserve">, with only 10% being vacant for </w:t>
      </w:r>
      <w:r w:rsidR="00C64685">
        <w:t>lo</w:t>
      </w:r>
      <w:r w:rsidR="001E15AE">
        <w:t>nger than 5 years</w:t>
      </w:r>
      <w:r w:rsidR="00BE6692">
        <w:t xml:space="preserve"> (r</w:t>
      </w:r>
      <w:r w:rsidR="00E364CA">
        <w:t>oughly 110 dwellings)</w:t>
      </w:r>
      <w:r w:rsidR="001E15AE">
        <w:t xml:space="preserve">. </w:t>
      </w:r>
    </w:p>
    <w:p w14:paraId="2A445751" w14:textId="77777777" w:rsidR="00C13CEA" w:rsidRDefault="001A58B6" w:rsidP="00583882">
      <w:r>
        <w:t xml:space="preserve">Bringing vacant dwellings back into use has very significant benefits, but </w:t>
      </w:r>
      <w:r w:rsidR="00A81147">
        <w:t xml:space="preserve">is also labour intensive.  Such dwellings are not </w:t>
      </w:r>
      <w:r w:rsidR="00947AF3">
        <w:t>counted towards “new” dwelling</w:t>
      </w:r>
      <w:r w:rsidR="0012519A">
        <w:t xml:space="preserve">s delivered. As such </w:t>
      </w:r>
      <w:r w:rsidR="00A34FB1">
        <w:t>an allowance for them has not be added into the HELAA</w:t>
      </w:r>
      <w:r w:rsidR="00422E13">
        <w:t>. Further assessment is likely to be useful as part of the Local Plan Preparation</w:t>
      </w:r>
      <w:r w:rsidR="00C73C10">
        <w:t xml:space="preserve">, </w:t>
      </w:r>
      <w:r w:rsidR="00C13CEA">
        <w:t xml:space="preserve">if there is evidence that vacant dwellings can be brought back into use. </w:t>
      </w:r>
    </w:p>
    <w:p w14:paraId="1FC33509" w14:textId="3A83E8E5" w:rsidR="001A58B6" w:rsidRPr="008D25F9" w:rsidRDefault="00C13CEA" w:rsidP="00583882">
      <w:r>
        <w:t xml:space="preserve">Note that the conversion of vacant spaces above shops or commercial properties </w:t>
      </w:r>
      <w:r w:rsidR="00111392">
        <w:t xml:space="preserve">would be counted as part of the windfall allowance.  </w:t>
      </w:r>
      <w:r w:rsidR="00F92D67">
        <w:t>S</w:t>
      </w:r>
      <w:r w:rsidR="00587689">
        <w:t xml:space="preserve">uch conversions are often permitted development, </w:t>
      </w:r>
      <w:r w:rsidR="00F92D67">
        <w:t>but</w:t>
      </w:r>
      <w:r w:rsidR="00587689">
        <w:t xml:space="preserve"> go through a simplified application </w:t>
      </w:r>
      <w:r w:rsidR="00F92D67">
        <w:t xml:space="preserve">process known as “prior approval”. The Council’s Housing Monitor records dwellings created through prior approval. </w:t>
      </w:r>
      <w:r w:rsidR="00947AF3">
        <w:t xml:space="preserve"> </w:t>
      </w:r>
    </w:p>
    <w:p w14:paraId="21037BC9" w14:textId="77777777" w:rsidR="00CC615D" w:rsidRPr="00CC615D" w:rsidRDefault="00CC615D" w:rsidP="00583882">
      <w:pPr>
        <w:rPr>
          <w:b/>
          <w:bCs/>
        </w:rPr>
      </w:pPr>
    </w:p>
    <w:p w14:paraId="57835D06" w14:textId="5D6C849E" w:rsidR="00956F87" w:rsidRPr="00583882" w:rsidRDefault="00956F87" w:rsidP="00956F87">
      <w:pPr>
        <w:pStyle w:val="largeprinttext"/>
        <w:framePr w:wrap="around"/>
        <w:rPr>
          <w:rStyle w:val="bold"/>
        </w:rPr>
      </w:pPr>
      <w:r>
        <w:t xml:space="preserve">Site Assessments </w:t>
      </w:r>
    </w:p>
    <w:p w14:paraId="7676B79B" w14:textId="77777777" w:rsidR="00956F87" w:rsidRDefault="00956F87" w:rsidP="00F42963"/>
    <w:p w14:paraId="06A3F208" w14:textId="77777777" w:rsidR="00956F87" w:rsidRDefault="00956F87" w:rsidP="00F42963"/>
    <w:p w14:paraId="47D36D9F" w14:textId="4637435C" w:rsidR="001E4BB3" w:rsidRDefault="00CC15D6" w:rsidP="00F42963">
      <w:proofErr w:type="gramStart"/>
      <w:r>
        <w:t>All of</w:t>
      </w:r>
      <w:proofErr w:type="gramEnd"/>
      <w:r>
        <w:t xml:space="preserve"> the HELAA sites from various sources have been </w:t>
      </w:r>
      <w:r w:rsidR="006A08AA">
        <w:t>assessed by the</w:t>
      </w:r>
      <w:r w:rsidR="00D90935" w:rsidRPr="00D90935">
        <w:t xml:space="preserve"> </w:t>
      </w:r>
      <w:r w:rsidR="00D90935">
        <w:t>Strategy and Project Management Team</w:t>
      </w:r>
      <w:r w:rsidR="0068349C">
        <w:t xml:space="preserve">.  A series of HELAA panels of stakeholders </w:t>
      </w:r>
      <w:r w:rsidR="002929D2">
        <w:t>from the development industry, neighbourhood planning group and adjoining authorities informed the</w:t>
      </w:r>
      <w:r w:rsidR="00EF2693">
        <w:t xml:space="preserve"> officer judgement.  A summary of the HELAA Panels' </w:t>
      </w:r>
      <w:r w:rsidR="00824EEB">
        <w:t xml:space="preserve">arguments is set out at Appendix B. </w:t>
      </w:r>
      <w:r w:rsidR="00750D04">
        <w:t xml:space="preserve"> </w:t>
      </w:r>
      <w:r w:rsidR="00824EEB">
        <w:t xml:space="preserve">In summary the development industry expressed enthusiasm for greenfield housing land, but were dubious about demand for town centre apartments, other than in </w:t>
      </w:r>
      <w:r w:rsidR="00E6667A">
        <w:t xml:space="preserve">special </w:t>
      </w:r>
      <w:r w:rsidR="00ED40E8">
        <w:t>“USPs”</w:t>
      </w:r>
      <w:r w:rsidR="00E6667A">
        <w:t xml:space="preserve"> such as where sea views existed.  </w:t>
      </w:r>
    </w:p>
    <w:p w14:paraId="3756A25C" w14:textId="1EB4F70F" w:rsidR="001E4BB3" w:rsidRDefault="00E6667A" w:rsidP="00F42963">
      <w:r>
        <w:t xml:space="preserve">Based on officers' assessments, comments from the </w:t>
      </w:r>
      <w:r w:rsidR="007D39B9">
        <w:t xml:space="preserve">Panels and other stakeholders, a proforma for each site and broad location has been prepared. </w:t>
      </w:r>
      <w:r w:rsidR="00326789">
        <w:t xml:space="preserve"> These were than categorised into </w:t>
      </w:r>
      <w:r w:rsidR="008F728E">
        <w:t xml:space="preserve">a traffic light system </w:t>
      </w:r>
      <w:r w:rsidR="00346BD2">
        <w:t xml:space="preserve">based on their environmental impact, </w:t>
      </w:r>
      <w:r w:rsidR="00106CFE">
        <w:t xml:space="preserve">location in terms of transport links and facilities, and other factors. </w:t>
      </w:r>
      <w:r w:rsidR="008F728E">
        <w:t xml:space="preserve"> </w:t>
      </w:r>
      <w:r w:rsidR="00B338C3">
        <w:t>This measures their</w:t>
      </w:r>
      <w:r w:rsidR="00A27D60">
        <w:t xml:space="preserve"> suitability, </w:t>
      </w:r>
      <w:r w:rsidR="007C3ED1">
        <w:t>availability,</w:t>
      </w:r>
      <w:r w:rsidR="00A27D60">
        <w:t xml:space="preserve"> and achievability for development.</w:t>
      </w:r>
    </w:p>
    <w:p w14:paraId="3BECC5C0" w14:textId="6E1B98C4" w:rsidR="00FD198B" w:rsidRDefault="00FD198B" w:rsidP="00F42963">
      <w:r>
        <w:t xml:space="preserve">Because </w:t>
      </w:r>
      <w:proofErr w:type="gramStart"/>
      <w:r>
        <w:t>it is clear that the</w:t>
      </w:r>
      <w:proofErr w:type="gramEnd"/>
      <w:r>
        <w:t xml:space="preserve"> sites</w:t>
      </w:r>
      <w:r w:rsidR="00421E41">
        <w:t xml:space="preserve"> already “in the system” or promoted at the Call for Sites would not </w:t>
      </w:r>
      <w:r w:rsidR="001D7FC3">
        <w:t xml:space="preserve">be sufficient to deliver the Standard Method derived Local Housing Need, </w:t>
      </w:r>
      <w:r w:rsidR="00940AAC">
        <w:t xml:space="preserve">we have considered broad locations </w:t>
      </w:r>
      <w:r w:rsidR="008C43D4">
        <w:t xml:space="preserve">at this stage of the process.  </w:t>
      </w:r>
    </w:p>
    <w:p w14:paraId="041BCCFA" w14:textId="77777777" w:rsidR="00A27D60" w:rsidRDefault="00A27D60" w:rsidP="00F42963"/>
    <w:p w14:paraId="0CFEFE96" w14:textId="417D46D2" w:rsidR="00DC7BED" w:rsidRPr="00DC7BED" w:rsidRDefault="00DC7BED" w:rsidP="00F42963">
      <w:pPr>
        <w:rPr>
          <w:b/>
          <w:bCs/>
        </w:rPr>
      </w:pPr>
      <w:r w:rsidRPr="00DC7BED">
        <w:rPr>
          <w:b/>
          <w:bCs/>
        </w:rPr>
        <w:t>Suitability</w:t>
      </w:r>
      <w:r w:rsidR="008472AB">
        <w:rPr>
          <w:b/>
          <w:bCs/>
        </w:rPr>
        <w:t xml:space="preserve">. </w:t>
      </w:r>
      <w:r w:rsidRPr="00DC7BED">
        <w:rPr>
          <w:b/>
          <w:bCs/>
        </w:rPr>
        <w:t xml:space="preserve"> </w:t>
      </w:r>
      <w:r w:rsidR="008472AB" w:rsidRPr="008472AB">
        <w:t>A site or broad location can be considered suitable if it would provide an appropriate location for development when considered against relevant constraints and their potential to be mitigated.</w:t>
      </w:r>
    </w:p>
    <w:p w14:paraId="2A3D85A1" w14:textId="153C2E42" w:rsidR="00DC7BED" w:rsidRPr="00DC7BED" w:rsidRDefault="00DC7BED" w:rsidP="00F42963">
      <w:pPr>
        <w:rPr>
          <w:b/>
          <w:bCs/>
        </w:rPr>
      </w:pPr>
    </w:p>
    <w:p w14:paraId="40C7595E" w14:textId="2870094F" w:rsidR="00DC7BED" w:rsidRPr="00DC7BED" w:rsidRDefault="00DC7BED" w:rsidP="00F42963">
      <w:pPr>
        <w:rPr>
          <w:b/>
          <w:bCs/>
        </w:rPr>
      </w:pPr>
      <w:r w:rsidRPr="00DC7BED">
        <w:rPr>
          <w:b/>
          <w:bCs/>
        </w:rPr>
        <w:t xml:space="preserve">Availability </w:t>
      </w:r>
      <w:r w:rsidR="00D157D0" w:rsidRPr="00D157D0">
        <w:t xml:space="preserve">A site can be considered available for development, when, on the best information available (confirmed by the call for sites and information from </w:t>
      </w:r>
      <w:r w:rsidR="0066462A" w:rsidRPr="00D157D0">
        <w:t>landowners</w:t>
      </w:r>
      <w:r w:rsidR="00D157D0" w:rsidRPr="00D157D0">
        <w:t xml:space="preserve"> and legal searches where appropriate), there is confidence that there are no legal or ownership impediments to development. For example, land controlled by a developer or landowner who has expressed an intention to develop may be considered available.</w:t>
      </w:r>
    </w:p>
    <w:p w14:paraId="5144128A" w14:textId="3B8822D5" w:rsidR="00DC7BED" w:rsidRDefault="00DC7BED" w:rsidP="00F42963"/>
    <w:p w14:paraId="4D673482" w14:textId="3CBF251B" w:rsidR="00956F87" w:rsidRPr="008A391D" w:rsidRDefault="00DC7BED" w:rsidP="00F42963">
      <w:r w:rsidRPr="00DC7BED">
        <w:rPr>
          <w:b/>
          <w:bCs/>
        </w:rPr>
        <w:t>Achievability</w:t>
      </w:r>
      <w:r w:rsidR="009B5B47">
        <w:rPr>
          <w:b/>
          <w:bCs/>
        </w:rPr>
        <w:t xml:space="preserve">/ Viability </w:t>
      </w:r>
      <w:r w:rsidR="008A391D" w:rsidRPr="008A391D">
        <w:t xml:space="preserve">A site is considered achievable for development where there is a reasonable prospect that the </w:t>
      </w:r>
      <w:proofErr w:type="gramStart"/>
      <w:r w:rsidR="008A391D" w:rsidRPr="008A391D">
        <w:t>particular type of development</w:t>
      </w:r>
      <w:proofErr w:type="gramEnd"/>
      <w:r w:rsidR="008A391D" w:rsidRPr="008A391D">
        <w:t xml:space="preserve"> will be developed on the site at a particular point in time. This is essentially a judgement about the economic viability of a site, and the capacity of the developer to complete and let or sell the development over a certain period</w:t>
      </w:r>
      <w:r w:rsidR="00A27D60">
        <w:rPr>
          <w:rStyle w:val="FootnoteReference"/>
        </w:rPr>
        <w:footnoteReference w:id="6"/>
      </w:r>
      <w:r w:rsidR="008A391D" w:rsidRPr="008A391D">
        <w:t>.</w:t>
      </w:r>
    </w:p>
    <w:p w14:paraId="58C0B723" w14:textId="04702EE2" w:rsidR="008500F1" w:rsidRDefault="008500F1" w:rsidP="00F42963"/>
    <w:p w14:paraId="5EC356F0" w14:textId="4328FED4" w:rsidR="00DC7BED" w:rsidRPr="00DC7BED" w:rsidRDefault="00D53C84" w:rsidP="00F42963">
      <w:pPr>
        <w:rPr>
          <w:b/>
          <w:bCs/>
        </w:rPr>
      </w:pPr>
      <w:r>
        <w:rPr>
          <w:b/>
          <w:bCs/>
        </w:rPr>
        <w:t xml:space="preserve">Assessing Yield </w:t>
      </w:r>
    </w:p>
    <w:p w14:paraId="2324D86D" w14:textId="38C1C519" w:rsidR="008500F1" w:rsidRDefault="000629E5" w:rsidP="00F42963">
      <w:r>
        <w:t xml:space="preserve">Each site has </w:t>
      </w:r>
      <w:r w:rsidR="004C080B">
        <w:t xml:space="preserve">been assessed by preparing a proforma </w:t>
      </w:r>
      <w:r w:rsidR="00CC2CC7">
        <w:t xml:space="preserve">which considers their location, likely impact etc.  </w:t>
      </w:r>
      <w:r w:rsidR="004F7735">
        <w:t xml:space="preserve">Whilst a standard “template” based approach has not been used, we have taken as a starting point that </w:t>
      </w:r>
      <w:r w:rsidR="00996BCE">
        <w:t xml:space="preserve">greenfield developments </w:t>
      </w:r>
      <w:r w:rsidR="003F09A7">
        <w:t>are likely to y</w:t>
      </w:r>
      <w:r w:rsidR="0034567C">
        <w:t xml:space="preserve">ield between 20 and 40 dwellings </w:t>
      </w:r>
      <w:r w:rsidR="001F0B84">
        <w:t>per hectare</w:t>
      </w:r>
      <w:r w:rsidR="009D6FFC">
        <w:t xml:space="preserve"> (gross), </w:t>
      </w:r>
      <w:r w:rsidR="0034567C">
        <w:t>depending on location</w:t>
      </w:r>
      <w:r w:rsidR="009D6FFC">
        <w:t>.</w:t>
      </w:r>
      <w:r w:rsidR="0034567C">
        <w:t xml:space="preserve">  </w:t>
      </w:r>
      <w:r w:rsidR="009D6FFC">
        <w:t>M</w:t>
      </w:r>
      <w:r w:rsidR="0034567C">
        <w:t>ore landscape sensitive locations a</w:t>
      </w:r>
      <w:r w:rsidR="009D6FFC">
        <w:t xml:space="preserve">re likely to be towards the lower end of the range and areas where </w:t>
      </w:r>
      <w:r w:rsidR="001820EB">
        <w:t xml:space="preserve">more intense urbanisation could be achieved are at the higher end.  Where there </w:t>
      </w:r>
      <w:r w:rsidR="009101DF">
        <w:t>is previous planning history or details submitted by the applicants as part of a call for</w:t>
      </w:r>
      <w:r w:rsidR="00764CC6">
        <w:t xml:space="preserve"> sites, these have been </w:t>
      </w:r>
      <w:proofErr w:type="gramStart"/>
      <w:r w:rsidR="00764CC6">
        <w:t>taken into account</w:t>
      </w:r>
      <w:proofErr w:type="gramEnd"/>
      <w:r w:rsidR="00764CC6">
        <w:t xml:space="preserve">.  We have not applied a template to urban sites but tried to assess how many reasonably sized </w:t>
      </w:r>
      <w:r w:rsidR="00664045">
        <w:t>dwellings (</w:t>
      </w:r>
      <w:r w:rsidR="0066462A">
        <w:t>i.e.,</w:t>
      </w:r>
      <w:r w:rsidR="00664045">
        <w:t xml:space="preserve"> meeting space standards in Local Plan Policy DE</w:t>
      </w:r>
      <w:r w:rsidR="00741BD9">
        <w:t xml:space="preserve">3) are </w:t>
      </w:r>
      <w:r w:rsidR="009162F8">
        <w:t xml:space="preserve">realistically </w:t>
      </w:r>
      <w:r w:rsidR="00741BD9">
        <w:t>achievable.</w:t>
      </w:r>
      <w:r w:rsidR="009162F8">
        <w:t xml:space="preserve"> </w:t>
      </w:r>
    </w:p>
    <w:p w14:paraId="03F80873" w14:textId="7660F16C" w:rsidR="00956F87" w:rsidRDefault="009162F8" w:rsidP="00F42963">
      <w:r>
        <w:t xml:space="preserve">It is noted that these proformas involve planning judgements </w:t>
      </w:r>
      <w:r w:rsidR="00957162">
        <w:t xml:space="preserve">and more detailed assessments will be needed before any sites are developed. </w:t>
      </w:r>
    </w:p>
    <w:p w14:paraId="2ABCE0F7" w14:textId="77777777" w:rsidR="00A66E3E" w:rsidRPr="00A66E3E" w:rsidRDefault="00A66E3E" w:rsidP="00F42963"/>
    <w:p w14:paraId="1054C663" w14:textId="0389E5D7" w:rsidR="00DC7BED" w:rsidRPr="00D53C84" w:rsidRDefault="00D53C84" w:rsidP="00F42963">
      <w:pPr>
        <w:rPr>
          <w:b/>
          <w:bCs/>
        </w:rPr>
      </w:pPr>
      <w:r w:rsidRPr="00D53C84">
        <w:rPr>
          <w:b/>
          <w:bCs/>
        </w:rPr>
        <w:t xml:space="preserve">Assessing Timeframe </w:t>
      </w:r>
    </w:p>
    <w:p w14:paraId="0400147C" w14:textId="77777777" w:rsidR="00F51F9A" w:rsidRDefault="00D53C84" w:rsidP="00F42963">
      <w:r>
        <w:t xml:space="preserve">An assessment of </w:t>
      </w:r>
      <w:r w:rsidR="00112152">
        <w:t>when sites are likely to deliver homes has also been made</w:t>
      </w:r>
      <w:r w:rsidR="00D7187F">
        <w:t xml:space="preserve">.  </w:t>
      </w:r>
      <w:r w:rsidR="00A56DB7">
        <w:t>This has been divided up into</w:t>
      </w:r>
      <w:r w:rsidR="00767A45">
        <w:t xml:space="preserve"> years 1-5, 6-10,11-15 and 16+. The </w:t>
      </w:r>
      <w:r w:rsidR="00D22A18">
        <w:t xml:space="preserve">nominal starting point (year 1) is 2021.  </w:t>
      </w:r>
    </w:p>
    <w:p w14:paraId="276ADF4E" w14:textId="127D4C7E" w:rsidR="00767A45" w:rsidRDefault="000E79C0" w:rsidP="00F42963">
      <w:r>
        <w:t xml:space="preserve">In theory the list of “deliverable” sites counted in years 1-5 should be the same as the council’s five year housing land supply sites. </w:t>
      </w:r>
      <w:r w:rsidR="00416612">
        <w:t xml:space="preserve"> They are not necessarily the same because the NPPF </w:t>
      </w:r>
      <w:r w:rsidR="007F2FD2">
        <w:t xml:space="preserve">and subsequent interpretation places particular </w:t>
      </w:r>
      <w:r w:rsidR="00001B6C">
        <w:t>strictures on what may be counted in 5 year housing land supp</w:t>
      </w:r>
      <w:r w:rsidR="00052162">
        <w:t xml:space="preserve">ly.  </w:t>
      </w:r>
    </w:p>
    <w:p w14:paraId="41246459" w14:textId="1FE6F18A" w:rsidR="005C47B1" w:rsidRDefault="005C47B1" w:rsidP="00F42963">
      <w:r w:rsidRPr="005C47B1">
        <w:rPr>
          <w:b/>
          <w:bCs/>
        </w:rPr>
        <w:t>Assessing Viability</w:t>
      </w:r>
      <w:r w:rsidR="00052162">
        <w:rPr>
          <w:b/>
          <w:bCs/>
        </w:rPr>
        <w:t>.</w:t>
      </w:r>
      <w:r w:rsidRPr="005C47B1">
        <w:rPr>
          <w:b/>
          <w:bCs/>
        </w:rPr>
        <w:t xml:space="preserve"> </w:t>
      </w:r>
      <w:r w:rsidR="00FB2E08">
        <w:t>The Local Plan up</w:t>
      </w:r>
      <w:r w:rsidR="00EA0DDB">
        <w:t>date will need to be supported by a renewed Whole Plan Viability Assessment.  The Council’s current evi</w:t>
      </w:r>
      <w:r w:rsidR="00EA6723">
        <w:t>dence dates from 2016 and 2017</w:t>
      </w:r>
      <w:r w:rsidR="00E62229">
        <w:t xml:space="preserve">.  The 2013 SHLAA considered that </w:t>
      </w:r>
      <w:r w:rsidR="00A6364B">
        <w:t xml:space="preserve">housing is in principle viable.  We have </w:t>
      </w:r>
      <w:r w:rsidR="000533C5">
        <w:t xml:space="preserve">continued to assume that residential development </w:t>
      </w:r>
      <w:r w:rsidR="00DC0A67">
        <w:t xml:space="preserve">remains in principle viable. However, advice from housebuilders is that </w:t>
      </w:r>
      <w:r w:rsidR="005A2943">
        <w:t>apartments</w:t>
      </w:r>
      <w:r w:rsidR="00504F30">
        <w:t xml:space="preserve"> of more than 4 storeys would not be viable unless the site has </w:t>
      </w:r>
      <w:proofErr w:type="gramStart"/>
      <w:r w:rsidR="00895E8D">
        <w:t>particular selling</w:t>
      </w:r>
      <w:proofErr w:type="gramEnd"/>
      <w:r w:rsidR="00895E8D">
        <w:t xml:space="preserve"> qualities or additional funding is available.  </w:t>
      </w:r>
      <w:r w:rsidR="00891325">
        <w:t xml:space="preserve">There is </w:t>
      </w:r>
      <w:r w:rsidR="00F92532">
        <w:t>likely</w:t>
      </w:r>
      <w:r w:rsidR="00891325">
        <w:t xml:space="preserve"> to </w:t>
      </w:r>
      <w:r w:rsidR="001C15BE">
        <w:t xml:space="preserve">be a limited demand for apartments, which will affect their developability, unless </w:t>
      </w:r>
      <w:r w:rsidR="00F92532">
        <w:t xml:space="preserve">wider public subsidy is involved. </w:t>
      </w:r>
      <w:r w:rsidR="00895E8D">
        <w:t>Similarly, sites that are not flat</w:t>
      </w:r>
      <w:r w:rsidR="00F11963">
        <w:t xml:space="preserve"> have viability issues and this is affecting </w:t>
      </w:r>
      <w:r w:rsidR="005A2943">
        <w:t xml:space="preserve">some </w:t>
      </w:r>
      <w:r w:rsidR="00F11963">
        <w:t xml:space="preserve">already allocated </w:t>
      </w:r>
      <w:r w:rsidR="005A2943">
        <w:t xml:space="preserve">land. </w:t>
      </w:r>
    </w:p>
    <w:p w14:paraId="3B7FEF8A" w14:textId="0047F551" w:rsidR="005A2943" w:rsidRPr="00FB2E08" w:rsidRDefault="005A2943" w:rsidP="00F42963">
      <w:r>
        <w:t xml:space="preserve">We have sought to </w:t>
      </w:r>
      <w:proofErr w:type="gramStart"/>
      <w:r>
        <w:t>take into account</w:t>
      </w:r>
      <w:proofErr w:type="gramEnd"/>
      <w:r>
        <w:t xml:space="preserve"> a site/broad location’s likely </w:t>
      </w:r>
      <w:r w:rsidR="0066462A">
        <w:t>viability when</w:t>
      </w:r>
      <w:r>
        <w:t xml:space="preserve"> </w:t>
      </w:r>
      <w:r w:rsidR="00D7187F">
        <w:t xml:space="preserve">assessing its likely deliverability or developability.  </w:t>
      </w:r>
    </w:p>
    <w:p w14:paraId="4EA257D2" w14:textId="77777777" w:rsidR="00A66E3E" w:rsidRDefault="00A66E3E" w:rsidP="00A66E3E">
      <w:pPr>
        <w:rPr>
          <w:b/>
          <w:bCs/>
        </w:rPr>
      </w:pPr>
      <w:r w:rsidRPr="00FD1AD8">
        <w:rPr>
          <w:b/>
          <w:bCs/>
        </w:rPr>
        <w:t xml:space="preserve">Coding and Neighbourhood Plan Areas </w:t>
      </w:r>
    </w:p>
    <w:p w14:paraId="450FE662" w14:textId="2A200A8F" w:rsidR="00A66E3E" w:rsidRDefault="00A66E3E" w:rsidP="00A66E3E">
      <w:r w:rsidRPr="008B476A">
        <w:t xml:space="preserve">Each site and broad location has been given an individual number in the HELAA starting with “21” to denote the HELAA date.  They have been coded by town/neighbourhood plan area:  B= Brixham Peninsula, P= Paignton and T= Torquay, and then a number.  The number is applied in no order, although the spreadsheet does record the source of the site.  </w:t>
      </w:r>
    </w:p>
    <w:p w14:paraId="0E06284E" w14:textId="77777777" w:rsidR="00A66E3E" w:rsidRDefault="00A66E3E" w:rsidP="00A66E3E">
      <w:r>
        <w:t xml:space="preserve">It is noted that Full Council approved a new Neighbourhood Plan area for the Broadsands, Churston and Galmpton villages area in November 2021.  The HELAA was already well underway when this decision was made and therefore sites in the BCG Villages Forum Area are labelled “B” denoting their former status as part of the Brixham Peninsula.  The spreadsheet does however split the two areas and the proformas indicate whether the sites/broad locations are in Brixham or the BGC Villages. </w:t>
      </w:r>
    </w:p>
    <w:p w14:paraId="747110EC" w14:textId="77777777" w:rsidR="005C47B1" w:rsidRDefault="005C47B1" w:rsidP="00F42963"/>
    <w:p w14:paraId="67288EA3" w14:textId="4210239A" w:rsidR="00BF1770" w:rsidRDefault="00BF1770" w:rsidP="00BF1770">
      <w:pPr>
        <w:pStyle w:val="largeprinttext"/>
        <w:framePr w:wrap="around"/>
      </w:pPr>
      <w:r>
        <w:t xml:space="preserve">Traffic Light Assessment </w:t>
      </w:r>
    </w:p>
    <w:p w14:paraId="19AC4F13" w14:textId="77777777" w:rsidR="00956F87" w:rsidRDefault="00956F87" w:rsidP="00F42963"/>
    <w:p w14:paraId="3D7DBEAF" w14:textId="63D50176" w:rsidR="00BF1770" w:rsidRDefault="00BF1770" w:rsidP="00F42963">
      <w:pPr>
        <w:rPr>
          <w:rStyle w:val="bold"/>
          <w:lang w:eastAsia="en-GB"/>
        </w:rPr>
      </w:pPr>
    </w:p>
    <w:p w14:paraId="7DA5F91C" w14:textId="699A41B2" w:rsidR="00052162" w:rsidRDefault="00C341BE" w:rsidP="00F42963">
      <w:pPr>
        <w:rPr>
          <w:rStyle w:val="bold"/>
          <w:b w:val="0"/>
          <w:bCs/>
          <w:lang w:eastAsia="en-GB"/>
        </w:rPr>
      </w:pPr>
      <w:r>
        <w:rPr>
          <w:rStyle w:val="bold"/>
          <w:b w:val="0"/>
          <w:bCs/>
          <w:lang w:eastAsia="en-GB"/>
        </w:rPr>
        <w:t xml:space="preserve">In assessing sites, the HELAA has </w:t>
      </w:r>
      <w:r w:rsidR="001A764A">
        <w:rPr>
          <w:rStyle w:val="bold"/>
          <w:b w:val="0"/>
          <w:bCs/>
          <w:lang w:eastAsia="en-GB"/>
        </w:rPr>
        <w:t xml:space="preserve">adopted a traffic light coding to reflect the degree of suitability </w:t>
      </w:r>
      <w:r w:rsidR="002420AB">
        <w:rPr>
          <w:rStyle w:val="bold"/>
          <w:b w:val="0"/>
          <w:bCs/>
          <w:lang w:eastAsia="en-GB"/>
        </w:rPr>
        <w:t xml:space="preserve">and constraints faced.  </w:t>
      </w:r>
      <w:r w:rsidR="00A46981">
        <w:rPr>
          <w:rStyle w:val="bold"/>
          <w:b w:val="0"/>
          <w:bCs/>
          <w:lang w:eastAsia="en-GB"/>
        </w:rPr>
        <w:t xml:space="preserve">This is: </w:t>
      </w:r>
    </w:p>
    <w:p w14:paraId="05039594" w14:textId="77777777" w:rsidR="007F092E" w:rsidRDefault="00A46981" w:rsidP="007F092E">
      <w:pPr>
        <w:pStyle w:val="ListParagraph"/>
        <w:numPr>
          <w:ilvl w:val="0"/>
          <w:numId w:val="26"/>
        </w:numPr>
        <w:rPr>
          <w:rStyle w:val="bold"/>
          <w:b w:val="0"/>
          <w:bCs/>
          <w:lang w:eastAsia="en-GB"/>
        </w:rPr>
      </w:pPr>
      <w:r>
        <w:rPr>
          <w:rStyle w:val="bold"/>
          <w:b w:val="0"/>
          <w:bCs/>
          <w:lang w:eastAsia="en-GB"/>
        </w:rPr>
        <w:t xml:space="preserve">Green sites which are allocated in the existing development plan or have planning permission. </w:t>
      </w:r>
    </w:p>
    <w:p w14:paraId="0B29F17D" w14:textId="1FA5ADEE" w:rsidR="007F092E" w:rsidRDefault="00A46981" w:rsidP="00F42963">
      <w:pPr>
        <w:pStyle w:val="ListParagraph"/>
        <w:numPr>
          <w:ilvl w:val="0"/>
          <w:numId w:val="26"/>
        </w:numPr>
        <w:rPr>
          <w:rStyle w:val="bold"/>
          <w:b w:val="0"/>
          <w:bCs/>
          <w:lang w:eastAsia="en-GB"/>
        </w:rPr>
      </w:pPr>
      <w:r>
        <w:rPr>
          <w:rStyle w:val="bold"/>
          <w:b w:val="0"/>
          <w:bCs/>
          <w:lang w:eastAsia="en-GB"/>
        </w:rPr>
        <w:t xml:space="preserve">Yellow sites </w:t>
      </w:r>
      <w:r w:rsidR="00243F69">
        <w:rPr>
          <w:rStyle w:val="bold"/>
          <w:b w:val="0"/>
          <w:bCs/>
          <w:lang w:eastAsia="en-GB"/>
        </w:rPr>
        <w:t>are assessed by officers to have only minor constraints</w:t>
      </w:r>
      <w:r w:rsidR="007F092E">
        <w:rPr>
          <w:rStyle w:val="bold"/>
          <w:b w:val="0"/>
          <w:bCs/>
          <w:lang w:eastAsia="en-GB"/>
        </w:rPr>
        <w:t>.</w:t>
      </w:r>
    </w:p>
    <w:p w14:paraId="635AD523" w14:textId="77777777" w:rsidR="007F092E" w:rsidRDefault="007F092E" w:rsidP="00F42963">
      <w:pPr>
        <w:pStyle w:val="ListParagraph"/>
        <w:numPr>
          <w:ilvl w:val="0"/>
          <w:numId w:val="26"/>
        </w:numPr>
        <w:rPr>
          <w:rStyle w:val="bold"/>
          <w:b w:val="0"/>
          <w:bCs/>
          <w:lang w:eastAsia="en-GB"/>
        </w:rPr>
      </w:pPr>
      <w:r>
        <w:rPr>
          <w:rStyle w:val="bold"/>
          <w:b w:val="0"/>
          <w:bCs/>
          <w:lang w:eastAsia="en-GB"/>
        </w:rPr>
        <w:t>A</w:t>
      </w:r>
      <w:r w:rsidR="00243F69" w:rsidRPr="007F092E">
        <w:rPr>
          <w:rStyle w:val="bold"/>
          <w:b w:val="0"/>
          <w:bCs/>
          <w:lang w:eastAsia="en-GB"/>
        </w:rPr>
        <w:t>mber</w:t>
      </w:r>
      <w:r w:rsidR="00243F69">
        <w:rPr>
          <w:rStyle w:val="bold"/>
          <w:b w:val="0"/>
          <w:bCs/>
          <w:lang w:eastAsia="en-GB"/>
        </w:rPr>
        <w:t xml:space="preserve"> sites have significant constraints</w:t>
      </w:r>
      <w:r>
        <w:rPr>
          <w:rStyle w:val="bold"/>
          <w:b w:val="0"/>
          <w:bCs/>
          <w:lang w:eastAsia="en-GB"/>
        </w:rPr>
        <w:t>.</w:t>
      </w:r>
    </w:p>
    <w:p w14:paraId="5DD72C6B" w14:textId="2EAF8C4A" w:rsidR="00A46981" w:rsidRDefault="007F092E" w:rsidP="00F42963">
      <w:pPr>
        <w:pStyle w:val="ListParagraph"/>
        <w:numPr>
          <w:ilvl w:val="0"/>
          <w:numId w:val="26"/>
        </w:numPr>
        <w:rPr>
          <w:rStyle w:val="bold"/>
          <w:b w:val="0"/>
          <w:bCs/>
          <w:lang w:eastAsia="en-GB"/>
        </w:rPr>
      </w:pPr>
      <w:r>
        <w:rPr>
          <w:rStyle w:val="bold"/>
          <w:b w:val="0"/>
          <w:bCs/>
          <w:lang w:eastAsia="en-GB"/>
        </w:rPr>
        <w:t>R</w:t>
      </w:r>
      <w:r w:rsidR="00A521A8" w:rsidRPr="007F092E">
        <w:rPr>
          <w:rStyle w:val="bold"/>
          <w:b w:val="0"/>
          <w:bCs/>
          <w:lang w:eastAsia="en-GB"/>
        </w:rPr>
        <w:t>ed</w:t>
      </w:r>
      <w:r w:rsidR="00A521A8">
        <w:rPr>
          <w:rStyle w:val="bold"/>
          <w:b w:val="0"/>
          <w:bCs/>
          <w:lang w:eastAsia="en-GB"/>
        </w:rPr>
        <w:t xml:space="preserve"> sites have been assessed by officers as being unsuitable for development and therefore rejected by the HELAA. </w:t>
      </w:r>
    </w:p>
    <w:p w14:paraId="1E615670" w14:textId="65837E09" w:rsidR="001F65FB" w:rsidRDefault="00D948CA" w:rsidP="00F42963">
      <w:pPr>
        <w:rPr>
          <w:rStyle w:val="bold"/>
          <w:b w:val="0"/>
          <w:bCs/>
          <w:lang w:eastAsia="en-GB"/>
        </w:rPr>
      </w:pPr>
      <w:r>
        <w:rPr>
          <w:rStyle w:val="bold"/>
          <w:b w:val="0"/>
          <w:bCs/>
          <w:lang w:eastAsia="en-GB"/>
        </w:rPr>
        <w:t xml:space="preserve">It is noted that some </w:t>
      </w:r>
      <w:r w:rsidR="004B2F0E">
        <w:rPr>
          <w:rStyle w:val="bold"/>
          <w:b w:val="0"/>
          <w:bCs/>
          <w:lang w:eastAsia="en-GB"/>
        </w:rPr>
        <w:t xml:space="preserve">allocated sites or sites with planning permission </w:t>
      </w:r>
      <w:r w:rsidR="003F1996">
        <w:rPr>
          <w:rStyle w:val="bold"/>
          <w:b w:val="0"/>
          <w:bCs/>
          <w:lang w:eastAsia="en-GB"/>
        </w:rPr>
        <w:t>have been assessed to have significant constraints and have therefore been coded yellow or amber in the HELAA. This is</w:t>
      </w:r>
      <w:r w:rsidR="00C06051">
        <w:rPr>
          <w:rStyle w:val="bold"/>
          <w:b w:val="0"/>
          <w:bCs/>
          <w:lang w:eastAsia="en-GB"/>
        </w:rPr>
        <w:t xml:space="preserve"> intended to reflect realism in </w:t>
      </w:r>
      <w:r w:rsidR="00CE10BC">
        <w:rPr>
          <w:rStyle w:val="bold"/>
          <w:b w:val="0"/>
          <w:bCs/>
          <w:lang w:eastAsia="en-GB"/>
        </w:rPr>
        <w:t xml:space="preserve">considering their deliverability.  </w:t>
      </w:r>
    </w:p>
    <w:p w14:paraId="15CD09BD" w14:textId="2A41E658" w:rsidR="00A521A8" w:rsidRDefault="00AE0F84" w:rsidP="00F42963">
      <w:pPr>
        <w:rPr>
          <w:rStyle w:val="bold"/>
          <w:b w:val="0"/>
          <w:bCs/>
          <w:lang w:eastAsia="en-GB"/>
        </w:rPr>
      </w:pPr>
      <w:r>
        <w:rPr>
          <w:rStyle w:val="bold"/>
          <w:b w:val="0"/>
          <w:bCs/>
          <w:lang w:eastAsia="en-GB"/>
        </w:rPr>
        <w:t xml:space="preserve">Additional </w:t>
      </w:r>
      <w:r w:rsidR="0087705E">
        <w:rPr>
          <w:rStyle w:val="bold"/>
          <w:b w:val="0"/>
          <w:bCs/>
          <w:lang w:eastAsia="en-GB"/>
        </w:rPr>
        <w:t>broad categories of re-use of h</w:t>
      </w:r>
      <w:r w:rsidR="00BB72DA">
        <w:rPr>
          <w:rStyle w:val="bold"/>
          <w:b w:val="0"/>
          <w:bCs/>
          <w:lang w:eastAsia="en-GB"/>
        </w:rPr>
        <w:t>oliday</w:t>
      </w:r>
      <w:r w:rsidR="0087705E">
        <w:rPr>
          <w:rStyle w:val="bold"/>
          <w:b w:val="0"/>
          <w:bCs/>
          <w:lang w:eastAsia="en-GB"/>
        </w:rPr>
        <w:t xml:space="preserve"> accommodation and </w:t>
      </w:r>
      <w:r w:rsidR="00A61521">
        <w:rPr>
          <w:rStyle w:val="bold"/>
          <w:b w:val="0"/>
          <w:bCs/>
          <w:lang w:eastAsia="en-GB"/>
        </w:rPr>
        <w:t xml:space="preserve">redevelopment of car parks are assessed separately. </w:t>
      </w:r>
      <w:r w:rsidR="0004288D">
        <w:rPr>
          <w:rStyle w:val="bold"/>
          <w:b w:val="0"/>
          <w:bCs/>
          <w:lang w:eastAsia="en-GB"/>
        </w:rPr>
        <w:t xml:space="preserve"> These would require a </w:t>
      </w:r>
      <w:r w:rsidR="005601D3">
        <w:rPr>
          <w:rStyle w:val="bold"/>
          <w:b w:val="0"/>
          <w:bCs/>
          <w:lang w:eastAsia="en-GB"/>
        </w:rPr>
        <w:t xml:space="preserve">broader shift in policy emphasis and in the case of car parks a wider council review of parking requirements. </w:t>
      </w:r>
      <w:r w:rsidR="004802EF">
        <w:rPr>
          <w:rStyle w:val="bold"/>
          <w:b w:val="0"/>
          <w:bCs/>
          <w:lang w:eastAsia="en-GB"/>
        </w:rPr>
        <w:t xml:space="preserve"> Additionally, there is likely to be scope for more residential accommodation in town centres</w:t>
      </w:r>
      <w:r w:rsidR="002728BD">
        <w:rPr>
          <w:rStyle w:val="bold"/>
          <w:b w:val="0"/>
          <w:bCs/>
          <w:lang w:eastAsia="en-GB"/>
        </w:rPr>
        <w:t xml:space="preserve">.  Many town centre sites are specifically assessed for redevelopment in the HELAA, but a decision to contract town centre boundaries could also yield additional housing.  </w:t>
      </w:r>
    </w:p>
    <w:p w14:paraId="3D63CC2B" w14:textId="21310B70" w:rsidR="005F0336" w:rsidRPr="00891325" w:rsidRDefault="005F0336" w:rsidP="00F42963">
      <w:pPr>
        <w:rPr>
          <w:rStyle w:val="bold"/>
          <w:b w:val="0"/>
          <w:bCs/>
          <w:lang w:eastAsia="en-GB"/>
        </w:rPr>
      </w:pPr>
      <w:r w:rsidRPr="006268CA">
        <w:rPr>
          <w:rStyle w:val="bold"/>
          <w:b w:val="0"/>
          <w:bCs/>
          <w:lang w:eastAsia="en-GB"/>
        </w:rPr>
        <w:t>Again</w:t>
      </w:r>
      <w:r w:rsidR="00EA6DCD">
        <w:rPr>
          <w:rStyle w:val="bold"/>
          <w:b w:val="0"/>
          <w:bCs/>
          <w:lang w:eastAsia="en-GB"/>
        </w:rPr>
        <w:t>,</w:t>
      </w:r>
      <w:r w:rsidRPr="006268CA">
        <w:rPr>
          <w:rStyle w:val="bold"/>
          <w:b w:val="0"/>
          <w:bCs/>
          <w:lang w:eastAsia="en-GB"/>
        </w:rPr>
        <w:t xml:space="preserve"> it is noted that the categorisation of sites entails a </w:t>
      </w:r>
      <w:r w:rsidR="006268CA" w:rsidRPr="006268CA">
        <w:rPr>
          <w:rStyle w:val="bold"/>
          <w:b w:val="0"/>
          <w:bCs/>
          <w:lang w:eastAsia="en-GB"/>
        </w:rPr>
        <w:t xml:space="preserve">planning judgement made collectively by the team preparing the HELAA. </w:t>
      </w:r>
      <w:r w:rsidR="006268CA">
        <w:rPr>
          <w:rStyle w:val="bold"/>
          <w:b w:val="0"/>
          <w:bCs/>
          <w:lang w:eastAsia="en-GB"/>
        </w:rPr>
        <w:t xml:space="preserve">It does not reflect council policy </w:t>
      </w:r>
      <w:r w:rsidR="00BC1BD0">
        <w:rPr>
          <w:rStyle w:val="bold"/>
          <w:b w:val="0"/>
          <w:bCs/>
          <w:lang w:eastAsia="en-GB"/>
        </w:rPr>
        <w:t xml:space="preserve">or imply a wider decision about sies.  </w:t>
      </w:r>
    </w:p>
    <w:p w14:paraId="08D34ACF" w14:textId="7CABC42B" w:rsidR="005F0336" w:rsidRDefault="00EA6DCD" w:rsidP="00694025">
      <w:pPr>
        <w:pStyle w:val="Heading3"/>
        <w:rPr>
          <w:rStyle w:val="bold"/>
          <w:lang w:eastAsia="en-GB"/>
        </w:rPr>
      </w:pPr>
      <w:r>
        <w:rPr>
          <w:rStyle w:val="bold"/>
          <w:lang w:eastAsia="en-GB"/>
        </w:rPr>
        <w:t xml:space="preserve">The </w:t>
      </w:r>
      <w:r w:rsidR="00694025">
        <w:rPr>
          <w:rStyle w:val="bold"/>
          <w:lang w:eastAsia="en-GB"/>
        </w:rPr>
        <w:t xml:space="preserve">Site categories in more detail. </w:t>
      </w:r>
    </w:p>
    <w:p w14:paraId="16CBE873" w14:textId="519D1820" w:rsidR="005F0336" w:rsidRDefault="005F0336" w:rsidP="00F42963">
      <w:pPr>
        <w:rPr>
          <w:rStyle w:val="bold"/>
          <w:lang w:eastAsia="en-GB"/>
        </w:rPr>
      </w:pPr>
    </w:p>
    <w:p w14:paraId="12B37272" w14:textId="5507E494" w:rsidR="00694025" w:rsidRPr="001878BE" w:rsidRDefault="003822D8" w:rsidP="00F42963">
      <w:pPr>
        <w:rPr>
          <w:rStyle w:val="bold"/>
          <w:b w:val="0"/>
          <w:bCs/>
          <w:lang w:eastAsia="en-GB"/>
        </w:rPr>
      </w:pPr>
      <w:r w:rsidRPr="00A66E3E">
        <w:rPr>
          <w:rStyle w:val="bold"/>
          <w:b w:val="0"/>
          <w:bCs/>
          <w:lang w:eastAsia="en-GB"/>
        </w:rPr>
        <w:t xml:space="preserve">Each of the </w:t>
      </w:r>
      <w:r w:rsidR="003F7861">
        <w:rPr>
          <w:rStyle w:val="bold"/>
          <w:b w:val="0"/>
          <w:bCs/>
          <w:lang w:eastAsia="en-GB"/>
        </w:rPr>
        <w:t xml:space="preserve">sites and broad locations is categorised in the spreadsheet </w:t>
      </w:r>
      <w:r w:rsidR="003715A2">
        <w:rPr>
          <w:rStyle w:val="bold"/>
          <w:b w:val="0"/>
          <w:bCs/>
          <w:lang w:eastAsia="en-GB"/>
        </w:rPr>
        <w:t>of sites at Appendix</w:t>
      </w:r>
      <w:r w:rsidR="003715A2" w:rsidRPr="003715A2">
        <w:rPr>
          <w:rStyle w:val="bold"/>
          <w:b w:val="0"/>
          <w:bCs/>
          <w:color w:val="FF0000"/>
          <w:lang w:eastAsia="en-GB"/>
        </w:rPr>
        <w:t xml:space="preserve"> </w:t>
      </w:r>
      <w:r w:rsidR="009D0A5C" w:rsidRPr="00437E40">
        <w:rPr>
          <w:rStyle w:val="bold"/>
          <w:b w:val="0"/>
          <w:bCs/>
          <w:lang w:eastAsia="en-GB"/>
        </w:rPr>
        <w:t>3</w:t>
      </w:r>
      <w:r w:rsidR="003715A2" w:rsidRPr="00437E40">
        <w:rPr>
          <w:rStyle w:val="bold"/>
          <w:b w:val="0"/>
          <w:bCs/>
          <w:lang w:eastAsia="en-GB"/>
        </w:rPr>
        <w:t xml:space="preserve">.  </w:t>
      </w:r>
      <w:r w:rsidR="003715A2" w:rsidRPr="000D77AD">
        <w:rPr>
          <w:rStyle w:val="bold"/>
          <w:b w:val="0"/>
          <w:bCs/>
          <w:lang w:eastAsia="en-GB"/>
        </w:rPr>
        <w:t xml:space="preserve">The </w:t>
      </w:r>
      <w:r w:rsidR="001B3935" w:rsidRPr="000D77AD">
        <w:rPr>
          <w:rStyle w:val="bold"/>
          <w:b w:val="0"/>
          <w:bCs/>
          <w:lang w:eastAsia="en-GB"/>
        </w:rPr>
        <w:t xml:space="preserve">proformas are collected by category (Green, yellow, amber, red etc) and </w:t>
      </w:r>
      <w:r w:rsidR="000D77AD" w:rsidRPr="000D77AD">
        <w:rPr>
          <w:rStyle w:val="bold"/>
          <w:b w:val="0"/>
          <w:bCs/>
          <w:lang w:eastAsia="en-GB"/>
        </w:rPr>
        <w:t xml:space="preserve">included at </w:t>
      </w:r>
      <w:r w:rsidR="00004FB9">
        <w:rPr>
          <w:rStyle w:val="bold"/>
          <w:b w:val="0"/>
          <w:bCs/>
          <w:lang w:eastAsia="en-GB"/>
        </w:rPr>
        <w:t>A</w:t>
      </w:r>
      <w:r w:rsidR="000D77AD" w:rsidRPr="00437E40">
        <w:rPr>
          <w:rStyle w:val="bold"/>
          <w:b w:val="0"/>
          <w:bCs/>
          <w:lang w:eastAsia="en-GB"/>
        </w:rPr>
        <w:t xml:space="preserve">ppendix </w:t>
      </w:r>
      <w:r w:rsidR="009D0A5C" w:rsidRPr="00437E40">
        <w:rPr>
          <w:rStyle w:val="bold"/>
          <w:b w:val="0"/>
          <w:bCs/>
          <w:lang w:eastAsia="en-GB"/>
        </w:rPr>
        <w:t>4</w:t>
      </w:r>
      <w:r w:rsidR="000D77AD" w:rsidRPr="00437E40">
        <w:rPr>
          <w:rStyle w:val="bold"/>
          <w:b w:val="0"/>
          <w:bCs/>
          <w:lang w:eastAsia="en-GB"/>
        </w:rPr>
        <w:t xml:space="preserve">. </w:t>
      </w:r>
      <w:r w:rsidR="00714A96" w:rsidRPr="00437E40">
        <w:rPr>
          <w:rStyle w:val="bold"/>
          <w:b w:val="0"/>
          <w:bCs/>
          <w:lang w:eastAsia="en-GB"/>
        </w:rPr>
        <w:t xml:space="preserve"> </w:t>
      </w:r>
      <w:r w:rsidR="00714A96" w:rsidRPr="001878BE">
        <w:rPr>
          <w:rStyle w:val="bold"/>
          <w:b w:val="0"/>
          <w:bCs/>
          <w:lang w:eastAsia="en-GB"/>
        </w:rPr>
        <w:t xml:space="preserve">Because of the number of documents, the HELAA is best viewed as a digital </w:t>
      </w:r>
      <w:r w:rsidR="001878BE">
        <w:rPr>
          <w:rStyle w:val="bold"/>
          <w:b w:val="0"/>
          <w:bCs/>
          <w:lang w:eastAsia="en-GB"/>
        </w:rPr>
        <w:t xml:space="preserve">compendium rather than a single </w:t>
      </w:r>
      <w:r w:rsidR="00714A96" w:rsidRPr="001878BE">
        <w:rPr>
          <w:rStyle w:val="bold"/>
          <w:b w:val="0"/>
          <w:bCs/>
          <w:lang w:eastAsia="en-GB"/>
        </w:rPr>
        <w:t>document</w:t>
      </w:r>
      <w:r w:rsidR="001878BE" w:rsidRPr="001878BE">
        <w:rPr>
          <w:rStyle w:val="bold"/>
          <w:b w:val="0"/>
          <w:bCs/>
          <w:lang w:eastAsia="en-GB"/>
        </w:rPr>
        <w:t>.</w:t>
      </w:r>
    </w:p>
    <w:p w14:paraId="1C769BB2" w14:textId="355F0044" w:rsidR="00694025" w:rsidRPr="001878BE" w:rsidRDefault="001878BE" w:rsidP="00F42963">
      <w:pPr>
        <w:rPr>
          <w:rStyle w:val="bold"/>
          <w:b w:val="0"/>
          <w:bCs/>
          <w:lang w:eastAsia="en-GB"/>
        </w:rPr>
      </w:pPr>
      <w:r w:rsidRPr="001878BE">
        <w:rPr>
          <w:rStyle w:val="bold"/>
          <w:b w:val="0"/>
          <w:bCs/>
          <w:lang w:eastAsia="en-GB"/>
        </w:rPr>
        <w:t xml:space="preserve">A summary of the main categories is set out below. </w:t>
      </w:r>
      <w:r w:rsidR="00071787">
        <w:rPr>
          <w:rStyle w:val="bold"/>
          <w:b w:val="0"/>
          <w:bCs/>
          <w:lang w:eastAsia="en-GB"/>
        </w:rPr>
        <w:t>The numbers have been rounded to the nearest 10</w:t>
      </w:r>
      <w:r w:rsidR="007B2D87">
        <w:rPr>
          <w:rStyle w:val="bold"/>
          <w:b w:val="0"/>
          <w:bCs/>
          <w:lang w:eastAsia="en-GB"/>
        </w:rPr>
        <w:t xml:space="preserve"> dwellings</w:t>
      </w:r>
      <w:r w:rsidR="00071787">
        <w:rPr>
          <w:rStyle w:val="bold"/>
          <w:b w:val="0"/>
          <w:bCs/>
          <w:lang w:eastAsia="en-GB"/>
        </w:rPr>
        <w:t xml:space="preserve"> </w:t>
      </w:r>
      <w:r w:rsidR="00AB5CBF">
        <w:rPr>
          <w:rStyle w:val="bold"/>
          <w:b w:val="0"/>
          <w:bCs/>
          <w:lang w:eastAsia="en-GB"/>
        </w:rPr>
        <w:t xml:space="preserve">as the HELAA is necessarily </w:t>
      </w:r>
      <w:r w:rsidR="0080468B">
        <w:rPr>
          <w:rStyle w:val="bold"/>
          <w:b w:val="0"/>
          <w:bCs/>
          <w:lang w:eastAsia="en-GB"/>
        </w:rPr>
        <w:t xml:space="preserve">an approximation.  </w:t>
      </w:r>
      <w:r w:rsidR="00F569C5">
        <w:rPr>
          <w:rStyle w:val="bold"/>
          <w:b w:val="0"/>
          <w:bCs/>
          <w:lang w:eastAsia="en-GB"/>
        </w:rPr>
        <w:t xml:space="preserve">Note that these figures are correct at </w:t>
      </w:r>
      <w:r w:rsidR="00812429">
        <w:rPr>
          <w:rStyle w:val="bold"/>
          <w:b w:val="0"/>
          <w:bCs/>
          <w:lang w:eastAsia="en-GB"/>
        </w:rPr>
        <w:t xml:space="preserve">December 2021. </w:t>
      </w:r>
      <w:r w:rsidR="00C018AC">
        <w:rPr>
          <w:rStyle w:val="bold"/>
          <w:b w:val="0"/>
          <w:bCs/>
          <w:lang w:eastAsia="en-GB"/>
        </w:rPr>
        <w:t xml:space="preserve"> </w:t>
      </w:r>
      <w:r w:rsidR="00812429">
        <w:rPr>
          <w:rStyle w:val="bold"/>
          <w:b w:val="0"/>
          <w:bCs/>
          <w:lang w:eastAsia="en-GB"/>
        </w:rPr>
        <w:t xml:space="preserve">However further adjustments to sites or the assessment of their deliverability </w:t>
      </w:r>
      <w:r w:rsidR="00C018AC">
        <w:rPr>
          <w:rStyle w:val="bold"/>
          <w:b w:val="0"/>
          <w:bCs/>
          <w:lang w:eastAsia="en-GB"/>
        </w:rPr>
        <w:t xml:space="preserve">will affect the figures.  </w:t>
      </w:r>
    </w:p>
    <w:p w14:paraId="77216A27" w14:textId="77777777" w:rsidR="001878BE" w:rsidRDefault="001878BE" w:rsidP="00F42963">
      <w:pPr>
        <w:rPr>
          <w:rStyle w:val="bold"/>
          <w:lang w:eastAsia="en-GB"/>
        </w:rPr>
      </w:pPr>
    </w:p>
    <w:p w14:paraId="55210A3B" w14:textId="7FA682A5" w:rsidR="00F42963" w:rsidRPr="00753B70" w:rsidRDefault="00F42963" w:rsidP="00F42963">
      <w:pPr>
        <w:rPr>
          <w:b/>
          <w:lang w:eastAsia="en-GB"/>
        </w:rPr>
      </w:pPr>
      <w:r w:rsidRPr="00F42963">
        <w:rPr>
          <w:rStyle w:val="bold"/>
          <w:lang w:eastAsia="en-GB"/>
        </w:rPr>
        <w:t>Green</w:t>
      </w:r>
      <w:r w:rsidR="00753B70">
        <w:rPr>
          <w:rStyle w:val="bold"/>
          <w:lang w:eastAsia="en-GB"/>
        </w:rPr>
        <w:t xml:space="preserve"> Sites.  </w:t>
      </w:r>
      <w:r w:rsidR="00753B70" w:rsidRPr="00753B70">
        <w:rPr>
          <w:rStyle w:val="bold"/>
          <w:b w:val="0"/>
          <w:bCs/>
          <w:lang w:eastAsia="en-GB"/>
        </w:rPr>
        <w:t>These</w:t>
      </w:r>
      <w:r w:rsidR="00753B70">
        <w:rPr>
          <w:rStyle w:val="bold"/>
          <w:lang w:eastAsia="en-GB"/>
        </w:rPr>
        <w:t xml:space="preserve"> </w:t>
      </w:r>
      <w:r w:rsidR="00753B70" w:rsidRPr="00753B70">
        <w:rPr>
          <w:rStyle w:val="bold"/>
          <w:b w:val="0"/>
          <w:bCs/>
          <w:lang w:eastAsia="en-GB"/>
        </w:rPr>
        <w:t xml:space="preserve">are </w:t>
      </w:r>
      <w:r w:rsidRPr="00F42963">
        <w:rPr>
          <w:lang w:eastAsia="en-GB"/>
        </w:rPr>
        <w:t xml:space="preserve">sites with planning permission/or allocated for development in the </w:t>
      </w:r>
      <w:r w:rsidR="008F728E">
        <w:t xml:space="preserve">Local or Neighbourhood Plan, and not subject to significant delivery constraints.  </w:t>
      </w:r>
    </w:p>
    <w:p w14:paraId="5F57F9B5" w14:textId="59CF9391" w:rsidR="00931612" w:rsidRDefault="00916A9E" w:rsidP="00F42963">
      <w:r>
        <w:t xml:space="preserve">Where allocated/approved sites have </w:t>
      </w:r>
      <w:r w:rsidR="002258B7">
        <w:t>constraints that</w:t>
      </w:r>
      <w:r w:rsidR="000E6CB0">
        <w:t xml:space="preserve"> could delay delivery we have coded them yellow or amber.  Constraints include flooding</w:t>
      </w:r>
      <w:r w:rsidR="00816274">
        <w:t xml:space="preserve"> or similar infrastructure</w:t>
      </w:r>
      <w:r w:rsidR="000E6CB0">
        <w:t xml:space="preserve"> issues, site assembly </w:t>
      </w:r>
      <w:r w:rsidR="00816274">
        <w:t xml:space="preserve">matters etc.  </w:t>
      </w:r>
    </w:p>
    <w:p w14:paraId="6F821F36" w14:textId="17D81111" w:rsidR="00816274" w:rsidRDefault="00816274" w:rsidP="00F42963">
      <w:r>
        <w:t xml:space="preserve">Note that for plan making purposes </w:t>
      </w:r>
      <w:r w:rsidR="003752A2">
        <w:t>there is a general expectation</w:t>
      </w:r>
      <w:r w:rsidR="00BD40A5">
        <w:t xml:space="preserve"> that </w:t>
      </w:r>
      <w:r w:rsidR="0087236A">
        <w:t>all</w:t>
      </w:r>
      <w:r w:rsidR="00BD40A5">
        <w:t xml:space="preserve"> the</w:t>
      </w:r>
      <w:r w:rsidR="00F4397B">
        <w:t xml:space="preserve"> </w:t>
      </w:r>
      <w:r w:rsidR="00BD40A5">
        <w:t>approved/allocated</w:t>
      </w:r>
      <w:r w:rsidR="00F4397B">
        <w:t xml:space="preserve"> </w:t>
      </w:r>
      <w:r w:rsidR="00BD40A5">
        <w:t xml:space="preserve">sited will </w:t>
      </w:r>
      <w:r w:rsidR="001D7305">
        <w:t xml:space="preserve">be </w:t>
      </w:r>
      <w:r w:rsidR="00BD40A5">
        <w:t xml:space="preserve">rolled forward </w:t>
      </w:r>
      <w:r w:rsidR="00EB4E24">
        <w:t xml:space="preserve">and remain allocated. </w:t>
      </w:r>
      <w:r w:rsidR="00F4397B">
        <w:t xml:space="preserve"> This is particularly the case for urban regeneration sites.  Consideration may need to be given to de-allocating sites if there is no </w:t>
      </w:r>
      <w:r w:rsidR="00D555D9">
        <w:t xml:space="preserve">prospect of them being developed </w:t>
      </w:r>
      <w:r w:rsidR="008A1B84">
        <w:t xml:space="preserve">over the HELAA’s timeframe </w:t>
      </w:r>
      <w:r w:rsidR="009B7243">
        <w:t>(</w:t>
      </w:r>
      <w:r w:rsidR="0066462A">
        <w:t>i.e.,</w:t>
      </w:r>
      <w:r w:rsidR="009B7243">
        <w:t xml:space="preserve"> circa 20 years). That is a matter for policy making rather than the HELAA. </w:t>
      </w:r>
    </w:p>
    <w:p w14:paraId="5FCB62FE" w14:textId="3F333025" w:rsidR="00EB4E24" w:rsidRDefault="0087236A" w:rsidP="00F42963">
      <w:r>
        <w:t xml:space="preserve">The HELAA assesses that a total of around </w:t>
      </w:r>
      <w:r w:rsidR="00942A2D" w:rsidRPr="00585F4D">
        <w:t>2</w:t>
      </w:r>
      <w:r w:rsidR="00CE3C21" w:rsidRPr="00585F4D">
        <w:t>,</w:t>
      </w:r>
      <w:r w:rsidR="00942A2D" w:rsidRPr="00585F4D">
        <w:t>4</w:t>
      </w:r>
      <w:r w:rsidR="000719DE" w:rsidRPr="00585F4D">
        <w:t>7</w:t>
      </w:r>
      <w:r w:rsidR="00082CFE" w:rsidRPr="00585F4D">
        <w:t>0</w:t>
      </w:r>
      <w:r w:rsidR="00082CFE">
        <w:t xml:space="preserve"> </w:t>
      </w:r>
      <w:r w:rsidR="000719DE">
        <w:t>dwellings can be achieved on "green" allocated or approved sites</w:t>
      </w:r>
      <w:r w:rsidR="006C58B3">
        <w:t xml:space="preserve">, about </w:t>
      </w:r>
      <w:r w:rsidR="004A4979" w:rsidRPr="00F569C5">
        <w:t>2</w:t>
      </w:r>
      <w:r w:rsidR="00CE3C21" w:rsidRPr="00F569C5">
        <w:t>,</w:t>
      </w:r>
      <w:r w:rsidR="004A4979" w:rsidRPr="00F569C5">
        <w:t>110</w:t>
      </w:r>
      <w:r w:rsidR="006C58B3">
        <w:t xml:space="preserve"> of which are developable in the next 10 years.  </w:t>
      </w:r>
      <w:r w:rsidR="001A7E46">
        <w:t>The most significant areas are the Local Plan's "Future Growth Areas" at Edginswell</w:t>
      </w:r>
      <w:r w:rsidR="00BB2D2D">
        <w:t xml:space="preserve">, Torquay </w:t>
      </w:r>
      <w:r w:rsidR="00E15E75">
        <w:t xml:space="preserve">and to the West of </w:t>
      </w:r>
      <w:r w:rsidR="00B4222B">
        <w:t>P</w:t>
      </w:r>
      <w:r w:rsidR="00E15E75">
        <w:t>aignton</w:t>
      </w:r>
      <w:r w:rsidR="00B4222B">
        <w:t xml:space="preserve">. </w:t>
      </w:r>
    </w:p>
    <w:p w14:paraId="00D3A8DF" w14:textId="53023612" w:rsidR="00931612" w:rsidRDefault="00931612" w:rsidP="00F42963"/>
    <w:p w14:paraId="0149B4C8" w14:textId="54C72124" w:rsidR="00336074" w:rsidRDefault="00F42963" w:rsidP="00F42963">
      <w:r w:rsidRPr="00F42963">
        <w:rPr>
          <w:rStyle w:val="bold"/>
          <w:lang w:eastAsia="en-GB"/>
        </w:rPr>
        <w:t>Yellow</w:t>
      </w:r>
      <w:r w:rsidR="009409AE">
        <w:rPr>
          <w:rStyle w:val="bold"/>
          <w:lang w:eastAsia="en-GB"/>
        </w:rPr>
        <w:t xml:space="preserve"> </w:t>
      </w:r>
      <w:r w:rsidR="004A4979">
        <w:rPr>
          <w:rStyle w:val="bold"/>
        </w:rPr>
        <w:t>Sites</w:t>
      </w:r>
      <w:r w:rsidRPr="00F42963">
        <w:rPr>
          <w:rStyle w:val="bold"/>
          <w:lang w:eastAsia="en-GB"/>
        </w:rPr>
        <w:t>:</w:t>
      </w:r>
      <w:r w:rsidR="000C5766">
        <w:rPr>
          <w:rStyle w:val="bold"/>
        </w:rPr>
        <w:t xml:space="preserve">  </w:t>
      </w:r>
      <w:r w:rsidR="000C5766" w:rsidRPr="00906452">
        <w:rPr>
          <w:rStyle w:val="bold"/>
          <w:b w:val="0"/>
        </w:rPr>
        <w:t xml:space="preserve">Where sites are assessed by officers to have relatively minor </w:t>
      </w:r>
      <w:r w:rsidR="0066462A" w:rsidRPr="00906452">
        <w:rPr>
          <w:rStyle w:val="bold"/>
          <w:b w:val="0"/>
        </w:rPr>
        <w:t>constraints,</w:t>
      </w:r>
      <w:r w:rsidR="000C5766" w:rsidRPr="00906452">
        <w:rPr>
          <w:rStyle w:val="bold"/>
          <w:b w:val="0"/>
        </w:rPr>
        <w:t xml:space="preserve"> we have coded them yellow</w:t>
      </w:r>
      <w:r w:rsidR="0019076E">
        <w:rPr>
          <w:rStyle w:val="bold"/>
        </w:rPr>
        <w:t xml:space="preserve">.  </w:t>
      </w:r>
      <w:r w:rsidR="000C5415">
        <w:t>This category excludes sites that have significant effects such as being locate</w:t>
      </w:r>
      <w:r w:rsidR="00FA1063">
        <w:t>d</w:t>
      </w:r>
      <w:r w:rsidR="000C5415">
        <w:t xml:space="preserve"> close to </w:t>
      </w:r>
      <w:r w:rsidR="006E3151">
        <w:t>the AONB or SAC.  However</w:t>
      </w:r>
      <w:r w:rsidR="002153A5">
        <w:t>,</w:t>
      </w:r>
      <w:r w:rsidR="006E3151">
        <w:t xml:space="preserve"> some site</w:t>
      </w:r>
      <w:r w:rsidR="005A4847">
        <w:t>s</w:t>
      </w:r>
      <w:r w:rsidR="006E3151">
        <w:t xml:space="preserve"> do impact on the landscape or </w:t>
      </w:r>
      <w:r w:rsidR="0006465F">
        <w:t xml:space="preserve">natural environment.  </w:t>
      </w:r>
      <w:r w:rsidR="00FA600A">
        <w:t xml:space="preserve">Again, it is </w:t>
      </w:r>
      <w:r w:rsidR="00346BD2">
        <w:t>emphasised</w:t>
      </w:r>
      <w:r w:rsidR="00FA600A">
        <w:t xml:space="preserve"> </w:t>
      </w:r>
      <w:r w:rsidR="00346BD2">
        <w:t xml:space="preserve">that this is an officer assessment and not council policy. </w:t>
      </w:r>
      <w:r w:rsidR="00F84576">
        <w:t xml:space="preserve"> Unlike the "green" sites a planning </w:t>
      </w:r>
      <w:r w:rsidR="00AA74BB">
        <w:t>judgement</w:t>
      </w:r>
      <w:r w:rsidR="00F84576">
        <w:t xml:space="preserve"> ne</w:t>
      </w:r>
      <w:r w:rsidR="0006465F">
        <w:t>e</w:t>
      </w:r>
      <w:r w:rsidR="00F84576">
        <w:t xml:space="preserve">ds to be taken when coding sites yellow (or </w:t>
      </w:r>
      <w:r w:rsidR="00AA74BB">
        <w:t>amber etc)</w:t>
      </w:r>
      <w:r w:rsidR="00346BD2">
        <w:t xml:space="preserve"> </w:t>
      </w:r>
      <w:r w:rsidR="00AA74BB">
        <w:t xml:space="preserve">and the HELAA does not </w:t>
      </w:r>
      <w:r w:rsidR="00651F69">
        <w:t xml:space="preserve">prejudge a </w:t>
      </w:r>
      <w:proofErr w:type="gramStart"/>
      <w:r w:rsidR="00651F69">
        <w:t>Member</w:t>
      </w:r>
      <w:proofErr w:type="gramEnd"/>
      <w:r w:rsidR="00651F69">
        <w:t xml:space="preserve"> decision on whether</w:t>
      </w:r>
      <w:r w:rsidR="00BF2074">
        <w:t xml:space="preserve"> or not</w:t>
      </w:r>
      <w:r w:rsidR="00651F69">
        <w:t xml:space="preserve"> sites are allocated.  </w:t>
      </w:r>
    </w:p>
    <w:p w14:paraId="63817079" w14:textId="1BE62D8C" w:rsidR="00E65563" w:rsidRDefault="00336074" w:rsidP="00F42963">
      <w:r>
        <w:t xml:space="preserve">As noted above, some sites where the principle of development has been established </w:t>
      </w:r>
      <w:r w:rsidR="00BF09A7">
        <w:t>have been put into the "yellow" category due to uncertainty over their deliverability.  D</w:t>
      </w:r>
      <w:r w:rsidR="00A326DC">
        <w:t>eliverability evidence can change rapidly and the</w:t>
      </w:r>
      <w:r w:rsidR="00B0475D">
        <w:t xml:space="preserve"> </w:t>
      </w:r>
      <w:r w:rsidR="00A326DC">
        <w:t xml:space="preserve">HELAA is a snapshot in time that will evolve.    </w:t>
      </w:r>
    </w:p>
    <w:p w14:paraId="61076062" w14:textId="6C56A5BC" w:rsidR="00B4222B" w:rsidRDefault="000F782C" w:rsidP="00F42963">
      <w:pPr>
        <w:rPr>
          <w:rStyle w:val="bold"/>
        </w:rPr>
      </w:pPr>
      <w:r>
        <w:t>Capacity on yellow sites for a</w:t>
      </w:r>
      <w:r w:rsidR="00E65563">
        <w:t>pproximate</w:t>
      </w:r>
      <w:r w:rsidR="00E65563" w:rsidRPr="00BA6973">
        <w:t>ly</w:t>
      </w:r>
      <w:r w:rsidRPr="00BA6973">
        <w:t xml:space="preserve"> </w:t>
      </w:r>
      <w:r w:rsidR="007C7F14" w:rsidRPr="00BA6973">
        <w:t>1</w:t>
      </w:r>
      <w:r w:rsidR="00853F84" w:rsidRPr="00BA6973">
        <w:t>,</w:t>
      </w:r>
      <w:r w:rsidR="007C7F14" w:rsidRPr="00BA6973">
        <w:t>1</w:t>
      </w:r>
      <w:r w:rsidR="00BA6973" w:rsidRPr="00BA6973">
        <w:t>5</w:t>
      </w:r>
      <w:r w:rsidR="007C7F14" w:rsidRPr="00BA6973">
        <w:t>0</w:t>
      </w:r>
      <w:r>
        <w:t xml:space="preserve"> dwellings has been assessed, of which the majority (about </w:t>
      </w:r>
      <w:r w:rsidR="00FE4EEE">
        <w:t>8</w:t>
      </w:r>
      <w:r w:rsidR="00BA6973">
        <w:t>00</w:t>
      </w:r>
      <w:r w:rsidR="00FE4EEE">
        <w:t xml:space="preserve">) are developable in the next decade.  </w:t>
      </w:r>
    </w:p>
    <w:p w14:paraId="627B6ACC" w14:textId="77777777" w:rsidR="00B162EA" w:rsidRDefault="00B162EA" w:rsidP="00F42963">
      <w:pPr>
        <w:rPr>
          <w:rStyle w:val="bold"/>
        </w:rPr>
      </w:pPr>
    </w:p>
    <w:p w14:paraId="2A520E3F" w14:textId="0090150C" w:rsidR="00825BCD" w:rsidRDefault="00F42963" w:rsidP="00F42963">
      <w:pPr>
        <w:rPr>
          <w:lang w:eastAsia="en-GB"/>
        </w:rPr>
      </w:pPr>
      <w:r w:rsidRPr="00F42963">
        <w:rPr>
          <w:rStyle w:val="bold"/>
          <w:lang w:eastAsia="en-GB"/>
        </w:rPr>
        <w:t>Amber</w:t>
      </w:r>
      <w:r w:rsidR="00EB586D">
        <w:rPr>
          <w:rStyle w:val="bold"/>
        </w:rPr>
        <w:t xml:space="preserve"> Sites: </w:t>
      </w:r>
      <w:r w:rsidR="00FE7EC7">
        <w:rPr>
          <w:lang w:eastAsia="en-GB"/>
        </w:rPr>
        <w:t xml:space="preserve">These are sites that are identified as having </w:t>
      </w:r>
      <w:r w:rsidRPr="00F42963">
        <w:rPr>
          <w:lang w:eastAsia="en-GB"/>
        </w:rPr>
        <w:t>significant constraints.</w:t>
      </w:r>
      <w:r w:rsidR="00394489">
        <w:rPr>
          <w:lang w:eastAsia="en-GB"/>
        </w:rPr>
        <w:t xml:space="preserve">  These include landscape, environmental or infrastructure issues.  It includes </w:t>
      </w:r>
      <w:r w:rsidR="004C0323">
        <w:rPr>
          <w:lang w:eastAsia="en-GB"/>
        </w:rPr>
        <w:t xml:space="preserve">some </w:t>
      </w:r>
      <w:r w:rsidR="00394489">
        <w:rPr>
          <w:lang w:eastAsia="en-GB"/>
        </w:rPr>
        <w:t>sites within the AONB</w:t>
      </w:r>
      <w:r w:rsidR="00EB586D">
        <w:rPr>
          <w:lang w:eastAsia="en-GB"/>
        </w:rPr>
        <w:t xml:space="preserve"> or </w:t>
      </w:r>
      <w:r w:rsidR="00A637E0">
        <w:rPr>
          <w:lang w:eastAsia="en-GB"/>
        </w:rPr>
        <w:t xml:space="preserve">South Hams SAC </w:t>
      </w:r>
      <w:r w:rsidR="00896BCF">
        <w:rPr>
          <w:lang w:eastAsia="en-GB"/>
        </w:rPr>
        <w:t>greater horseshoe bat sustenance zone</w:t>
      </w:r>
      <w:r w:rsidR="004C0323">
        <w:rPr>
          <w:lang w:eastAsia="en-GB"/>
        </w:rPr>
        <w:t>.</w:t>
      </w:r>
      <w:r w:rsidR="00825BCD">
        <w:rPr>
          <w:lang w:eastAsia="en-GB"/>
        </w:rPr>
        <w:t xml:space="preserve">  There are very few flat sites in Torbay</w:t>
      </w:r>
      <w:r w:rsidR="0021046B">
        <w:rPr>
          <w:lang w:eastAsia="en-GB"/>
        </w:rPr>
        <w:t xml:space="preserve">, and topography can reduce viability and the achievement of affordable housing.  </w:t>
      </w:r>
      <w:r w:rsidR="004413E9">
        <w:rPr>
          <w:lang w:eastAsia="en-GB"/>
        </w:rPr>
        <w:t>Anecdotally we have been advised that neighbouring authorities discount sites with a significant gradient</w:t>
      </w:r>
      <w:r w:rsidR="00374891">
        <w:rPr>
          <w:lang w:eastAsia="en-GB"/>
        </w:rPr>
        <w:t xml:space="preserve">, but that is not in their formal methodologies.  However, steep gradients are also likely </w:t>
      </w:r>
      <w:r w:rsidR="00470B76">
        <w:rPr>
          <w:lang w:eastAsia="en-GB"/>
        </w:rPr>
        <w:t xml:space="preserve">to </w:t>
      </w:r>
      <w:r w:rsidR="00237C92">
        <w:rPr>
          <w:lang w:eastAsia="en-GB"/>
        </w:rPr>
        <w:t xml:space="preserve">increase the intervisibility and landscape sensitivity of development sites and where this has been assessed to be a significant </w:t>
      </w:r>
      <w:r w:rsidR="0066462A">
        <w:rPr>
          <w:lang w:eastAsia="en-GB"/>
        </w:rPr>
        <w:t>matter,</w:t>
      </w:r>
      <w:r w:rsidR="00237C92">
        <w:rPr>
          <w:lang w:eastAsia="en-GB"/>
        </w:rPr>
        <w:t xml:space="preserve"> we have coded sites amber.  </w:t>
      </w:r>
    </w:p>
    <w:p w14:paraId="5B329A5E" w14:textId="78F88C06" w:rsidR="00F42963" w:rsidRDefault="004C0323" w:rsidP="00F42963">
      <w:pPr>
        <w:rPr>
          <w:lang w:eastAsia="en-GB"/>
        </w:rPr>
      </w:pPr>
      <w:r>
        <w:rPr>
          <w:lang w:eastAsia="en-GB"/>
        </w:rPr>
        <w:t xml:space="preserve">As such it is </w:t>
      </w:r>
      <w:r w:rsidR="00941285">
        <w:rPr>
          <w:lang w:eastAsia="en-GB"/>
        </w:rPr>
        <w:t>recognised</w:t>
      </w:r>
      <w:r>
        <w:rPr>
          <w:lang w:eastAsia="en-GB"/>
        </w:rPr>
        <w:t xml:space="preserve"> that these sites will present challenges</w:t>
      </w:r>
      <w:r w:rsidR="00FF55D1">
        <w:rPr>
          <w:lang w:eastAsia="en-GB"/>
        </w:rPr>
        <w:t>. However</w:t>
      </w:r>
      <w:r w:rsidR="009A3F6B">
        <w:rPr>
          <w:lang w:eastAsia="en-GB"/>
        </w:rPr>
        <w:t>,</w:t>
      </w:r>
      <w:r w:rsidR="00FF55D1">
        <w:rPr>
          <w:lang w:eastAsia="en-GB"/>
        </w:rPr>
        <w:t xml:space="preserve"> the extent of these challenges was not felt by officers to warrant an outright rejection at HELAA stage.  </w:t>
      </w:r>
    </w:p>
    <w:p w14:paraId="1E1D2704" w14:textId="06702684" w:rsidR="00BF61AF" w:rsidRDefault="00BF61AF" w:rsidP="00F42963">
      <w:pPr>
        <w:rPr>
          <w:lang w:eastAsia="en-GB"/>
        </w:rPr>
      </w:pPr>
      <w:r>
        <w:rPr>
          <w:lang w:eastAsia="en-GB"/>
        </w:rPr>
        <w:t xml:space="preserve">If </w:t>
      </w:r>
      <w:proofErr w:type="gramStart"/>
      <w:r>
        <w:rPr>
          <w:lang w:eastAsia="en-GB"/>
        </w:rPr>
        <w:t>all of</w:t>
      </w:r>
      <w:proofErr w:type="gramEnd"/>
      <w:r>
        <w:rPr>
          <w:lang w:eastAsia="en-GB"/>
        </w:rPr>
        <w:t xml:space="preserve"> these sites were to be built out, it is assessed that they could provide </w:t>
      </w:r>
      <w:r w:rsidR="003867F4">
        <w:rPr>
          <w:lang w:eastAsia="en-GB"/>
        </w:rPr>
        <w:t>around 3,8</w:t>
      </w:r>
      <w:r w:rsidR="00254B49">
        <w:rPr>
          <w:lang w:eastAsia="en-GB"/>
        </w:rPr>
        <w:t>8</w:t>
      </w:r>
      <w:r w:rsidR="003867F4">
        <w:rPr>
          <w:lang w:eastAsia="en-GB"/>
        </w:rPr>
        <w:t xml:space="preserve">0 dwellings. However, </w:t>
      </w:r>
      <w:r w:rsidR="00254B49">
        <w:rPr>
          <w:lang w:eastAsia="en-GB"/>
        </w:rPr>
        <w:t xml:space="preserve">not </w:t>
      </w:r>
      <w:proofErr w:type="gramStart"/>
      <w:r w:rsidR="00254B49">
        <w:rPr>
          <w:lang w:eastAsia="en-GB"/>
        </w:rPr>
        <w:t>all of</w:t>
      </w:r>
      <w:proofErr w:type="gramEnd"/>
      <w:r w:rsidR="00254B49">
        <w:rPr>
          <w:lang w:eastAsia="en-GB"/>
        </w:rPr>
        <w:t xml:space="preserve"> the</w:t>
      </w:r>
      <w:r w:rsidR="00215B3F">
        <w:rPr>
          <w:lang w:eastAsia="en-GB"/>
        </w:rPr>
        <w:t xml:space="preserve"> sites have been</w:t>
      </w:r>
      <w:r w:rsidR="003867F4">
        <w:rPr>
          <w:lang w:eastAsia="en-GB"/>
        </w:rPr>
        <w:t xml:space="preserve"> promoted for development</w:t>
      </w:r>
      <w:r w:rsidR="00CF281B">
        <w:rPr>
          <w:lang w:eastAsia="en-GB"/>
        </w:rPr>
        <w:t>.</w:t>
      </w:r>
      <w:r w:rsidR="00215B3F">
        <w:rPr>
          <w:lang w:eastAsia="en-GB"/>
        </w:rPr>
        <w:t xml:space="preserve"> </w:t>
      </w:r>
      <w:r w:rsidR="00CF281B">
        <w:rPr>
          <w:lang w:eastAsia="en-GB"/>
        </w:rPr>
        <w:t xml:space="preserve"> In addition, there are likely to be in-combination effects</w:t>
      </w:r>
      <w:r w:rsidR="005A2C5A">
        <w:rPr>
          <w:lang w:eastAsia="en-GB"/>
        </w:rPr>
        <w:t xml:space="preserve"> on landscape, ecology or infrastructure</w:t>
      </w:r>
      <w:r w:rsidR="00CF281B">
        <w:rPr>
          <w:lang w:eastAsia="en-GB"/>
        </w:rPr>
        <w:t xml:space="preserve"> that would prevent </w:t>
      </w:r>
      <w:proofErr w:type="gramStart"/>
      <w:r w:rsidR="005A2C5A">
        <w:rPr>
          <w:lang w:eastAsia="en-GB"/>
        </w:rPr>
        <w:t>all</w:t>
      </w:r>
      <w:r w:rsidR="00CF281B">
        <w:rPr>
          <w:lang w:eastAsia="en-GB"/>
        </w:rPr>
        <w:t xml:space="preserve"> </w:t>
      </w:r>
      <w:r w:rsidR="005A2C5A">
        <w:rPr>
          <w:lang w:eastAsia="en-GB"/>
        </w:rPr>
        <w:t>of</w:t>
      </w:r>
      <w:proofErr w:type="gramEnd"/>
      <w:r w:rsidR="005A2C5A">
        <w:rPr>
          <w:lang w:eastAsia="en-GB"/>
        </w:rPr>
        <w:t xml:space="preserve"> </w:t>
      </w:r>
      <w:r w:rsidR="00CF281B">
        <w:rPr>
          <w:lang w:eastAsia="en-GB"/>
        </w:rPr>
        <w:t xml:space="preserve">the sites being </w:t>
      </w:r>
      <w:r w:rsidR="005A2C5A">
        <w:rPr>
          <w:lang w:eastAsia="en-GB"/>
        </w:rPr>
        <w:t xml:space="preserve">developable.  </w:t>
      </w:r>
      <w:proofErr w:type="gramStart"/>
      <w:r w:rsidR="005A2C5A">
        <w:rPr>
          <w:lang w:eastAsia="en-GB"/>
        </w:rPr>
        <w:t>The</w:t>
      </w:r>
      <w:r w:rsidR="002E59E0">
        <w:rPr>
          <w:lang w:eastAsia="en-GB"/>
        </w:rPr>
        <w:t xml:space="preserve"> vast majority</w:t>
      </w:r>
      <w:r w:rsidR="0046203F">
        <w:rPr>
          <w:lang w:eastAsia="en-GB"/>
        </w:rPr>
        <w:t xml:space="preserve"> of</w:t>
      </w:r>
      <w:proofErr w:type="gramEnd"/>
      <w:r w:rsidR="0046203F">
        <w:rPr>
          <w:lang w:eastAsia="en-GB"/>
        </w:rPr>
        <w:t xml:space="preserve"> the sites would be likely to take longer than five years </w:t>
      </w:r>
      <w:r w:rsidR="00AD2791">
        <w:rPr>
          <w:lang w:eastAsia="en-GB"/>
        </w:rPr>
        <w:t xml:space="preserve">before they delivered significant number of homes. </w:t>
      </w:r>
      <w:r w:rsidR="002E59E0">
        <w:rPr>
          <w:lang w:eastAsia="en-GB"/>
        </w:rPr>
        <w:t xml:space="preserve"> It is assessed that out of a total of 3885 </w:t>
      </w:r>
      <w:r w:rsidR="008268AD">
        <w:rPr>
          <w:lang w:eastAsia="en-GB"/>
        </w:rPr>
        <w:t>potential dwellings, about 1</w:t>
      </w:r>
      <w:r w:rsidR="0068400B">
        <w:rPr>
          <w:lang w:eastAsia="en-GB"/>
        </w:rPr>
        <w:t>,</w:t>
      </w:r>
      <w:r w:rsidR="008268AD">
        <w:rPr>
          <w:lang w:eastAsia="en-GB"/>
        </w:rPr>
        <w:t xml:space="preserve">200 are developable in the next 10 years. </w:t>
      </w:r>
      <w:r w:rsidR="00215B3F">
        <w:rPr>
          <w:lang w:eastAsia="en-GB"/>
        </w:rPr>
        <w:t xml:space="preserve">  </w:t>
      </w:r>
    </w:p>
    <w:p w14:paraId="74D5B45B" w14:textId="77777777" w:rsidR="00B162EA" w:rsidRDefault="00B162EA" w:rsidP="00106CFE">
      <w:pPr>
        <w:rPr>
          <w:rStyle w:val="bold"/>
        </w:rPr>
      </w:pPr>
    </w:p>
    <w:p w14:paraId="1A39DD33" w14:textId="3439668F" w:rsidR="00F42963" w:rsidRDefault="00F42963" w:rsidP="00106CFE">
      <w:pPr>
        <w:rPr>
          <w:lang w:eastAsia="en-GB"/>
        </w:rPr>
      </w:pPr>
      <w:r w:rsidRPr="00F42963">
        <w:rPr>
          <w:rStyle w:val="bold"/>
          <w:lang w:eastAsia="en-GB"/>
        </w:rPr>
        <w:t>Red</w:t>
      </w:r>
      <w:r w:rsidR="00E56EC0">
        <w:rPr>
          <w:rStyle w:val="bold"/>
        </w:rPr>
        <w:t xml:space="preserve"> Sites</w:t>
      </w:r>
      <w:r w:rsidRPr="00F42963">
        <w:rPr>
          <w:rStyle w:val="bold"/>
          <w:lang w:eastAsia="en-GB"/>
        </w:rPr>
        <w:t>:</w:t>
      </w:r>
      <w:r w:rsidRPr="00F42963">
        <w:rPr>
          <w:lang w:eastAsia="en-GB"/>
        </w:rPr>
        <w:t xml:space="preserve"> </w:t>
      </w:r>
      <w:r w:rsidR="00A82D11">
        <w:rPr>
          <w:lang w:eastAsia="en-GB"/>
        </w:rPr>
        <w:t xml:space="preserve"> </w:t>
      </w:r>
      <w:r w:rsidRPr="00F42963">
        <w:rPr>
          <w:lang w:eastAsia="en-GB"/>
        </w:rPr>
        <w:t>Rejected sites</w:t>
      </w:r>
      <w:r w:rsidR="008C774A">
        <w:rPr>
          <w:lang w:eastAsia="en-GB"/>
        </w:rPr>
        <w:t xml:space="preserve"> and broad loca</w:t>
      </w:r>
      <w:r w:rsidR="00394489">
        <w:rPr>
          <w:lang w:eastAsia="en-GB"/>
        </w:rPr>
        <w:t>t</w:t>
      </w:r>
      <w:r w:rsidR="008C774A">
        <w:rPr>
          <w:lang w:eastAsia="en-GB"/>
        </w:rPr>
        <w:t>ions</w:t>
      </w:r>
      <w:r w:rsidR="00F672B7">
        <w:rPr>
          <w:lang w:eastAsia="en-GB"/>
        </w:rPr>
        <w:t>.  These are sites and broad locations that the HELAA has assessed as being unsuitable for development</w:t>
      </w:r>
      <w:r w:rsidR="00037ABE">
        <w:rPr>
          <w:lang w:eastAsia="en-GB"/>
        </w:rPr>
        <w:t xml:space="preserve">, </w:t>
      </w:r>
      <w:r w:rsidR="00474170">
        <w:rPr>
          <w:lang w:eastAsia="en-GB"/>
        </w:rPr>
        <w:t xml:space="preserve">for example because it would cause severe landscape or ecological harm.  </w:t>
      </w:r>
      <w:r w:rsidR="0061732C">
        <w:rPr>
          <w:lang w:eastAsia="en-GB"/>
        </w:rPr>
        <w:t xml:space="preserve">This involves making a planning </w:t>
      </w:r>
      <w:r w:rsidR="00457A41">
        <w:rPr>
          <w:lang w:eastAsia="en-GB"/>
        </w:rPr>
        <w:t>judgement,</w:t>
      </w:r>
      <w:r w:rsidR="001F3858">
        <w:rPr>
          <w:lang w:eastAsia="en-GB"/>
        </w:rPr>
        <w:t xml:space="preserve"> but a high bar has been set before rejecting sites. </w:t>
      </w:r>
      <w:r w:rsidR="00802914">
        <w:rPr>
          <w:lang w:eastAsia="en-GB"/>
        </w:rPr>
        <w:t>In assessing the HELAA sites, it is noted that som</w:t>
      </w:r>
      <w:r w:rsidR="009457B6">
        <w:rPr>
          <w:lang w:eastAsia="en-GB"/>
        </w:rPr>
        <w:t xml:space="preserve">e AONB sites have not been </w:t>
      </w:r>
      <w:r w:rsidR="00655067">
        <w:rPr>
          <w:lang w:eastAsia="en-GB"/>
        </w:rPr>
        <w:t xml:space="preserve">rejected </w:t>
      </w:r>
      <w:r w:rsidR="009457B6">
        <w:rPr>
          <w:lang w:eastAsia="en-GB"/>
        </w:rPr>
        <w:t>outright</w:t>
      </w:r>
      <w:r w:rsidR="00655067">
        <w:rPr>
          <w:lang w:eastAsia="en-GB"/>
        </w:rPr>
        <w:t xml:space="preserve">, whilst some sites outside of the AONB have </w:t>
      </w:r>
      <w:r w:rsidR="005E4152">
        <w:rPr>
          <w:lang w:eastAsia="en-GB"/>
        </w:rPr>
        <w:t xml:space="preserve">been rejected, due to their individual merits. </w:t>
      </w:r>
      <w:r w:rsidR="008C774A">
        <w:rPr>
          <w:lang w:eastAsia="en-GB"/>
        </w:rPr>
        <w:t xml:space="preserve"> </w:t>
      </w:r>
      <w:r w:rsidRPr="00F42963">
        <w:rPr>
          <w:lang w:eastAsia="en-GB"/>
        </w:rPr>
        <w:t xml:space="preserve"> </w:t>
      </w:r>
    </w:p>
    <w:p w14:paraId="475A0FBE" w14:textId="62BD79D8" w:rsidR="005E4152" w:rsidRPr="00F42963" w:rsidRDefault="005E4152" w:rsidP="00106CFE">
      <w:pPr>
        <w:rPr>
          <w:lang w:eastAsia="en-GB"/>
        </w:rPr>
      </w:pPr>
      <w:r>
        <w:rPr>
          <w:lang w:eastAsia="en-GB"/>
        </w:rPr>
        <w:t xml:space="preserve">No potential yield has been given to the </w:t>
      </w:r>
      <w:r w:rsidR="006E4D4A">
        <w:rPr>
          <w:lang w:eastAsia="en-GB"/>
        </w:rPr>
        <w:t xml:space="preserve">rejected sites, since officers have assessed that they are not suitable for development.  </w:t>
      </w:r>
    </w:p>
    <w:p w14:paraId="44E75A92" w14:textId="4575041D" w:rsidR="00106CFE" w:rsidRDefault="00106CFE" w:rsidP="00F42963">
      <w:pPr>
        <w:rPr>
          <w:lang w:eastAsia="en-GB"/>
        </w:rPr>
      </w:pPr>
    </w:p>
    <w:p w14:paraId="645E99CC" w14:textId="21DBB705" w:rsidR="006E4D4A" w:rsidRDefault="006E4D4A" w:rsidP="00FC6292">
      <w:pPr>
        <w:pStyle w:val="Heading2"/>
        <w:rPr>
          <w:lang w:eastAsia="en-GB"/>
        </w:rPr>
      </w:pPr>
      <w:r>
        <w:rPr>
          <w:lang w:eastAsia="en-GB"/>
        </w:rPr>
        <w:t xml:space="preserve">Summary of Main </w:t>
      </w:r>
      <w:r w:rsidR="008B1E9F">
        <w:rPr>
          <w:lang w:eastAsia="en-GB"/>
        </w:rPr>
        <w:t>S</w:t>
      </w:r>
      <w:r>
        <w:rPr>
          <w:lang w:eastAsia="en-GB"/>
        </w:rPr>
        <w:t xml:space="preserve">ites </w:t>
      </w:r>
    </w:p>
    <w:p w14:paraId="1A6BC6AB" w14:textId="54243B36" w:rsidR="006E4D4A" w:rsidRDefault="00D80381" w:rsidP="006E4D4A">
      <w:pPr>
        <w:rPr>
          <w:lang w:eastAsia="en-GB"/>
        </w:rPr>
      </w:pPr>
      <w:r>
        <w:rPr>
          <w:lang w:eastAsia="en-GB"/>
        </w:rPr>
        <w:t xml:space="preserve">The </w:t>
      </w:r>
      <w:r w:rsidR="006E346C">
        <w:rPr>
          <w:lang w:eastAsia="en-GB"/>
        </w:rPr>
        <w:t xml:space="preserve">headline findings of the HELAA site assessments are set out in Table 1.  It will be noted that </w:t>
      </w:r>
      <w:r w:rsidR="00A718F2">
        <w:rPr>
          <w:lang w:eastAsia="en-GB"/>
        </w:rPr>
        <w:t xml:space="preserve">figures may change, and indeed have changed </w:t>
      </w:r>
      <w:r w:rsidR="00980B1E">
        <w:rPr>
          <w:lang w:eastAsia="en-GB"/>
        </w:rPr>
        <w:t>throughout</w:t>
      </w:r>
      <w:r w:rsidR="00A718F2">
        <w:rPr>
          <w:lang w:eastAsia="en-GB"/>
        </w:rPr>
        <w:t xml:space="preserve"> the process </w:t>
      </w:r>
      <w:r w:rsidR="00980B1E">
        <w:rPr>
          <w:lang w:eastAsia="en-GB"/>
        </w:rPr>
        <w:t xml:space="preserve">as new sites have been put forward or judgements changed.  The HELAA is therefore a snapshot in time. </w:t>
      </w:r>
    </w:p>
    <w:p w14:paraId="128F761F" w14:textId="0508FF3B" w:rsidR="00F82D69" w:rsidRDefault="00863167" w:rsidP="006E4D4A">
      <w:pPr>
        <w:rPr>
          <w:lang w:eastAsia="en-GB"/>
        </w:rPr>
      </w:pPr>
      <w:r>
        <w:rPr>
          <w:lang w:eastAsia="en-GB"/>
        </w:rPr>
        <w:t>The HELAA strongly suggests that the</w:t>
      </w:r>
      <w:r w:rsidR="007F0601">
        <w:rPr>
          <w:lang w:eastAsia="en-GB"/>
        </w:rPr>
        <w:t xml:space="preserve">re is insufficient achievable land to meet the Standard </w:t>
      </w:r>
      <w:r w:rsidR="00953518">
        <w:rPr>
          <w:lang w:eastAsia="en-GB"/>
        </w:rPr>
        <w:t>M</w:t>
      </w:r>
      <w:r w:rsidR="007F0601">
        <w:rPr>
          <w:lang w:eastAsia="en-GB"/>
        </w:rPr>
        <w:t xml:space="preserve">ethod level of housing </w:t>
      </w:r>
      <w:r w:rsidR="008C54DF">
        <w:rPr>
          <w:lang w:eastAsia="en-GB"/>
        </w:rPr>
        <w:t>of 560-600 dwellings a year</w:t>
      </w:r>
      <w:r w:rsidR="00313A9D">
        <w:rPr>
          <w:lang w:eastAsia="en-GB"/>
        </w:rPr>
        <w:t xml:space="preserve">, even if </w:t>
      </w:r>
      <w:proofErr w:type="gramStart"/>
      <w:r w:rsidR="00313A9D">
        <w:rPr>
          <w:lang w:eastAsia="en-GB"/>
        </w:rPr>
        <w:t>all of</w:t>
      </w:r>
      <w:proofErr w:type="gramEnd"/>
      <w:r w:rsidR="00313A9D">
        <w:rPr>
          <w:lang w:eastAsia="en-GB"/>
        </w:rPr>
        <w:t xml:space="preserve"> the sites identified as having significant constraints </w:t>
      </w:r>
      <w:r w:rsidR="00DE3A59">
        <w:rPr>
          <w:lang w:eastAsia="en-GB"/>
        </w:rPr>
        <w:t>could be developed.</w:t>
      </w:r>
    </w:p>
    <w:p w14:paraId="76535E97" w14:textId="1B8603DF" w:rsidR="00DE3A59" w:rsidRPr="006E4D4A" w:rsidRDefault="00DE3A59" w:rsidP="006E4D4A">
      <w:pPr>
        <w:rPr>
          <w:lang w:eastAsia="en-GB"/>
        </w:rPr>
      </w:pPr>
      <w:r>
        <w:rPr>
          <w:lang w:eastAsia="en-GB"/>
        </w:rPr>
        <w:t xml:space="preserve">It is therefore necessary to consider whether there are other </w:t>
      </w:r>
      <w:r w:rsidR="00037193">
        <w:rPr>
          <w:lang w:eastAsia="en-GB"/>
        </w:rPr>
        <w:t>options</w:t>
      </w:r>
      <w:r w:rsidR="00891325">
        <w:rPr>
          <w:lang w:eastAsia="en-GB"/>
        </w:rPr>
        <w:t xml:space="preserve">, or sources of </w:t>
      </w:r>
      <w:r w:rsidR="00F92532">
        <w:rPr>
          <w:lang w:eastAsia="en-GB"/>
        </w:rPr>
        <w:t>housing to</w:t>
      </w:r>
      <w:r w:rsidR="00037193">
        <w:rPr>
          <w:lang w:eastAsia="en-GB"/>
        </w:rPr>
        <w:t xml:space="preserve"> </w:t>
      </w:r>
      <w:r w:rsidR="00891325">
        <w:rPr>
          <w:lang w:eastAsia="en-GB"/>
        </w:rPr>
        <w:t>boost numbers.</w:t>
      </w:r>
      <w:r w:rsidR="00F92532">
        <w:rPr>
          <w:lang w:eastAsia="en-GB"/>
        </w:rPr>
        <w:t xml:space="preserve">  </w:t>
      </w:r>
      <w:r w:rsidR="00E10384">
        <w:rPr>
          <w:lang w:eastAsia="en-GB"/>
        </w:rPr>
        <w:t xml:space="preserve">These options are necessarily provisional, and </w:t>
      </w:r>
      <w:r w:rsidR="003137FE">
        <w:rPr>
          <w:lang w:eastAsia="en-GB"/>
        </w:rPr>
        <w:t>may</w:t>
      </w:r>
      <w:r w:rsidR="00E10384">
        <w:rPr>
          <w:lang w:eastAsia="en-GB"/>
        </w:rPr>
        <w:t xml:space="preserve"> need further policy</w:t>
      </w:r>
      <w:r w:rsidR="003137FE">
        <w:rPr>
          <w:lang w:eastAsia="en-GB"/>
        </w:rPr>
        <w:t xml:space="preserve"> input. </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985"/>
        <w:gridCol w:w="1198"/>
        <w:gridCol w:w="1344"/>
        <w:gridCol w:w="1395"/>
        <w:gridCol w:w="1595"/>
        <w:gridCol w:w="1428"/>
      </w:tblGrid>
      <w:tr w:rsidR="00832109" w:rsidRPr="003563C6" w14:paraId="40BBCB28" w14:textId="77777777" w:rsidTr="38F91EEA">
        <w:trPr>
          <w:trHeight w:val="509"/>
        </w:trPr>
        <w:tc>
          <w:tcPr>
            <w:tcW w:w="2985" w:type="dxa"/>
            <w:shd w:val="clear" w:color="auto" w:fill="auto"/>
            <w:tcMar>
              <w:top w:w="103" w:type="dxa"/>
              <w:left w:w="207" w:type="dxa"/>
              <w:bottom w:w="103" w:type="dxa"/>
              <w:right w:w="207" w:type="dxa"/>
            </w:tcMar>
            <w:hideMark/>
          </w:tcPr>
          <w:p w14:paraId="5D0AF1C3" w14:textId="77777777" w:rsidR="006E4D4A" w:rsidRPr="003563C6" w:rsidRDefault="006E4D4A" w:rsidP="00904AEE">
            <w:pPr>
              <w:rPr>
                <w:lang w:eastAsia="en-GB"/>
              </w:rPr>
            </w:pPr>
            <w:r w:rsidRPr="003563C6">
              <w:rPr>
                <w:lang w:eastAsia="en-GB"/>
              </w:rPr>
              <w:t> </w:t>
            </w:r>
          </w:p>
        </w:tc>
        <w:tc>
          <w:tcPr>
            <w:tcW w:w="5532" w:type="dxa"/>
            <w:gridSpan w:val="4"/>
            <w:shd w:val="clear" w:color="auto" w:fill="auto"/>
            <w:tcMar>
              <w:top w:w="103" w:type="dxa"/>
              <w:left w:w="207" w:type="dxa"/>
              <w:bottom w:w="103" w:type="dxa"/>
              <w:right w:w="207" w:type="dxa"/>
            </w:tcMar>
            <w:hideMark/>
          </w:tcPr>
          <w:p w14:paraId="07E9B26A" w14:textId="77777777" w:rsidR="006E4D4A" w:rsidRPr="00F82D69" w:rsidRDefault="006E4D4A" w:rsidP="00904AEE">
            <w:pPr>
              <w:rPr>
                <w:b/>
                <w:bCs/>
                <w:lang w:eastAsia="en-GB"/>
              </w:rPr>
            </w:pPr>
            <w:r w:rsidRPr="00F82D69">
              <w:rPr>
                <w:b/>
                <w:bCs/>
                <w:lang w:eastAsia="en-GB"/>
              </w:rPr>
              <w:t>Estimated Delivery  </w:t>
            </w:r>
          </w:p>
        </w:tc>
        <w:tc>
          <w:tcPr>
            <w:tcW w:w="1428" w:type="dxa"/>
            <w:shd w:val="clear" w:color="auto" w:fill="auto"/>
            <w:tcMar>
              <w:top w:w="103" w:type="dxa"/>
              <w:left w:w="207" w:type="dxa"/>
              <w:bottom w:w="103" w:type="dxa"/>
              <w:right w:w="207" w:type="dxa"/>
            </w:tcMar>
            <w:hideMark/>
          </w:tcPr>
          <w:p w14:paraId="2B6E478E" w14:textId="77777777" w:rsidR="006E4D4A" w:rsidRPr="003563C6" w:rsidRDefault="006E4D4A" w:rsidP="00904AEE">
            <w:pPr>
              <w:rPr>
                <w:lang w:eastAsia="en-GB"/>
              </w:rPr>
            </w:pPr>
            <w:r w:rsidRPr="003563C6">
              <w:rPr>
                <w:lang w:eastAsia="en-GB"/>
              </w:rPr>
              <w:t>  </w:t>
            </w:r>
          </w:p>
        </w:tc>
      </w:tr>
      <w:tr w:rsidR="006E4D4A" w:rsidRPr="003563C6" w14:paraId="2A4122DC" w14:textId="77777777" w:rsidTr="38F91EEA">
        <w:trPr>
          <w:trHeight w:val="754"/>
        </w:trPr>
        <w:tc>
          <w:tcPr>
            <w:tcW w:w="2985" w:type="dxa"/>
            <w:shd w:val="clear" w:color="auto" w:fill="auto"/>
            <w:tcMar>
              <w:top w:w="103" w:type="dxa"/>
              <w:left w:w="207" w:type="dxa"/>
              <w:bottom w:w="103" w:type="dxa"/>
              <w:right w:w="207" w:type="dxa"/>
            </w:tcMar>
            <w:hideMark/>
          </w:tcPr>
          <w:p w14:paraId="7F6D9CB0" w14:textId="77777777" w:rsidR="006E4D4A" w:rsidRPr="00F82D69" w:rsidRDefault="006E4D4A" w:rsidP="00904AEE">
            <w:pPr>
              <w:rPr>
                <w:b/>
                <w:bCs/>
                <w:lang w:eastAsia="en-GB"/>
              </w:rPr>
            </w:pPr>
            <w:r w:rsidRPr="00F82D69">
              <w:rPr>
                <w:b/>
                <w:bCs/>
                <w:lang w:eastAsia="en-GB"/>
              </w:rPr>
              <w:t>  </w:t>
            </w:r>
          </w:p>
        </w:tc>
        <w:tc>
          <w:tcPr>
            <w:tcW w:w="1198" w:type="dxa"/>
            <w:shd w:val="clear" w:color="auto" w:fill="auto"/>
            <w:tcMar>
              <w:top w:w="103" w:type="dxa"/>
              <w:left w:w="207" w:type="dxa"/>
              <w:bottom w:w="103" w:type="dxa"/>
              <w:right w:w="207" w:type="dxa"/>
            </w:tcMar>
            <w:hideMark/>
          </w:tcPr>
          <w:p w14:paraId="2B210001" w14:textId="77777777" w:rsidR="006E4D4A" w:rsidRPr="00F82D69" w:rsidRDefault="006E4D4A" w:rsidP="00904AEE">
            <w:pPr>
              <w:rPr>
                <w:b/>
                <w:bCs/>
                <w:lang w:eastAsia="en-GB"/>
              </w:rPr>
            </w:pPr>
            <w:r w:rsidRPr="00F82D69">
              <w:rPr>
                <w:b/>
                <w:bCs/>
                <w:lang w:eastAsia="en-GB"/>
              </w:rPr>
              <w:t>Years 1-5 </w:t>
            </w:r>
          </w:p>
        </w:tc>
        <w:tc>
          <w:tcPr>
            <w:tcW w:w="1344" w:type="dxa"/>
            <w:shd w:val="clear" w:color="auto" w:fill="auto"/>
            <w:tcMar>
              <w:top w:w="103" w:type="dxa"/>
              <w:left w:w="207" w:type="dxa"/>
              <w:bottom w:w="103" w:type="dxa"/>
              <w:right w:w="207" w:type="dxa"/>
            </w:tcMar>
            <w:hideMark/>
          </w:tcPr>
          <w:p w14:paraId="2C09E7C7" w14:textId="77777777" w:rsidR="006E4D4A" w:rsidRPr="00F82D69" w:rsidRDefault="006E4D4A" w:rsidP="00904AEE">
            <w:pPr>
              <w:rPr>
                <w:b/>
                <w:bCs/>
                <w:lang w:eastAsia="en-GB"/>
              </w:rPr>
            </w:pPr>
            <w:r w:rsidRPr="00F82D69">
              <w:rPr>
                <w:b/>
                <w:bCs/>
                <w:lang w:eastAsia="en-GB"/>
              </w:rPr>
              <w:t>Years 6-10 </w:t>
            </w:r>
          </w:p>
        </w:tc>
        <w:tc>
          <w:tcPr>
            <w:tcW w:w="1395" w:type="dxa"/>
            <w:shd w:val="clear" w:color="auto" w:fill="auto"/>
            <w:tcMar>
              <w:top w:w="103" w:type="dxa"/>
              <w:left w:w="207" w:type="dxa"/>
              <w:bottom w:w="103" w:type="dxa"/>
              <w:right w:w="207" w:type="dxa"/>
            </w:tcMar>
            <w:hideMark/>
          </w:tcPr>
          <w:p w14:paraId="130D86BA" w14:textId="77777777" w:rsidR="006E4D4A" w:rsidRPr="00F82D69" w:rsidRDefault="006E4D4A" w:rsidP="00904AEE">
            <w:pPr>
              <w:rPr>
                <w:b/>
                <w:bCs/>
                <w:lang w:eastAsia="en-GB"/>
              </w:rPr>
            </w:pPr>
            <w:r w:rsidRPr="00F82D69">
              <w:rPr>
                <w:b/>
                <w:bCs/>
                <w:lang w:eastAsia="en-GB"/>
              </w:rPr>
              <w:t>Years 11-15 </w:t>
            </w:r>
          </w:p>
        </w:tc>
        <w:tc>
          <w:tcPr>
            <w:tcW w:w="1595" w:type="dxa"/>
            <w:shd w:val="clear" w:color="auto" w:fill="auto"/>
            <w:tcMar>
              <w:top w:w="103" w:type="dxa"/>
              <w:left w:w="207" w:type="dxa"/>
              <w:bottom w:w="103" w:type="dxa"/>
              <w:right w:w="207" w:type="dxa"/>
            </w:tcMar>
            <w:hideMark/>
          </w:tcPr>
          <w:p w14:paraId="08F64159" w14:textId="77777777" w:rsidR="006E4D4A" w:rsidRPr="00F82D69" w:rsidRDefault="006E4D4A" w:rsidP="00904AEE">
            <w:pPr>
              <w:rPr>
                <w:b/>
                <w:bCs/>
                <w:lang w:eastAsia="en-GB"/>
              </w:rPr>
            </w:pPr>
            <w:r w:rsidRPr="00F82D69">
              <w:rPr>
                <w:b/>
                <w:bCs/>
                <w:lang w:eastAsia="en-GB"/>
              </w:rPr>
              <w:t>Years 16+ </w:t>
            </w:r>
          </w:p>
        </w:tc>
        <w:tc>
          <w:tcPr>
            <w:tcW w:w="1428" w:type="dxa"/>
            <w:shd w:val="clear" w:color="auto" w:fill="auto"/>
            <w:tcMar>
              <w:top w:w="103" w:type="dxa"/>
              <w:left w:w="207" w:type="dxa"/>
              <w:bottom w:w="103" w:type="dxa"/>
              <w:right w:w="207" w:type="dxa"/>
            </w:tcMar>
            <w:hideMark/>
          </w:tcPr>
          <w:p w14:paraId="6A35BA83" w14:textId="77777777" w:rsidR="006E4D4A" w:rsidRPr="00F82D69" w:rsidRDefault="006E4D4A" w:rsidP="00904AEE">
            <w:pPr>
              <w:rPr>
                <w:b/>
                <w:bCs/>
                <w:lang w:eastAsia="en-GB"/>
              </w:rPr>
            </w:pPr>
            <w:r w:rsidRPr="00F82D69">
              <w:rPr>
                <w:b/>
                <w:bCs/>
                <w:lang w:eastAsia="en-GB"/>
              </w:rPr>
              <w:t>Total </w:t>
            </w:r>
          </w:p>
        </w:tc>
      </w:tr>
      <w:tr w:rsidR="006E4D4A" w:rsidRPr="003563C6" w14:paraId="14EE6971" w14:textId="77777777" w:rsidTr="38F91EEA">
        <w:trPr>
          <w:trHeight w:val="1393"/>
        </w:trPr>
        <w:tc>
          <w:tcPr>
            <w:tcW w:w="2985" w:type="dxa"/>
            <w:shd w:val="clear" w:color="auto" w:fill="auto"/>
            <w:tcMar>
              <w:top w:w="103" w:type="dxa"/>
              <w:left w:w="207" w:type="dxa"/>
              <w:bottom w:w="103" w:type="dxa"/>
              <w:right w:w="207" w:type="dxa"/>
            </w:tcMar>
            <w:hideMark/>
          </w:tcPr>
          <w:p w14:paraId="1FE321A6" w14:textId="77777777" w:rsidR="006E4D4A" w:rsidRPr="00F82D69" w:rsidRDefault="006E4D4A" w:rsidP="00904AEE">
            <w:pPr>
              <w:rPr>
                <w:b/>
                <w:bCs/>
                <w:lang w:eastAsia="en-GB"/>
              </w:rPr>
            </w:pPr>
            <w:r w:rsidRPr="00F82D69">
              <w:rPr>
                <w:b/>
                <w:bCs/>
                <w:lang w:eastAsia="en-GB"/>
              </w:rPr>
              <w:t>Green: Principle of development established. </w:t>
            </w:r>
          </w:p>
        </w:tc>
        <w:tc>
          <w:tcPr>
            <w:tcW w:w="1198" w:type="dxa"/>
            <w:shd w:val="clear" w:color="auto" w:fill="auto"/>
            <w:tcMar>
              <w:top w:w="103" w:type="dxa"/>
              <w:left w:w="207" w:type="dxa"/>
              <w:bottom w:w="103" w:type="dxa"/>
              <w:right w:w="207" w:type="dxa"/>
            </w:tcMar>
            <w:hideMark/>
          </w:tcPr>
          <w:p w14:paraId="678E9AF8" w14:textId="77777777" w:rsidR="006E4D4A" w:rsidRPr="003563C6" w:rsidRDefault="006E4D4A" w:rsidP="00904AEE">
            <w:pPr>
              <w:rPr>
                <w:lang w:eastAsia="en-GB"/>
              </w:rPr>
            </w:pPr>
            <w:r w:rsidRPr="003563C6">
              <w:rPr>
                <w:lang w:eastAsia="en-GB"/>
              </w:rPr>
              <w:t>1220</w:t>
            </w:r>
          </w:p>
        </w:tc>
        <w:tc>
          <w:tcPr>
            <w:tcW w:w="1344" w:type="dxa"/>
            <w:shd w:val="clear" w:color="auto" w:fill="auto"/>
            <w:tcMar>
              <w:top w:w="103" w:type="dxa"/>
              <w:left w:w="207" w:type="dxa"/>
              <w:bottom w:w="103" w:type="dxa"/>
              <w:right w:w="207" w:type="dxa"/>
            </w:tcMar>
            <w:hideMark/>
          </w:tcPr>
          <w:p w14:paraId="64DC08BD" w14:textId="77777777" w:rsidR="006E4D4A" w:rsidRPr="003563C6" w:rsidRDefault="006E4D4A" w:rsidP="00904AEE">
            <w:pPr>
              <w:rPr>
                <w:lang w:eastAsia="en-GB"/>
              </w:rPr>
            </w:pPr>
            <w:r w:rsidRPr="003563C6">
              <w:rPr>
                <w:lang w:eastAsia="en-GB"/>
              </w:rPr>
              <w:t>480 </w:t>
            </w:r>
          </w:p>
        </w:tc>
        <w:tc>
          <w:tcPr>
            <w:tcW w:w="1395" w:type="dxa"/>
            <w:shd w:val="clear" w:color="auto" w:fill="auto"/>
            <w:tcMar>
              <w:top w:w="103" w:type="dxa"/>
              <w:left w:w="207" w:type="dxa"/>
              <w:bottom w:w="103" w:type="dxa"/>
              <w:right w:w="207" w:type="dxa"/>
            </w:tcMar>
            <w:hideMark/>
          </w:tcPr>
          <w:p w14:paraId="68482308" w14:textId="77777777" w:rsidR="006E4D4A" w:rsidRPr="003563C6" w:rsidRDefault="006E4D4A" w:rsidP="00904AEE">
            <w:pPr>
              <w:rPr>
                <w:lang w:eastAsia="en-GB"/>
              </w:rPr>
            </w:pPr>
            <w:r w:rsidRPr="003563C6">
              <w:rPr>
                <w:lang w:eastAsia="en-GB"/>
              </w:rPr>
              <w:t>0 </w:t>
            </w:r>
          </w:p>
        </w:tc>
        <w:tc>
          <w:tcPr>
            <w:tcW w:w="1595" w:type="dxa"/>
            <w:shd w:val="clear" w:color="auto" w:fill="auto"/>
            <w:tcMar>
              <w:top w:w="103" w:type="dxa"/>
              <w:left w:w="207" w:type="dxa"/>
              <w:bottom w:w="103" w:type="dxa"/>
              <w:right w:w="207" w:type="dxa"/>
            </w:tcMar>
            <w:hideMark/>
          </w:tcPr>
          <w:p w14:paraId="3274EB15" w14:textId="77777777" w:rsidR="006E4D4A" w:rsidRPr="003563C6" w:rsidRDefault="006E4D4A" w:rsidP="00904AEE">
            <w:pPr>
              <w:rPr>
                <w:lang w:eastAsia="en-GB"/>
              </w:rPr>
            </w:pPr>
            <w:r w:rsidRPr="003563C6">
              <w:rPr>
                <w:lang w:eastAsia="en-GB"/>
              </w:rPr>
              <w:t>0 </w:t>
            </w:r>
          </w:p>
        </w:tc>
        <w:tc>
          <w:tcPr>
            <w:tcW w:w="1428" w:type="dxa"/>
            <w:shd w:val="clear" w:color="auto" w:fill="auto"/>
            <w:tcMar>
              <w:top w:w="103" w:type="dxa"/>
              <w:left w:w="207" w:type="dxa"/>
              <w:bottom w:w="103" w:type="dxa"/>
              <w:right w:w="207" w:type="dxa"/>
            </w:tcMar>
            <w:hideMark/>
          </w:tcPr>
          <w:p w14:paraId="4A6B642A" w14:textId="77777777" w:rsidR="006E4D4A" w:rsidRPr="003563C6" w:rsidRDefault="006E4D4A" w:rsidP="00904AEE">
            <w:pPr>
              <w:rPr>
                <w:lang w:eastAsia="en-GB"/>
              </w:rPr>
            </w:pPr>
            <w:r w:rsidRPr="003563C6">
              <w:rPr>
                <w:lang w:eastAsia="en-GB"/>
              </w:rPr>
              <w:t>1700 </w:t>
            </w:r>
          </w:p>
        </w:tc>
      </w:tr>
      <w:tr w:rsidR="006E4D4A" w:rsidRPr="003563C6" w14:paraId="6E92A687" w14:textId="77777777" w:rsidTr="38F91EEA">
        <w:trPr>
          <w:trHeight w:val="1177"/>
        </w:trPr>
        <w:tc>
          <w:tcPr>
            <w:tcW w:w="2985" w:type="dxa"/>
            <w:shd w:val="clear" w:color="auto" w:fill="auto"/>
            <w:tcMar>
              <w:top w:w="103" w:type="dxa"/>
              <w:left w:w="207" w:type="dxa"/>
              <w:bottom w:w="103" w:type="dxa"/>
              <w:right w:w="207" w:type="dxa"/>
            </w:tcMar>
            <w:hideMark/>
          </w:tcPr>
          <w:p w14:paraId="194FC0C9" w14:textId="77777777" w:rsidR="006E4D4A" w:rsidRPr="00F82D69" w:rsidRDefault="006E4D4A" w:rsidP="00904AEE">
            <w:pPr>
              <w:rPr>
                <w:b/>
                <w:bCs/>
                <w:lang w:eastAsia="en-GB"/>
              </w:rPr>
            </w:pPr>
            <w:r w:rsidRPr="00F82D69">
              <w:rPr>
                <w:b/>
                <w:bCs/>
                <w:lang w:eastAsia="en-GB"/>
              </w:rPr>
              <w:t>Yellow: Minor constraints only </w:t>
            </w:r>
          </w:p>
        </w:tc>
        <w:tc>
          <w:tcPr>
            <w:tcW w:w="1198" w:type="dxa"/>
            <w:shd w:val="clear" w:color="auto" w:fill="auto"/>
            <w:tcMar>
              <w:top w:w="103" w:type="dxa"/>
              <w:left w:w="207" w:type="dxa"/>
              <w:bottom w:w="103" w:type="dxa"/>
              <w:right w:w="207" w:type="dxa"/>
            </w:tcMar>
            <w:hideMark/>
          </w:tcPr>
          <w:p w14:paraId="23A3A35B" w14:textId="77777777" w:rsidR="006E4D4A" w:rsidRPr="003563C6" w:rsidRDefault="006E4D4A" w:rsidP="00904AEE">
            <w:pPr>
              <w:rPr>
                <w:lang w:eastAsia="en-GB"/>
              </w:rPr>
            </w:pPr>
            <w:r w:rsidRPr="003563C6">
              <w:rPr>
                <w:lang w:eastAsia="en-GB"/>
              </w:rPr>
              <w:t>60 </w:t>
            </w:r>
          </w:p>
        </w:tc>
        <w:tc>
          <w:tcPr>
            <w:tcW w:w="1344" w:type="dxa"/>
            <w:shd w:val="clear" w:color="auto" w:fill="auto"/>
            <w:tcMar>
              <w:top w:w="103" w:type="dxa"/>
              <w:left w:w="207" w:type="dxa"/>
              <w:bottom w:w="103" w:type="dxa"/>
              <w:right w:w="207" w:type="dxa"/>
            </w:tcMar>
            <w:hideMark/>
          </w:tcPr>
          <w:p w14:paraId="57BEA6B6" w14:textId="77777777" w:rsidR="006E4D4A" w:rsidRPr="003563C6" w:rsidRDefault="006E4D4A" w:rsidP="00904AEE">
            <w:pPr>
              <w:rPr>
                <w:lang w:eastAsia="en-GB"/>
              </w:rPr>
            </w:pPr>
            <w:r w:rsidRPr="003563C6">
              <w:rPr>
                <w:lang w:eastAsia="en-GB"/>
              </w:rPr>
              <w:t>1140 </w:t>
            </w:r>
          </w:p>
        </w:tc>
        <w:tc>
          <w:tcPr>
            <w:tcW w:w="1395" w:type="dxa"/>
            <w:shd w:val="clear" w:color="auto" w:fill="auto"/>
            <w:tcMar>
              <w:top w:w="103" w:type="dxa"/>
              <w:left w:w="207" w:type="dxa"/>
              <w:bottom w:w="103" w:type="dxa"/>
              <w:right w:w="207" w:type="dxa"/>
            </w:tcMar>
            <w:hideMark/>
          </w:tcPr>
          <w:p w14:paraId="480E66FD" w14:textId="77777777" w:rsidR="006E4D4A" w:rsidRPr="003563C6" w:rsidRDefault="006E4D4A" w:rsidP="00904AEE">
            <w:pPr>
              <w:rPr>
                <w:lang w:eastAsia="en-GB"/>
              </w:rPr>
            </w:pPr>
            <w:r w:rsidRPr="003563C6">
              <w:rPr>
                <w:lang w:eastAsia="en-GB"/>
              </w:rPr>
              <w:t>540 </w:t>
            </w:r>
          </w:p>
        </w:tc>
        <w:tc>
          <w:tcPr>
            <w:tcW w:w="1595" w:type="dxa"/>
            <w:shd w:val="clear" w:color="auto" w:fill="auto"/>
            <w:tcMar>
              <w:top w:w="103" w:type="dxa"/>
              <w:left w:w="207" w:type="dxa"/>
              <w:bottom w:w="103" w:type="dxa"/>
              <w:right w:w="207" w:type="dxa"/>
            </w:tcMar>
            <w:hideMark/>
          </w:tcPr>
          <w:p w14:paraId="6B91CDB3" w14:textId="4A2564F9" w:rsidR="006E4D4A" w:rsidRPr="003563C6" w:rsidRDefault="09E172D5" w:rsidP="00904AEE">
            <w:pPr>
              <w:rPr>
                <w:lang w:eastAsia="en-GB"/>
              </w:rPr>
            </w:pPr>
            <w:r w:rsidRPr="38F91EEA">
              <w:rPr>
                <w:lang w:eastAsia="en-GB"/>
              </w:rPr>
              <w:t>0</w:t>
            </w:r>
          </w:p>
        </w:tc>
        <w:tc>
          <w:tcPr>
            <w:tcW w:w="1428" w:type="dxa"/>
            <w:shd w:val="clear" w:color="auto" w:fill="auto"/>
            <w:tcMar>
              <w:top w:w="103" w:type="dxa"/>
              <w:left w:w="207" w:type="dxa"/>
              <w:bottom w:w="103" w:type="dxa"/>
              <w:right w:w="207" w:type="dxa"/>
            </w:tcMar>
            <w:hideMark/>
          </w:tcPr>
          <w:p w14:paraId="538D4B68" w14:textId="77777777" w:rsidR="006E4D4A" w:rsidRPr="003563C6" w:rsidRDefault="006E4D4A" w:rsidP="00904AEE">
            <w:pPr>
              <w:rPr>
                <w:lang w:eastAsia="en-GB"/>
              </w:rPr>
            </w:pPr>
            <w:r w:rsidRPr="003563C6">
              <w:rPr>
                <w:lang w:eastAsia="en-GB"/>
              </w:rPr>
              <w:t>1740 </w:t>
            </w:r>
          </w:p>
        </w:tc>
      </w:tr>
      <w:tr w:rsidR="006E4D4A" w:rsidRPr="003563C6" w14:paraId="5C8B23A4" w14:textId="77777777" w:rsidTr="38F91EEA">
        <w:trPr>
          <w:trHeight w:val="1042"/>
        </w:trPr>
        <w:tc>
          <w:tcPr>
            <w:tcW w:w="2985" w:type="dxa"/>
            <w:shd w:val="clear" w:color="auto" w:fill="auto"/>
            <w:tcMar>
              <w:top w:w="103" w:type="dxa"/>
              <w:left w:w="207" w:type="dxa"/>
              <w:bottom w:w="103" w:type="dxa"/>
              <w:right w:w="207" w:type="dxa"/>
            </w:tcMar>
            <w:hideMark/>
          </w:tcPr>
          <w:p w14:paraId="0B0B6968" w14:textId="77777777" w:rsidR="006E4D4A" w:rsidRPr="00F82D69" w:rsidRDefault="006E4D4A" w:rsidP="00904AEE">
            <w:pPr>
              <w:rPr>
                <w:b/>
                <w:bCs/>
                <w:lang w:eastAsia="en-GB"/>
              </w:rPr>
            </w:pPr>
            <w:r w:rsidRPr="00F82D69">
              <w:rPr>
                <w:b/>
                <w:bCs/>
                <w:lang w:eastAsia="en-GB"/>
              </w:rPr>
              <w:t>Amber: Significant constraints  </w:t>
            </w:r>
          </w:p>
        </w:tc>
        <w:tc>
          <w:tcPr>
            <w:tcW w:w="1198" w:type="dxa"/>
            <w:shd w:val="clear" w:color="auto" w:fill="auto"/>
            <w:tcMar>
              <w:top w:w="103" w:type="dxa"/>
              <w:left w:w="207" w:type="dxa"/>
              <w:bottom w:w="103" w:type="dxa"/>
              <w:right w:w="207" w:type="dxa"/>
            </w:tcMar>
            <w:hideMark/>
          </w:tcPr>
          <w:p w14:paraId="4FD75EAC" w14:textId="77777777" w:rsidR="006E4D4A" w:rsidRPr="003563C6" w:rsidRDefault="006E4D4A" w:rsidP="00904AEE">
            <w:pPr>
              <w:rPr>
                <w:lang w:eastAsia="en-GB"/>
              </w:rPr>
            </w:pPr>
            <w:r w:rsidRPr="003563C6">
              <w:rPr>
                <w:lang w:eastAsia="en-GB"/>
              </w:rPr>
              <w:t>10 </w:t>
            </w:r>
          </w:p>
        </w:tc>
        <w:tc>
          <w:tcPr>
            <w:tcW w:w="1344" w:type="dxa"/>
            <w:shd w:val="clear" w:color="auto" w:fill="auto"/>
            <w:tcMar>
              <w:top w:w="103" w:type="dxa"/>
              <w:left w:w="207" w:type="dxa"/>
              <w:bottom w:w="103" w:type="dxa"/>
              <w:right w:w="207" w:type="dxa"/>
            </w:tcMar>
            <w:hideMark/>
          </w:tcPr>
          <w:p w14:paraId="1457C68D" w14:textId="77777777" w:rsidR="006E4D4A" w:rsidRPr="003563C6" w:rsidRDefault="006E4D4A" w:rsidP="00904AEE">
            <w:pPr>
              <w:rPr>
                <w:lang w:eastAsia="en-GB"/>
              </w:rPr>
            </w:pPr>
            <w:r w:rsidRPr="003563C6">
              <w:rPr>
                <w:lang w:eastAsia="en-GB"/>
              </w:rPr>
              <w:t>1100 </w:t>
            </w:r>
          </w:p>
        </w:tc>
        <w:tc>
          <w:tcPr>
            <w:tcW w:w="1395" w:type="dxa"/>
            <w:shd w:val="clear" w:color="auto" w:fill="auto"/>
            <w:tcMar>
              <w:top w:w="103" w:type="dxa"/>
              <w:left w:w="207" w:type="dxa"/>
              <w:bottom w:w="103" w:type="dxa"/>
              <w:right w:w="207" w:type="dxa"/>
            </w:tcMar>
            <w:hideMark/>
          </w:tcPr>
          <w:p w14:paraId="0668CF71" w14:textId="77777777" w:rsidR="006E4D4A" w:rsidRPr="003563C6" w:rsidRDefault="006E4D4A" w:rsidP="00904AEE">
            <w:pPr>
              <w:rPr>
                <w:lang w:eastAsia="en-GB"/>
              </w:rPr>
            </w:pPr>
            <w:r w:rsidRPr="003563C6">
              <w:rPr>
                <w:lang w:eastAsia="en-GB"/>
              </w:rPr>
              <w:t>1630 </w:t>
            </w:r>
          </w:p>
        </w:tc>
        <w:tc>
          <w:tcPr>
            <w:tcW w:w="1595" w:type="dxa"/>
            <w:shd w:val="clear" w:color="auto" w:fill="auto"/>
            <w:tcMar>
              <w:top w:w="103" w:type="dxa"/>
              <w:left w:w="207" w:type="dxa"/>
              <w:bottom w:w="103" w:type="dxa"/>
              <w:right w:w="207" w:type="dxa"/>
            </w:tcMar>
            <w:hideMark/>
          </w:tcPr>
          <w:p w14:paraId="7DEAC8B6" w14:textId="77777777" w:rsidR="006E4D4A" w:rsidRPr="003563C6" w:rsidRDefault="006E4D4A" w:rsidP="00904AEE">
            <w:pPr>
              <w:rPr>
                <w:lang w:eastAsia="en-GB"/>
              </w:rPr>
            </w:pPr>
            <w:r w:rsidRPr="003563C6">
              <w:rPr>
                <w:lang w:eastAsia="en-GB"/>
              </w:rPr>
              <w:t>1040 </w:t>
            </w:r>
          </w:p>
        </w:tc>
        <w:tc>
          <w:tcPr>
            <w:tcW w:w="1428" w:type="dxa"/>
            <w:shd w:val="clear" w:color="auto" w:fill="auto"/>
            <w:tcMar>
              <w:top w:w="103" w:type="dxa"/>
              <w:left w:w="207" w:type="dxa"/>
              <w:bottom w:w="103" w:type="dxa"/>
              <w:right w:w="207" w:type="dxa"/>
            </w:tcMar>
            <w:hideMark/>
          </w:tcPr>
          <w:p w14:paraId="3322E3D5" w14:textId="77777777" w:rsidR="006E4D4A" w:rsidRPr="003563C6" w:rsidRDefault="006E4D4A" w:rsidP="00904AEE">
            <w:pPr>
              <w:rPr>
                <w:lang w:eastAsia="en-GB"/>
              </w:rPr>
            </w:pPr>
            <w:r w:rsidRPr="003563C6">
              <w:rPr>
                <w:lang w:eastAsia="en-GB"/>
              </w:rPr>
              <w:t>3780 </w:t>
            </w:r>
          </w:p>
        </w:tc>
      </w:tr>
      <w:tr w:rsidR="006E4D4A" w:rsidRPr="003563C6" w14:paraId="3F22411D" w14:textId="77777777" w:rsidTr="38F91EEA">
        <w:trPr>
          <w:trHeight w:val="764"/>
        </w:trPr>
        <w:tc>
          <w:tcPr>
            <w:tcW w:w="2985" w:type="dxa"/>
            <w:shd w:val="clear" w:color="auto" w:fill="auto"/>
            <w:tcMar>
              <w:top w:w="103" w:type="dxa"/>
              <w:left w:w="207" w:type="dxa"/>
              <w:bottom w:w="103" w:type="dxa"/>
              <w:right w:w="207" w:type="dxa"/>
            </w:tcMar>
            <w:hideMark/>
          </w:tcPr>
          <w:p w14:paraId="60E32C6F" w14:textId="38DDC2E8" w:rsidR="006E4D4A" w:rsidRPr="00F82D69" w:rsidRDefault="006C0AD6" w:rsidP="00904AEE">
            <w:pPr>
              <w:rPr>
                <w:b/>
                <w:bCs/>
                <w:lang w:eastAsia="en-GB"/>
              </w:rPr>
            </w:pPr>
            <w:r w:rsidRPr="00F82D69">
              <w:rPr>
                <w:b/>
                <w:bCs/>
                <w:lang w:eastAsia="en-GB"/>
              </w:rPr>
              <w:t xml:space="preserve">Anticipated </w:t>
            </w:r>
            <w:r w:rsidR="006E4D4A" w:rsidRPr="00F82D69">
              <w:rPr>
                <w:b/>
                <w:bCs/>
                <w:lang w:eastAsia="en-GB"/>
              </w:rPr>
              <w:t xml:space="preserve">windfalls </w:t>
            </w:r>
          </w:p>
        </w:tc>
        <w:tc>
          <w:tcPr>
            <w:tcW w:w="1198" w:type="dxa"/>
            <w:shd w:val="clear" w:color="auto" w:fill="auto"/>
            <w:tcMar>
              <w:top w:w="103" w:type="dxa"/>
              <w:left w:w="207" w:type="dxa"/>
              <w:bottom w:w="103" w:type="dxa"/>
              <w:right w:w="207" w:type="dxa"/>
            </w:tcMar>
            <w:hideMark/>
          </w:tcPr>
          <w:p w14:paraId="062C80B5" w14:textId="77777777" w:rsidR="006E4D4A" w:rsidRPr="003563C6" w:rsidRDefault="006E4D4A" w:rsidP="00904AEE">
            <w:pPr>
              <w:rPr>
                <w:lang w:eastAsia="en-GB"/>
              </w:rPr>
            </w:pPr>
            <w:r w:rsidRPr="003563C6">
              <w:rPr>
                <w:lang w:eastAsia="en-GB"/>
              </w:rPr>
              <w:t> 500 </w:t>
            </w:r>
          </w:p>
        </w:tc>
        <w:tc>
          <w:tcPr>
            <w:tcW w:w="1344" w:type="dxa"/>
            <w:shd w:val="clear" w:color="auto" w:fill="auto"/>
            <w:tcMar>
              <w:top w:w="103" w:type="dxa"/>
              <w:left w:w="207" w:type="dxa"/>
              <w:bottom w:w="103" w:type="dxa"/>
              <w:right w:w="207" w:type="dxa"/>
            </w:tcMar>
            <w:hideMark/>
          </w:tcPr>
          <w:p w14:paraId="7452662F" w14:textId="77777777" w:rsidR="006E4D4A" w:rsidRPr="003563C6" w:rsidRDefault="006E4D4A" w:rsidP="00904AEE">
            <w:pPr>
              <w:rPr>
                <w:lang w:eastAsia="en-GB"/>
              </w:rPr>
            </w:pPr>
            <w:r w:rsidRPr="003563C6">
              <w:rPr>
                <w:lang w:eastAsia="en-GB"/>
              </w:rPr>
              <w:t>  500</w:t>
            </w:r>
          </w:p>
        </w:tc>
        <w:tc>
          <w:tcPr>
            <w:tcW w:w="1395" w:type="dxa"/>
            <w:shd w:val="clear" w:color="auto" w:fill="auto"/>
            <w:tcMar>
              <w:top w:w="103" w:type="dxa"/>
              <w:left w:w="207" w:type="dxa"/>
              <w:bottom w:w="103" w:type="dxa"/>
              <w:right w:w="207" w:type="dxa"/>
            </w:tcMar>
            <w:hideMark/>
          </w:tcPr>
          <w:p w14:paraId="18270F64" w14:textId="77777777" w:rsidR="006E4D4A" w:rsidRPr="003563C6" w:rsidRDefault="006E4D4A" w:rsidP="00904AEE">
            <w:pPr>
              <w:rPr>
                <w:lang w:eastAsia="en-GB"/>
              </w:rPr>
            </w:pPr>
            <w:r w:rsidRPr="003563C6">
              <w:rPr>
                <w:lang w:eastAsia="en-GB"/>
              </w:rPr>
              <w:t>  500</w:t>
            </w:r>
          </w:p>
        </w:tc>
        <w:tc>
          <w:tcPr>
            <w:tcW w:w="1595" w:type="dxa"/>
            <w:shd w:val="clear" w:color="auto" w:fill="auto"/>
            <w:tcMar>
              <w:top w:w="103" w:type="dxa"/>
              <w:left w:w="207" w:type="dxa"/>
              <w:bottom w:w="103" w:type="dxa"/>
              <w:right w:w="207" w:type="dxa"/>
            </w:tcMar>
            <w:hideMark/>
          </w:tcPr>
          <w:p w14:paraId="2D861B9D" w14:textId="77777777" w:rsidR="006E4D4A" w:rsidRPr="003563C6" w:rsidRDefault="006E4D4A" w:rsidP="00904AEE">
            <w:pPr>
              <w:rPr>
                <w:lang w:eastAsia="en-GB"/>
              </w:rPr>
            </w:pPr>
            <w:r w:rsidRPr="003563C6">
              <w:rPr>
                <w:lang w:eastAsia="en-GB"/>
              </w:rPr>
              <w:t>  500</w:t>
            </w:r>
          </w:p>
        </w:tc>
        <w:tc>
          <w:tcPr>
            <w:tcW w:w="1428" w:type="dxa"/>
            <w:shd w:val="clear" w:color="auto" w:fill="auto"/>
            <w:tcMar>
              <w:top w:w="103" w:type="dxa"/>
              <w:left w:w="207" w:type="dxa"/>
              <w:bottom w:w="103" w:type="dxa"/>
              <w:right w:w="207" w:type="dxa"/>
            </w:tcMar>
            <w:hideMark/>
          </w:tcPr>
          <w:p w14:paraId="0CDE16ED" w14:textId="77777777" w:rsidR="006E4D4A" w:rsidRPr="003563C6" w:rsidRDefault="006E4D4A" w:rsidP="00904AEE">
            <w:pPr>
              <w:rPr>
                <w:lang w:eastAsia="en-GB"/>
              </w:rPr>
            </w:pPr>
            <w:r w:rsidRPr="003563C6">
              <w:rPr>
                <w:lang w:eastAsia="en-GB"/>
              </w:rPr>
              <w:t> 2000</w:t>
            </w:r>
          </w:p>
        </w:tc>
      </w:tr>
      <w:tr w:rsidR="006E4D4A" w:rsidRPr="003563C6" w14:paraId="1234F5A0" w14:textId="77777777" w:rsidTr="38F91EEA">
        <w:trPr>
          <w:trHeight w:val="758"/>
        </w:trPr>
        <w:tc>
          <w:tcPr>
            <w:tcW w:w="2985" w:type="dxa"/>
            <w:shd w:val="clear" w:color="auto" w:fill="auto"/>
            <w:tcMar>
              <w:top w:w="103" w:type="dxa"/>
              <w:left w:w="207" w:type="dxa"/>
              <w:bottom w:w="103" w:type="dxa"/>
              <w:right w:w="207" w:type="dxa"/>
            </w:tcMar>
            <w:hideMark/>
          </w:tcPr>
          <w:p w14:paraId="2028C629" w14:textId="77777777" w:rsidR="006E4D4A" w:rsidRPr="00F82D69" w:rsidRDefault="006E4D4A" w:rsidP="00904AEE">
            <w:pPr>
              <w:rPr>
                <w:b/>
                <w:bCs/>
                <w:lang w:eastAsia="en-GB"/>
              </w:rPr>
            </w:pPr>
            <w:r w:rsidRPr="00F82D69">
              <w:rPr>
                <w:b/>
                <w:bCs/>
                <w:lang w:eastAsia="en-GB"/>
              </w:rPr>
              <w:t>Total </w:t>
            </w:r>
          </w:p>
        </w:tc>
        <w:tc>
          <w:tcPr>
            <w:tcW w:w="1198" w:type="dxa"/>
            <w:shd w:val="clear" w:color="auto" w:fill="auto"/>
            <w:tcMar>
              <w:top w:w="103" w:type="dxa"/>
              <w:left w:w="207" w:type="dxa"/>
              <w:bottom w:w="103" w:type="dxa"/>
              <w:right w:w="207" w:type="dxa"/>
            </w:tcMar>
            <w:hideMark/>
          </w:tcPr>
          <w:p w14:paraId="5746D774" w14:textId="77777777" w:rsidR="006E4D4A" w:rsidRPr="00F82D69" w:rsidRDefault="006E4D4A" w:rsidP="00904AEE">
            <w:pPr>
              <w:rPr>
                <w:b/>
                <w:bCs/>
                <w:lang w:eastAsia="en-GB"/>
              </w:rPr>
            </w:pPr>
            <w:r w:rsidRPr="00F82D69">
              <w:rPr>
                <w:b/>
                <w:bCs/>
                <w:lang w:eastAsia="en-GB"/>
              </w:rPr>
              <w:t>1790 </w:t>
            </w:r>
          </w:p>
        </w:tc>
        <w:tc>
          <w:tcPr>
            <w:tcW w:w="1344" w:type="dxa"/>
            <w:shd w:val="clear" w:color="auto" w:fill="auto"/>
            <w:tcMar>
              <w:top w:w="103" w:type="dxa"/>
              <w:left w:w="207" w:type="dxa"/>
              <w:bottom w:w="103" w:type="dxa"/>
              <w:right w:w="207" w:type="dxa"/>
            </w:tcMar>
            <w:hideMark/>
          </w:tcPr>
          <w:p w14:paraId="53C45EB2" w14:textId="77777777" w:rsidR="006E4D4A" w:rsidRPr="00F82D69" w:rsidRDefault="006E4D4A" w:rsidP="00904AEE">
            <w:pPr>
              <w:rPr>
                <w:b/>
                <w:bCs/>
                <w:lang w:eastAsia="en-GB"/>
              </w:rPr>
            </w:pPr>
            <w:r w:rsidRPr="00F82D69">
              <w:rPr>
                <w:b/>
                <w:bCs/>
                <w:lang w:eastAsia="en-GB"/>
              </w:rPr>
              <w:t>3220</w:t>
            </w:r>
          </w:p>
        </w:tc>
        <w:tc>
          <w:tcPr>
            <w:tcW w:w="1395" w:type="dxa"/>
            <w:shd w:val="clear" w:color="auto" w:fill="auto"/>
            <w:tcMar>
              <w:top w:w="103" w:type="dxa"/>
              <w:left w:w="207" w:type="dxa"/>
              <w:bottom w:w="103" w:type="dxa"/>
              <w:right w:w="207" w:type="dxa"/>
            </w:tcMar>
            <w:hideMark/>
          </w:tcPr>
          <w:p w14:paraId="2F71BF89" w14:textId="77777777" w:rsidR="006E4D4A" w:rsidRPr="00F82D69" w:rsidRDefault="006E4D4A" w:rsidP="00904AEE">
            <w:pPr>
              <w:rPr>
                <w:b/>
                <w:bCs/>
                <w:lang w:eastAsia="en-GB"/>
              </w:rPr>
            </w:pPr>
            <w:r w:rsidRPr="00F82D69">
              <w:rPr>
                <w:b/>
                <w:bCs/>
                <w:lang w:eastAsia="en-GB"/>
              </w:rPr>
              <w:t>2670 </w:t>
            </w:r>
          </w:p>
        </w:tc>
        <w:tc>
          <w:tcPr>
            <w:tcW w:w="1595" w:type="dxa"/>
            <w:shd w:val="clear" w:color="auto" w:fill="auto"/>
            <w:tcMar>
              <w:top w:w="103" w:type="dxa"/>
              <w:left w:w="207" w:type="dxa"/>
              <w:bottom w:w="103" w:type="dxa"/>
              <w:right w:w="207" w:type="dxa"/>
            </w:tcMar>
            <w:hideMark/>
          </w:tcPr>
          <w:p w14:paraId="39CDC1B0" w14:textId="77777777" w:rsidR="006E4D4A" w:rsidRPr="00F82D69" w:rsidRDefault="006E4D4A" w:rsidP="00904AEE">
            <w:pPr>
              <w:rPr>
                <w:b/>
                <w:bCs/>
                <w:lang w:eastAsia="en-GB"/>
              </w:rPr>
            </w:pPr>
            <w:r w:rsidRPr="00F82D69">
              <w:rPr>
                <w:b/>
                <w:bCs/>
                <w:lang w:eastAsia="en-GB"/>
              </w:rPr>
              <w:t>1540 </w:t>
            </w:r>
          </w:p>
        </w:tc>
        <w:tc>
          <w:tcPr>
            <w:tcW w:w="1428" w:type="dxa"/>
            <w:shd w:val="clear" w:color="auto" w:fill="auto"/>
            <w:tcMar>
              <w:top w:w="103" w:type="dxa"/>
              <w:left w:w="207" w:type="dxa"/>
              <w:bottom w:w="103" w:type="dxa"/>
              <w:right w:w="207" w:type="dxa"/>
            </w:tcMar>
            <w:hideMark/>
          </w:tcPr>
          <w:p w14:paraId="258C4B64" w14:textId="77777777" w:rsidR="006E4D4A" w:rsidRPr="00F82D69" w:rsidRDefault="006E4D4A" w:rsidP="00904AEE">
            <w:pPr>
              <w:rPr>
                <w:b/>
                <w:bCs/>
                <w:lang w:eastAsia="en-GB"/>
              </w:rPr>
            </w:pPr>
            <w:r w:rsidRPr="00F82D69">
              <w:rPr>
                <w:b/>
                <w:bCs/>
                <w:lang w:eastAsia="en-GB"/>
              </w:rPr>
              <w:t>9220 </w:t>
            </w:r>
          </w:p>
        </w:tc>
      </w:tr>
    </w:tbl>
    <w:p w14:paraId="5606B566" w14:textId="77777777" w:rsidR="00437E40" w:rsidRDefault="00437E40" w:rsidP="00FC6292">
      <w:pPr>
        <w:pStyle w:val="Heading2"/>
        <w:rPr>
          <w:lang w:eastAsia="en-GB"/>
        </w:rPr>
      </w:pPr>
    </w:p>
    <w:p w14:paraId="2D8640C7" w14:textId="77777777" w:rsidR="00437E40" w:rsidRDefault="00437E40">
      <w:pPr>
        <w:spacing w:line="264" w:lineRule="auto"/>
        <w:rPr>
          <w:rFonts w:asciiTheme="majorHAnsi" w:eastAsiaTheme="majorEastAsia" w:hAnsiTheme="majorHAnsi" w:cstheme="majorBidi"/>
          <w:color w:val="800080"/>
          <w:sz w:val="36"/>
          <w:szCs w:val="28"/>
          <w:lang w:eastAsia="en-GB"/>
        </w:rPr>
      </w:pPr>
      <w:r>
        <w:rPr>
          <w:lang w:eastAsia="en-GB"/>
        </w:rPr>
        <w:br w:type="page"/>
      </w:r>
    </w:p>
    <w:p w14:paraId="352BAC85" w14:textId="5A69F26E" w:rsidR="00B162EA" w:rsidRDefault="005F628A" w:rsidP="00FC6292">
      <w:pPr>
        <w:pStyle w:val="Heading2"/>
        <w:rPr>
          <w:lang w:eastAsia="en-GB"/>
        </w:rPr>
      </w:pPr>
      <w:r>
        <w:rPr>
          <w:lang w:eastAsia="en-GB"/>
        </w:rPr>
        <w:t xml:space="preserve">Other Sources of Housing </w:t>
      </w:r>
    </w:p>
    <w:p w14:paraId="6522EAC7" w14:textId="61ADA601" w:rsidR="00A749D6" w:rsidRDefault="00A749D6" w:rsidP="00D07D53">
      <w:pPr>
        <w:rPr>
          <w:rStyle w:val="bold"/>
        </w:rPr>
      </w:pPr>
    </w:p>
    <w:p w14:paraId="5DC64F66" w14:textId="2E2BB6DF" w:rsidR="005F628A" w:rsidRDefault="005F628A" w:rsidP="00D07D53">
      <w:pPr>
        <w:rPr>
          <w:rStyle w:val="bold"/>
        </w:rPr>
      </w:pPr>
      <w:r>
        <w:rPr>
          <w:rStyle w:val="bold"/>
        </w:rPr>
        <w:t xml:space="preserve">Holiday Accommodation </w:t>
      </w:r>
    </w:p>
    <w:p w14:paraId="5F1E888C" w14:textId="77777777" w:rsidR="002108C2" w:rsidRDefault="002108C2" w:rsidP="002108C2">
      <w:r>
        <w:t>Torbay remains a premier Tourist resort and a key policy consideration will be to conserve Torbay’s raison d’etre as a tourist destination. However, with several large purpose-built hotels having been approved in Torbay in recent years including Corbyn Head Hotel, Palace Hotel and a Premier Inn in Torquay, and Park Hotel and the Lighthouse in Paignton, one potential source of housing is the reuse or redevelopment of holiday accommodation</w:t>
      </w:r>
      <w:r>
        <w:rPr>
          <w:rStyle w:val="FootnoteReference"/>
        </w:rPr>
        <w:footnoteReference w:id="7"/>
      </w:r>
      <w:r>
        <w:t xml:space="preserve">. </w:t>
      </w:r>
    </w:p>
    <w:p w14:paraId="31693EDF" w14:textId="77777777" w:rsidR="002108C2" w:rsidRDefault="002108C2" w:rsidP="002108C2"/>
    <w:p w14:paraId="2D9DCCF3" w14:textId="760A0386" w:rsidR="002108C2" w:rsidRDefault="002108C2" w:rsidP="002108C2">
      <w:r>
        <w:t xml:space="preserve">Changes of use within holiday accommodation areas have been subject to policy control both in the previous Torbay Local Plan 1995-2011 through the designation of ‘Primary Holiday Accommodation Areas’ (PHAAs) and in the current Torbay Local Plan 2012-2030 through the designation of ‘Core Tourism Investment Areas’ (CTIAs). In addition, both Paignton and Torquay Neighbourhood Plans have introduced separate policies on holiday accommodation. When holiday accommodation areas were last reviewed in 2011, </w:t>
      </w:r>
      <w:hyperlink r:id="rId21">
        <w:r w:rsidRPr="38F91EEA">
          <w:rPr>
            <w:rStyle w:val="Hyperlink"/>
          </w:rPr>
          <w:t>the PHAAs were reduced by 80%</w:t>
        </w:r>
      </w:hyperlink>
      <w:r>
        <w:t xml:space="preserve">, with this review informing the extent of the CTIAs in the current Local Plan. This reduction has meant that some former PHAA sites which are located outside of CTIAs have received permission to change to residential use during the current Plan Period. Such sites will continue to be a source of housing over the next 20 years. If all the remaining holiday accommodation sites that </w:t>
      </w:r>
      <w:proofErr w:type="gramStart"/>
      <w:r>
        <w:t>are located in</w:t>
      </w:r>
      <w:proofErr w:type="gramEnd"/>
      <w:r>
        <w:t xml:space="preserve"> former PHAAs but outside of CTIAs were to be converted or redeveloped for housing, this </w:t>
      </w:r>
      <w:r w:rsidR="7E742645">
        <w:t>c</w:t>
      </w:r>
      <w:r>
        <w:t xml:space="preserve">ould yield approximately 760 </w:t>
      </w:r>
      <w:r w:rsidR="00442FEF">
        <w:t>dwellin</w:t>
      </w:r>
      <w:r w:rsidR="00E928DD">
        <w:t>g</w:t>
      </w:r>
      <w:r w:rsidR="00442FEF">
        <w:t>s</w:t>
      </w:r>
      <w:r>
        <w:t xml:space="preserve">, of which 380 would be on sites yielding 6 or more and 380 would be on sites yielding fewer than 6 (and therefore forming a source of windfall sites). However, it is neither likely (in terms of market capacity or viability) nor desirable (in terms of impacts on Torbay’s economy and cultural heritage) for all such sites to be brought forward for housing. With no changes to the existing tourism policies in the Development Plan, it is anticipated that in the region of 50 per cent of these remaining sites would come forward for housing over the next 20 years. This is based on the likelihood of further consolidation and investment into holiday accommodation within the CTIAs as we have seen to date during the Plan Period. Excluding windfall sites, this would equate to approximately 200 </w:t>
      </w:r>
      <w:r w:rsidR="00442FEF">
        <w:t>dwellings</w:t>
      </w:r>
      <w:r>
        <w:t xml:space="preserve"> or 10 </w:t>
      </w:r>
      <w:r w:rsidR="00442FEF">
        <w:t>dwellings</w:t>
      </w:r>
      <w:r>
        <w:t xml:space="preserve"> per year from holiday accommodation sites located outside CTIAs. As an illustration, this might be 1 medium-sized hotel being redeveloped for permanent residential use every 2 years.</w:t>
      </w:r>
    </w:p>
    <w:p w14:paraId="19CC5B40" w14:textId="77777777" w:rsidR="002108C2" w:rsidRDefault="002108C2" w:rsidP="002108C2"/>
    <w:p w14:paraId="4FD558FA" w14:textId="609C35A3" w:rsidR="002108C2" w:rsidRDefault="00B34462" w:rsidP="002108C2">
      <w:r>
        <w:t>For sites within CTIAs, t</w:t>
      </w:r>
      <w:r w:rsidR="002108C2">
        <w:t xml:space="preserve">he broad policy position within the Development Plan is to retain and improve holiday accommodation and tourism uses. Therefore, it is not anticipated that current tourism policies would give rise to any significant housing delivery from within CTIAs. That being said, housing delivery from holiday accommodation areas could be increased if the Council was minded </w:t>
      </w:r>
      <w:proofErr w:type="gramStart"/>
      <w:r w:rsidR="002108C2">
        <w:t>to consider</w:t>
      </w:r>
      <w:proofErr w:type="gramEnd"/>
      <w:r w:rsidR="002108C2">
        <w:t xml:space="preserve"> further policy relaxations and reductions to the extent of Core Tourism Investment Area designations. This would be a policy decision that would need to be carefully considered at the plan making stage, with due regard to the impacts that this would have on Torbay’s economy, </w:t>
      </w:r>
      <w:proofErr w:type="gramStart"/>
      <w:r w:rsidR="002108C2">
        <w:t>character</w:t>
      </w:r>
      <w:proofErr w:type="gramEnd"/>
      <w:r w:rsidR="002108C2">
        <w:t xml:space="preserve"> and cultural heritage. If all the remaining holiday accommodation sites within CTIAs were to be reused or redeveloped for housing, it is estimated that this would yield a further 690 </w:t>
      </w:r>
      <w:r w:rsidR="00442FEF">
        <w:t>dwellings</w:t>
      </w:r>
      <w:r w:rsidR="002108C2">
        <w:t xml:space="preserve">, of which 630 would be on sites yielding 6 or more and 60 would be on sites yielding fewer than 6 (and therefore forming a source of windfall sites). As an example, the Council may consider a 25 per cent reduction to the extent of CTIAs. Excluding windfalls, this would unlock a potential yield of approximately 160 homes. If we were to assume that approximately 50 per cent of these sites would come forward within 20 years, this would equate to approximately 80 </w:t>
      </w:r>
      <w:r w:rsidR="00100175">
        <w:t>dwellings</w:t>
      </w:r>
      <w:r w:rsidR="002108C2">
        <w:t xml:space="preserve"> or an average of 4 </w:t>
      </w:r>
      <w:r w:rsidR="00100175">
        <w:t>dwellings</w:t>
      </w:r>
      <w:r w:rsidR="002108C2">
        <w:t xml:space="preserve"> per year (</w:t>
      </w:r>
      <w:r w:rsidR="0066462A">
        <w:t>i.e.,</w:t>
      </w:r>
      <w:r w:rsidR="002108C2">
        <w:t xml:space="preserve"> approximately 1 medium-sized hotel every 5 years). Using the same method and assumptions, a 50 per cent reduction to the extent of CTIAs would yield approximately 160 </w:t>
      </w:r>
      <w:r w:rsidR="00100175">
        <w:t>dwellings</w:t>
      </w:r>
      <w:r w:rsidR="002108C2">
        <w:t xml:space="preserve"> within 20 years or 8 </w:t>
      </w:r>
      <w:r w:rsidR="00100175">
        <w:t>dwellings</w:t>
      </w:r>
      <w:r w:rsidR="002108C2">
        <w:t xml:space="preserve"> per year.</w:t>
      </w:r>
    </w:p>
    <w:p w14:paraId="46C34789" w14:textId="77777777" w:rsidR="002108C2" w:rsidRDefault="002108C2" w:rsidP="002108C2"/>
    <w:p w14:paraId="4C9C2F01" w14:textId="2AE0F353" w:rsidR="002108C2" w:rsidRDefault="002108C2" w:rsidP="002108C2">
      <w:r>
        <w:t>It is worth noting that, at the Local Plan Review in November 20</w:t>
      </w:r>
      <w:r w:rsidR="00100175">
        <w:t>20</w:t>
      </w:r>
      <w:r>
        <w:t xml:space="preserve">, Cabinet resolved that while policies for the supply of housing needed to be updated, the rest of the local plan policies (including tourism policies) were considered broadly up to date. Any further relaxation of tourism policies </w:t>
      </w:r>
      <w:proofErr w:type="gramStart"/>
      <w:r>
        <w:t>in order to</w:t>
      </w:r>
      <w:proofErr w:type="gramEnd"/>
      <w:r>
        <w:t xml:space="preserve"> increase housing delivery over and above the 10 homes per year that are considered likely to come forward </w:t>
      </w:r>
      <w:r w:rsidR="00E56F2C">
        <w:t>from</w:t>
      </w:r>
      <w:r>
        <w:t xml:space="preserve"> sites located outside of the CTIAs, would need to be carefully considered at the plan</w:t>
      </w:r>
      <w:r w:rsidR="005F5977">
        <w:t xml:space="preserve"> </w:t>
      </w:r>
      <w:r>
        <w:t>making stage. The potential yield from holiday accommodation areas, as described above, and the suitability of tourism policies in the Development Plan, will continue to be kept under review.</w:t>
      </w:r>
    </w:p>
    <w:p w14:paraId="051980BA" w14:textId="77777777" w:rsidR="009D3C71" w:rsidRDefault="009D3C71" w:rsidP="00D07D53">
      <w:pPr>
        <w:rPr>
          <w:rStyle w:val="bold"/>
        </w:rPr>
      </w:pPr>
    </w:p>
    <w:p w14:paraId="3E0BA43F" w14:textId="3280751C" w:rsidR="003E1746" w:rsidRPr="009D3C71" w:rsidRDefault="009D3C71" w:rsidP="00D07D53">
      <w:pPr>
        <w:rPr>
          <w:rStyle w:val="bold"/>
        </w:rPr>
      </w:pPr>
      <w:r w:rsidRPr="009D3C71">
        <w:rPr>
          <w:rStyle w:val="bold"/>
        </w:rPr>
        <w:t xml:space="preserve">Holiday parks </w:t>
      </w:r>
    </w:p>
    <w:p w14:paraId="17DD5402" w14:textId="71D96CAB" w:rsidR="006C4D03" w:rsidRDefault="00F50CE3" w:rsidP="00D07D53">
      <w:pPr>
        <w:rPr>
          <w:rStyle w:val="bold"/>
          <w:b w:val="0"/>
          <w:bCs/>
        </w:rPr>
      </w:pPr>
      <w:r>
        <w:rPr>
          <w:rStyle w:val="bold"/>
          <w:b w:val="0"/>
          <w:bCs/>
        </w:rPr>
        <w:t xml:space="preserve">The </w:t>
      </w:r>
      <w:r w:rsidR="00CE34C2">
        <w:rPr>
          <w:rStyle w:val="bold"/>
          <w:b w:val="0"/>
          <w:bCs/>
        </w:rPr>
        <w:t>2013 SHLAA considers the redevelopment of holiday camps</w:t>
      </w:r>
      <w:r w:rsidR="006D2981">
        <w:rPr>
          <w:rStyle w:val="bold"/>
          <w:b w:val="0"/>
          <w:bCs/>
        </w:rPr>
        <w:t xml:space="preserve">.  </w:t>
      </w:r>
      <w:r w:rsidR="00BA4D59">
        <w:rPr>
          <w:rStyle w:val="bold"/>
          <w:b w:val="0"/>
          <w:bCs/>
        </w:rPr>
        <w:t xml:space="preserve">Of these </w:t>
      </w:r>
      <w:r w:rsidR="00A67DE3">
        <w:rPr>
          <w:rStyle w:val="bold"/>
          <w:b w:val="0"/>
          <w:bCs/>
        </w:rPr>
        <w:t>Torquay Holiday Park</w:t>
      </w:r>
      <w:r w:rsidR="002E799D">
        <w:rPr>
          <w:rStyle w:val="bold"/>
          <w:b w:val="0"/>
          <w:bCs/>
        </w:rPr>
        <w:t xml:space="preserve">s are allocated in the Torquay Neighbourhood Plan </w:t>
      </w:r>
      <w:r w:rsidR="00F0653F">
        <w:rPr>
          <w:rStyle w:val="bold"/>
          <w:b w:val="0"/>
          <w:bCs/>
        </w:rPr>
        <w:t>(TNPH1 and 2)</w:t>
      </w:r>
      <w:r w:rsidR="002E799D">
        <w:rPr>
          <w:rStyle w:val="bold"/>
          <w:b w:val="0"/>
          <w:bCs/>
        </w:rPr>
        <w:t xml:space="preserve"> and already assess</w:t>
      </w:r>
      <w:r w:rsidR="00F0653F">
        <w:rPr>
          <w:rStyle w:val="bold"/>
          <w:b w:val="0"/>
          <w:bCs/>
        </w:rPr>
        <w:t>e</w:t>
      </w:r>
      <w:r w:rsidR="002E799D">
        <w:rPr>
          <w:rStyle w:val="bold"/>
          <w:b w:val="0"/>
          <w:bCs/>
        </w:rPr>
        <w:t>d by the HELAA</w:t>
      </w:r>
      <w:r w:rsidR="0074034D">
        <w:rPr>
          <w:rStyle w:val="bold"/>
          <w:b w:val="0"/>
          <w:bCs/>
        </w:rPr>
        <w:t xml:space="preserve"> (TNPH</w:t>
      </w:r>
      <w:r w:rsidR="00F5052E">
        <w:rPr>
          <w:rStyle w:val="bold"/>
          <w:b w:val="0"/>
          <w:bCs/>
        </w:rPr>
        <w:t xml:space="preserve">016 and 017).  </w:t>
      </w:r>
      <w:r w:rsidR="00EF4993">
        <w:rPr>
          <w:rStyle w:val="bold"/>
          <w:b w:val="0"/>
          <w:bCs/>
        </w:rPr>
        <w:t xml:space="preserve">Upton </w:t>
      </w:r>
      <w:r w:rsidR="00D72560">
        <w:rPr>
          <w:rStyle w:val="bold"/>
          <w:b w:val="0"/>
          <w:bCs/>
        </w:rPr>
        <w:t>M</w:t>
      </w:r>
      <w:r w:rsidR="00EF4993">
        <w:rPr>
          <w:rStyle w:val="bold"/>
          <w:b w:val="0"/>
          <w:bCs/>
        </w:rPr>
        <w:t xml:space="preserve">anor Farm (21B037) is </w:t>
      </w:r>
      <w:r w:rsidR="002F2494">
        <w:rPr>
          <w:rStyle w:val="bold"/>
          <w:b w:val="0"/>
          <w:bCs/>
        </w:rPr>
        <w:t>also assessed in the HELAA and subject to a current planning application.</w:t>
      </w:r>
      <w:r w:rsidR="002E799D">
        <w:rPr>
          <w:rStyle w:val="bold"/>
          <w:b w:val="0"/>
          <w:bCs/>
        </w:rPr>
        <w:t xml:space="preserve"> </w:t>
      </w:r>
      <w:r w:rsidR="005831FC">
        <w:rPr>
          <w:rStyle w:val="bold"/>
          <w:b w:val="0"/>
          <w:bCs/>
        </w:rPr>
        <w:t xml:space="preserve"> </w:t>
      </w:r>
      <w:r w:rsidR="002A7950">
        <w:rPr>
          <w:rStyle w:val="bold"/>
          <w:b w:val="0"/>
          <w:bCs/>
        </w:rPr>
        <w:t xml:space="preserve">Other holiday parks in the Goodrington </w:t>
      </w:r>
      <w:r w:rsidR="006B2927">
        <w:rPr>
          <w:rStyle w:val="bold"/>
          <w:b w:val="0"/>
          <w:bCs/>
        </w:rPr>
        <w:t>and Brixham area appear to be in active</w:t>
      </w:r>
      <w:r w:rsidR="006F31AE">
        <w:rPr>
          <w:rStyle w:val="bold"/>
          <w:b w:val="0"/>
          <w:bCs/>
        </w:rPr>
        <w:t xml:space="preserve"> holiday</w:t>
      </w:r>
      <w:r w:rsidR="006B2927">
        <w:rPr>
          <w:rStyle w:val="bold"/>
          <w:b w:val="0"/>
          <w:bCs/>
        </w:rPr>
        <w:t xml:space="preserve"> use and/or subject to landscape constraints such as AONB. </w:t>
      </w:r>
      <w:r w:rsidR="005831FC">
        <w:rPr>
          <w:rStyle w:val="bold"/>
          <w:b w:val="0"/>
          <w:bCs/>
        </w:rPr>
        <w:t xml:space="preserve"> </w:t>
      </w:r>
      <w:r w:rsidR="006856E1">
        <w:rPr>
          <w:rStyle w:val="bold"/>
          <w:b w:val="0"/>
          <w:bCs/>
        </w:rPr>
        <w:t>It is possible th</w:t>
      </w:r>
      <w:r w:rsidR="00460990">
        <w:rPr>
          <w:rStyle w:val="bold"/>
          <w:b w:val="0"/>
          <w:bCs/>
        </w:rPr>
        <w:t>a</w:t>
      </w:r>
      <w:r w:rsidR="006856E1">
        <w:rPr>
          <w:rStyle w:val="bold"/>
          <w:b w:val="0"/>
          <w:bCs/>
        </w:rPr>
        <w:t>t some holiday uses</w:t>
      </w:r>
      <w:r w:rsidR="006B2927">
        <w:rPr>
          <w:rStyle w:val="bold"/>
          <w:b w:val="0"/>
          <w:bCs/>
        </w:rPr>
        <w:t xml:space="preserve"> </w:t>
      </w:r>
      <w:r w:rsidR="00460990">
        <w:rPr>
          <w:rStyle w:val="bold"/>
          <w:b w:val="0"/>
          <w:bCs/>
        </w:rPr>
        <w:t>elsewhere may</w:t>
      </w:r>
      <w:r w:rsidR="002B0216">
        <w:rPr>
          <w:rStyle w:val="bold"/>
          <w:b w:val="0"/>
          <w:bCs/>
        </w:rPr>
        <w:t xml:space="preserve"> have been leased off or units have </w:t>
      </w:r>
      <w:r w:rsidR="006F31AE">
        <w:rPr>
          <w:rStyle w:val="bold"/>
          <w:b w:val="0"/>
          <w:bCs/>
        </w:rPr>
        <w:t xml:space="preserve">drifted </w:t>
      </w:r>
      <w:r w:rsidR="002B0216">
        <w:rPr>
          <w:rStyle w:val="bold"/>
          <w:b w:val="0"/>
          <w:bCs/>
        </w:rPr>
        <w:t>into quasi residential use</w:t>
      </w:r>
      <w:r w:rsidR="00460990">
        <w:rPr>
          <w:rStyle w:val="bold"/>
          <w:b w:val="0"/>
          <w:bCs/>
        </w:rPr>
        <w:t xml:space="preserve">.  This would create </w:t>
      </w:r>
      <w:r w:rsidR="00816489">
        <w:rPr>
          <w:rStyle w:val="bold"/>
          <w:b w:val="0"/>
          <w:bCs/>
        </w:rPr>
        <w:t>a</w:t>
      </w:r>
      <w:r w:rsidR="00F2700B">
        <w:rPr>
          <w:rStyle w:val="bold"/>
          <w:b w:val="0"/>
          <w:bCs/>
        </w:rPr>
        <w:t xml:space="preserve"> significant site assembly obstacle</w:t>
      </w:r>
      <w:r w:rsidR="00816489">
        <w:rPr>
          <w:rStyle w:val="bold"/>
          <w:b w:val="0"/>
          <w:bCs/>
        </w:rPr>
        <w:t xml:space="preserve"> to redevelopment</w:t>
      </w:r>
      <w:r w:rsidR="00131883">
        <w:rPr>
          <w:rStyle w:val="bold"/>
          <w:b w:val="0"/>
          <w:bCs/>
        </w:rPr>
        <w:t>.</w:t>
      </w:r>
      <w:r w:rsidR="00816489">
        <w:rPr>
          <w:rStyle w:val="bold"/>
          <w:b w:val="0"/>
          <w:bCs/>
        </w:rPr>
        <w:t xml:space="preserve"> </w:t>
      </w:r>
      <w:r w:rsidR="00F2700B">
        <w:rPr>
          <w:rStyle w:val="bold"/>
          <w:b w:val="0"/>
          <w:bCs/>
        </w:rPr>
        <w:t xml:space="preserve"> </w:t>
      </w:r>
      <w:r w:rsidR="00816489">
        <w:rPr>
          <w:rStyle w:val="bold"/>
          <w:b w:val="0"/>
          <w:bCs/>
        </w:rPr>
        <w:t>S</w:t>
      </w:r>
      <w:r w:rsidR="00F2700B">
        <w:rPr>
          <w:rStyle w:val="bold"/>
          <w:b w:val="0"/>
          <w:bCs/>
        </w:rPr>
        <w:t xml:space="preserve">ubject to further assessment, there may be scope to regularise </w:t>
      </w:r>
      <w:r w:rsidR="006F31AE">
        <w:rPr>
          <w:rStyle w:val="bold"/>
          <w:b w:val="0"/>
          <w:bCs/>
        </w:rPr>
        <w:t>their use and achieve a modest boost in official number either through planning permission or Certificate of Lawfulness.</w:t>
      </w:r>
      <w:r w:rsidR="00131883">
        <w:rPr>
          <w:rStyle w:val="bold"/>
          <w:b w:val="0"/>
          <w:bCs/>
        </w:rPr>
        <w:t xml:space="preserve">  They would not in practice be “new” dwellings</w:t>
      </w:r>
      <w:r w:rsidR="00494DC0">
        <w:rPr>
          <w:rStyle w:val="bold"/>
          <w:b w:val="0"/>
          <w:bCs/>
        </w:rPr>
        <w:t>.</w:t>
      </w:r>
      <w:r w:rsidR="006F31AE">
        <w:rPr>
          <w:rStyle w:val="bold"/>
          <w:b w:val="0"/>
          <w:bCs/>
        </w:rPr>
        <w:t xml:space="preserve">  </w:t>
      </w:r>
      <w:r w:rsidR="00816489">
        <w:rPr>
          <w:rStyle w:val="bold"/>
          <w:b w:val="0"/>
          <w:bCs/>
        </w:rPr>
        <w:t xml:space="preserve">This would however require a </w:t>
      </w:r>
      <w:r w:rsidR="00E85C78">
        <w:rPr>
          <w:rStyle w:val="bold"/>
          <w:b w:val="0"/>
          <w:bCs/>
        </w:rPr>
        <w:t xml:space="preserve">council commitment and resource to enforcement </w:t>
      </w:r>
      <w:r w:rsidR="002D7532">
        <w:rPr>
          <w:rStyle w:val="bold"/>
          <w:b w:val="0"/>
          <w:bCs/>
        </w:rPr>
        <w:t>of an issue that may not currently be perceived as a priority for scarce resources.</w:t>
      </w:r>
      <w:r w:rsidR="00494DC0">
        <w:rPr>
          <w:rStyle w:val="bold"/>
          <w:b w:val="0"/>
          <w:bCs/>
        </w:rPr>
        <w:t xml:space="preserve">  The equalities implications of such an approach would need to be considered carefully.  </w:t>
      </w:r>
    </w:p>
    <w:p w14:paraId="378C60D3" w14:textId="305FE26D" w:rsidR="002D7532" w:rsidRDefault="00131883" w:rsidP="00D07D53">
      <w:pPr>
        <w:rPr>
          <w:rStyle w:val="bold"/>
          <w:b w:val="0"/>
          <w:bCs/>
        </w:rPr>
      </w:pPr>
      <w:r>
        <w:rPr>
          <w:rStyle w:val="bold"/>
          <w:b w:val="0"/>
          <w:bCs/>
        </w:rPr>
        <w:t xml:space="preserve">Accordingly, no number has been </w:t>
      </w:r>
      <w:r w:rsidR="00C45D8E">
        <w:rPr>
          <w:rStyle w:val="bold"/>
          <w:b w:val="0"/>
          <w:bCs/>
        </w:rPr>
        <w:t xml:space="preserve">given to the redevelopment of holiday parks beyond the specific sies identified in the HELAA. </w:t>
      </w:r>
    </w:p>
    <w:p w14:paraId="2D7E078C" w14:textId="77777777" w:rsidR="00C45D8E" w:rsidRDefault="00C45D8E" w:rsidP="00D07D53">
      <w:pPr>
        <w:rPr>
          <w:rStyle w:val="bold"/>
          <w:b w:val="0"/>
          <w:bCs/>
        </w:rPr>
      </w:pPr>
    </w:p>
    <w:p w14:paraId="1DB7EFE0" w14:textId="03003FA6" w:rsidR="005F628A" w:rsidRDefault="00370791" w:rsidP="00D07D53">
      <w:pPr>
        <w:rPr>
          <w:rStyle w:val="bold"/>
        </w:rPr>
      </w:pPr>
      <w:r>
        <w:rPr>
          <w:rStyle w:val="bold"/>
        </w:rPr>
        <w:t xml:space="preserve">Council car parks </w:t>
      </w:r>
    </w:p>
    <w:p w14:paraId="3B967030" w14:textId="1B8694E3" w:rsidR="005F67DA" w:rsidRDefault="00F921A5" w:rsidP="00D07D53">
      <w:pPr>
        <w:rPr>
          <w:rStyle w:val="bold"/>
          <w:b w:val="0"/>
          <w:bCs/>
        </w:rPr>
      </w:pPr>
      <w:r w:rsidRPr="001040A2">
        <w:rPr>
          <w:rStyle w:val="bold"/>
          <w:b w:val="0"/>
          <w:bCs/>
        </w:rPr>
        <w:t xml:space="preserve">The 2013 SHLAA </w:t>
      </w:r>
      <w:r w:rsidR="001040A2" w:rsidRPr="001040A2">
        <w:rPr>
          <w:rStyle w:val="bold"/>
          <w:b w:val="0"/>
          <w:bCs/>
        </w:rPr>
        <w:t>identified</w:t>
      </w:r>
      <w:r w:rsidR="00F96DCD" w:rsidRPr="001040A2">
        <w:rPr>
          <w:rStyle w:val="bold"/>
          <w:b w:val="0"/>
          <w:bCs/>
        </w:rPr>
        <w:t xml:space="preserve"> a potential yield of </w:t>
      </w:r>
      <w:r w:rsidR="00C71A1E" w:rsidRPr="001040A2">
        <w:rPr>
          <w:rStyle w:val="bold"/>
          <w:b w:val="0"/>
          <w:bCs/>
        </w:rPr>
        <w:t>599 dwellings that could be achieved through the redevelopment of council owned car parks (</w:t>
      </w:r>
      <w:r w:rsidR="001040A2" w:rsidRPr="001040A2">
        <w:rPr>
          <w:rStyle w:val="bold"/>
          <w:b w:val="0"/>
          <w:bCs/>
        </w:rPr>
        <w:t>Section 7.6 and Appendix I).</w:t>
      </w:r>
      <w:r w:rsidR="001040A2">
        <w:rPr>
          <w:rStyle w:val="bold"/>
          <w:b w:val="0"/>
          <w:bCs/>
        </w:rPr>
        <w:t xml:space="preserve"> </w:t>
      </w:r>
      <w:r w:rsidR="00F90D99">
        <w:rPr>
          <w:rStyle w:val="bold"/>
          <w:b w:val="0"/>
          <w:bCs/>
        </w:rPr>
        <w:t>I</w:t>
      </w:r>
      <w:r w:rsidR="00C65EC0">
        <w:rPr>
          <w:rStyle w:val="bold"/>
          <w:b w:val="0"/>
          <w:bCs/>
        </w:rPr>
        <w:t xml:space="preserve">t noted that there </w:t>
      </w:r>
      <w:r w:rsidR="000E4674">
        <w:rPr>
          <w:rStyle w:val="bold"/>
          <w:b w:val="0"/>
          <w:bCs/>
        </w:rPr>
        <w:t>should</w:t>
      </w:r>
      <w:r w:rsidR="00C65EC0">
        <w:rPr>
          <w:rStyle w:val="bold"/>
          <w:b w:val="0"/>
          <w:bCs/>
        </w:rPr>
        <w:t xml:space="preserve"> be a review of the need for car parking.  </w:t>
      </w:r>
      <w:r w:rsidR="00156233">
        <w:rPr>
          <w:rStyle w:val="bold"/>
          <w:b w:val="0"/>
          <w:bCs/>
        </w:rPr>
        <w:t>It is no</w:t>
      </w:r>
      <w:r w:rsidR="00D94D2C">
        <w:rPr>
          <w:rStyle w:val="bold"/>
          <w:b w:val="0"/>
          <w:bCs/>
        </w:rPr>
        <w:t xml:space="preserve">ted that several car park </w:t>
      </w:r>
      <w:r w:rsidR="00D94D2C" w:rsidRPr="38F91EEA">
        <w:rPr>
          <w:rStyle w:val="bold"/>
          <w:b w:val="0"/>
        </w:rPr>
        <w:t>si</w:t>
      </w:r>
      <w:r w:rsidR="1B8E42D3" w:rsidRPr="38F91EEA">
        <w:rPr>
          <w:rStyle w:val="bold"/>
          <w:b w:val="0"/>
        </w:rPr>
        <w:t>t</w:t>
      </w:r>
      <w:r w:rsidR="00D94D2C" w:rsidRPr="38F91EEA">
        <w:rPr>
          <w:rStyle w:val="bold"/>
          <w:b w:val="0"/>
        </w:rPr>
        <w:t>es</w:t>
      </w:r>
      <w:r w:rsidR="00D94D2C">
        <w:rPr>
          <w:rStyle w:val="bold"/>
          <w:b w:val="0"/>
          <w:bCs/>
        </w:rPr>
        <w:t xml:space="preserve"> are allocated/identified for development including Victoria Square Paignton</w:t>
      </w:r>
      <w:r w:rsidR="00746A46">
        <w:rPr>
          <w:rStyle w:val="bold"/>
          <w:b w:val="0"/>
          <w:bCs/>
        </w:rPr>
        <w:t xml:space="preserve"> </w:t>
      </w:r>
      <w:r w:rsidR="000A1F5F">
        <w:rPr>
          <w:rStyle w:val="bold"/>
          <w:b w:val="0"/>
          <w:bCs/>
        </w:rPr>
        <w:t>(PNPH13/ 21P028)</w:t>
      </w:r>
      <w:r w:rsidR="00D94D2C">
        <w:rPr>
          <w:rStyle w:val="bold"/>
          <w:b w:val="0"/>
          <w:bCs/>
        </w:rPr>
        <w:t>,</w:t>
      </w:r>
      <w:r w:rsidR="00091DEC">
        <w:rPr>
          <w:rStyle w:val="bold"/>
          <w:b w:val="0"/>
          <w:bCs/>
        </w:rPr>
        <w:t xml:space="preserve"> Middle Street</w:t>
      </w:r>
      <w:r w:rsidR="00D94D2C">
        <w:rPr>
          <w:rStyle w:val="bold"/>
          <w:b w:val="0"/>
          <w:bCs/>
        </w:rPr>
        <w:t xml:space="preserve"> </w:t>
      </w:r>
      <w:r w:rsidR="00091DEC">
        <w:rPr>
          <w:rStyle w:val="bold"/>
          <w:b w:val="0"/>
          <w:bCs/>
        </w:rPr>
        <w:t xml:space="preserve">Brixham </w:t>
      </w:r>
      <w:r w:rsidR="00442386">
        <w:rPr>
          <w:rStyle w:val="bold"/>
          <w:b w:val="0"/>
          <w:bCs/>
        </w:rPr>
        <w:t>(H1.18/ 21B006)</w:t>
      </w:r>
      <w:r w:rsidR="00091DEC">
        <w:rPr>
          <w:rStyle w:val="bold"/>
          <w:b w:val="0"/>
          <w:bCs/>
        </w:rPr>
        <w:t xml:space="preserve"> and </w:t>
      </w:r>
      <w:r w:rsidR="002D3D5C">
        <w:rPr>
          <w:rStyle w:val="bold"/>
          <w:b w:val="0"/>
          <w:bCs/>
        </w:rPr>
        <w:t>Lower Un</w:t>
      </w:r>
      <w:r w:rsidR="00BA7943">
        <w:rPr>
          <w:rStyle w:val="bold"/>
          <w:b w:val="0"/>
          <w:bCs/>
        </w:rPr>
        <w:t>ion Lane Torquay</w:t>
      </w:r>
      <w:r w:rsidR="0041069F">
        <w:rPr>
          <w:rStyle w:val="bold"/>
          <w:b w:val="0"/>
          <w:bCs/>
        </w:rPr>
        <w:t xml:space="preserve"> (</w:t>
      </w:r>
      <w:r w:rsidR="000912BE">
        <w:rPr>
          <w:rStyle w:val="bold"/>
          <w:b w:val="0"/>
          <w:bCs/>
        </w:rPr>
        <w:t xml:space="preserve">21T010/ </w:t>
      </w:r>
      <w:r w:rsidR="0041069F" w:rsidRPr="00E04C02">
        <w:rPr>
          <w:rStyle w:val="bold"/>
          <w:b w:val="0"/>
        </w:rPr>
        <w:t>PNP</w:t>
      </w:r>
      <w:r w:rsidR="0041069F" w:rsidRPr="00E04C02">
        <w:rPr>
          <w:rStyle w:val="bold"/>
          <w:b w:val="0"/>
          <w:bCs/>
        </w:rPr>
        <w:t>H25</w:t>
      </w:r>
      <w:r w:rsidR="0041069F">
        <w:rPr>
          <w:rStyle w:val="bold"/>
          <w:b w:val="0"/>
          <w:bCs/>
        </w:rPr>
        <w:t>)</w:t>
      </w:r>
      <w:r w:rsidR="009E1410">
        <w:rPr>
          <w:rStyle w:val="bold"/>
          <w:b w:val="0"/>
          <w:bCs/>
        </w:rPr>
        <w:t xml:space="preserve">. </w:t>
      </w:r>
    </w:p>
    <w:p w14:paraId="11514A32" w14:textId="7C0B643C" w:rsidR="009E1410" w:rsidRPr="001040A2" w:rsidRDefault="009E1410" w:rsidP="00D07D53">
      <w:pPr>
        <w:rPr>
          <w:rStyle w:val="bold"/>
          <w:b w:val="0"/>
          <w:bCs/>
        </w:rPr>
      </w:pPr>
      <w:r>
        <w:rPr>
          <w:rStyle w:val="bold"/>
          <w:b w:val="0"/>
          <w:bCs/>
        </w:rPr>
        <w:t xml:space="preserve">However, in addition to this it seems likely that </w:t>
      </w:r>
      <w:r w:rsidR="002E58F0">
        <w:rPr>
          <w:rStyle w:val="bold"/>
          <w:b w:val="0"/>
          <w:bCs/>
        </w:rPr>
        <w:t xml:space="preserve">town centre surface level car parks </w:t>
      </w:r>
      <w:r w:rsidR="00E60527">
        <w:rPr>
          <w:rStyle w:val="bold"/>
          <w:b w:val="0"/>
          <w:bCs/>
        </w:rPr>
        <w:t>c</w:t>
      </w:r>
      <w:r w:rsidR="002E58F0">
        <w:rPr>
          <w:rStyle w:val="bold"/>
          <w:b w:val="0"/>
          <w:bCs/>
        </w:rPr>
        <w:t xml:space="preserve">ould </w:t>
      </w:r>
      <w:r w:rsidR="00E60527">
        <w:rPr>
          <w:rStyle w:val="bold"/>
          <w:b w:val="0"/>
          <w:bCs/>
        </w:rPr>
        <w:t>provide</w:t>
      </w:r>
      <w:r w:rsidR="002E58F0">
        <w:rPr>
          <w:rStyle w:val="bold"/>
          <w:b w:val="0"/>
          <w:bCs/>
        </w:rPr>
        <w:t xml:space="preserve"> </w:t>
      </w:r>
      <w:r w:rsidR="00E60527">
        <w:rPr>
          <w:rStyle w:val="bold"/>
          <w:b w:val="0"/>
          <w:bCs/>
        </w:rPr>
        <w:t>a</w:t>
      </w:r>
      <w:r w:rsidR="000912BE">
        <w:rPr>
          <w:rStyle w:val="bold"/>
          <w:b w:val="0"/>
          <w:bCs/>
        </w:rPr>
        <w:t>n additional</w:t>
      </w:r>
      <w:r w:rsidR="00E60527">
        <w:rPr>
          <w:rStyle w:val="bold"/>
          <w:b w:val="0"/>
          <w:bCs/>
        </w:rPr>
        <w:t xml:space="preserve"> source</w:t>
      </w:r>
      <w:r w:rsidR="00085728">
        <w:rPr>
          <w:rStyle w:val="bold"/>
          <w:b w:val="0"/>
          <w:bCs/>
        </w:rPr>
        <w:t xml:space="preserve"> of brownfield housing</w:t>
      </w:r>
      <w:r w:rsidR="000912BE">
        <w:rPr>
          <w:rStyle w:val="bold"/>
          <w:b w:val="0"/>
          <w:bCs/>
        </w:rPr>
        <w:t>, particularly if</w:t>
      </w:r>
      <w:r w:rsidR="002A112A">
        <w:rPr>
          <w:rStyle w:val="bold"/>
          <w:b w:val="0"/>
          <w:bCs/>
        </w:rPr>
        <w:t xml:space="preserve"> parking is retained at ground floor level.  To avoid double-counting </w:t>
      </w:r>
      <w:r w:rsidR="00223550">
        <w:rPr>
          <w:rStyle w:val="bold"/>
          <w:b w:val="0"/>
          <w:bCs/>
        </w:rPr>
        <w:t xml:space="preserve">car parks that are included in wider regeneration schemes elsewhere in the HELAA, it is suggested that </w:t>
      </w:r>
      <w:r w:rsidR="007B0BC0">
        <w:rPr>
          <w:rStyle w:val="bold"/>
          <w:b w:val="0"/>
          <w:bCs/>
        </w:rPr>
        <w:t>10 dwellings a year could be achieve</w:t>
      </w:r>
      <w:r w:rsidR="002C25D8">
        <w:rPr>
          <w:rStyle w:val="bold"/>
          <w:b w:val="0"/>
          <w:bCs/>
        </w:rPr>
        <w:t xml:space="preserve">d </w:t>
      </w:r>
      <w:r w:rsidR="007B0BC0">
        <w:rPr>
          <w:rStyle w:val="bold"/>
          <w:b w:val="0"/>
          <w:bCs/>
        </w:rPr>
        <w:t>through the reuse of car parks not already given a yield in the HELAA</w:t>
      </w:r>
      <w:r w:rsidR="002C25D8">
        <w:rPr>
          <w:rStyle w:val="bold"/>
          <w:b w:val="0"/>
          <w:bCs/>
        </w:rPr>
        <w:t xml:space="preserve">, </w:t>
      </w:r>
      <w:r w:rsidR="002E4D2B">
        <w:rPr>
          <w:rStyle w:val="bold"/>
          <w:b w:val="0"/>
          <w:bCs/>
        </w:rPr>
        <w:t>i.e.,</w:t>
      </w:r>
      <w:r w:rsidR="002C25D8">
        <w:rPr>
          <w:rStyle w:val="bold"/>
          <w:b w:val="0"/>
          <w:bCs/>
        </w:rPr>
        <w:t xml:space="preserve"> 100 over a </w:t>
      </w:r>
      <w:r w:rsidR="002E4D2B">
        <w:rPr>
          <w:rStyle w:val="bold"/>
          <w:b w:val="0"/>
          <w:bCs/>
        </w:rPr>
        <w:t>10-year</w:t>
      </w:r>
      <w:r w:rsidR="002C25D8">
        <w:rPr>
          <w:rStyle w:val="bold"/>
          <w:b w:val="0"/>
          <w:bCs/>
        </w:rPr>
        <w:t xml:space="preserve"> period. </w:t>
      </w:r>
    </w:p>
    <w:p w14:paraId="0E28BECE" w14:textId="3E575900" w:rsidR="00106CFE" w:rsidRPr="008E5F4E" w:rsidRDefault="00106CFE" w:rsidP="00D07D53">
      <w:pPr>
        <w:rPr>
          <w:b/>
          <w:bCs/>
        </w:rPr>
      </w:pPr>
    </w:p>
    <w:p w14:paraId="37FE1B82" w14:textId="16B0C192" w:rsidR="008E5F4E" w:rsidRDefault="008E5F4E" w:rsidP="00D07D53">
      <w:pPr>
        <w:rPr>
          <w:b/>
          <w:bCs/>
        </w:rPr>
      </w:pPr>
      <w:r w:rsidRPr="008E5F4E">
        <w:rPr>
          <w:b/>
          <w:bCs/>
        </w:rPr>
        <w:t xml:space="preserve">Conservation Areas </w:t>
      </w:r>
    </w:p>
    <w:p w14:paraId="0DEBDEF1" w14:textId="5C1155BF" w:rsidR="004443DB" w:rsidRDefault="008A3E9B" w:rsidP="00D07D53">
      <w:r>
        <w:t>The 2013 SHLAA considered the possibility of densifying conservation areas, particul</w:t>
      </w:r>
      <w:r w:rsidR="00FA2904">
        <w:t xml:space="preserve">arly the Warberries and </w:t>
      </w:r>
      <w:r w:rsidR="0007377C">
        <w:t>Lincombes (</w:t>
      </w:r>
      <w:r w:rsidR="00EE461C">
        <w:t>section 7.2)</w:t>
      </w:r>
      <w:r w:rsidR="000616B2">
        <w:t xml:space="preserve">, but </w:t>
      </w:r>
      <w:r w:rsidR="00EE461C">
        <w:t xml:space="preserve">rejected this due to its impact on the character of these areas. </w:t>
      </w:r>
      <w:r w:rsidR="0027161C">
        <w:t xml:space="preserve"> </w:t>
      </w:r>
      <w:r w:rsidR="004662B0">
        <w:t xml:space="preserve">The NPPF and </w:t>
      </w:r>
      <w:r w:rsidR="00B606F9">
        <w:t>separate legislation</w:t>
      </w:r>
      <w:r w:rsidR="00386249">
        <w:rPr>
          <w:rStyle w:val="FootnoteReference"/>
        </w:rPr>
        <w:footnoteReference w:id="8"/>
      </w:r>
      <w:r w:rsidR="00B606F9">
        <w:t xml:space="preserve"> provide protection for conservation areas and other heritage assets. </w:t>
      </w:r>
      <w:r w:rsidR="00386249">
        <w:t xml:space="preserve"> Where sites have previously been considered for redevelopment, they have been reassessed in the HELAA</w:t>
      </w:r>
      <w:r w:rsidR="00330278">
        <w:t xml:space="preserve"> and their heritage value is considered as part of this assessment.  In addition to the </w:t>
      </w:r>
      <w:r w:rsidR="00463952">
        <w:t xml:space="preserve">heritage issues, there would be very significant site assembly issues </w:t>
      </w:r>
      <w:r w:rsidR="000B74D1">
        <w:t xml:space="preserve">with a policy of densifying conservation areas, and the </w:t>
      </w:r>
      <w:r w:rsidR="00AA43F9">
        <w:t xml:space="preserve">Local Planning Authority’s focus is most likely to be on sites </w:t>
      </w:r>
      <w:r w:rsidR="004443DB">
        <w:t xml:space="preserve">within the town centres.  </w:t>
      </w:r>
    </w:p>
    <w:p w14:paraId="15FEB437" w14:textId="3F122C0B" w:rsidR="00C45D8E" w:rsidRPr="00C45D8E" w:rsidRDefault="004443DB" w:rsidP="00D07D53">
      <w:r>
        <w:t>Accordingly, no addi</w:t>
      </w:r>
      <w:r w:rsidR="00D42F67">
        <w:t>ti</w:t>
      </w:r>
      <w:r>
        <w:t xml:space="preserve">onal yield has been </w:t>
      </w:r>
      <w:r w:rsidR="00D42F67">
        <w:t xml:space="preserve">given in the HELAA, consistent with the 2008 and 2013 SHLAAs. </w:t>
      </w:r>
    </w:p>
    <w:p w14:paraId="73FCB015" w14:textId="77777777" w:rsidR="00411174" w:rsidRDefault="00411174" w:rsidP="00D07D53">
      <w:pPr>
        <w:rPr>
          <w:b/>
          <w:bCs/>
        </w:rPr>
      </w:pPr>
    </w:p>
    <w:p w14:paraId="0D91C638" w14:textId="1FE634CA" w:rsidR="00106CFE" w:rsidRDefault="00103B7C" w:rsidP="00D07D53">
      <w:pPr>
        <w:rPr>
          <w:b/>
          <w:bCs/>
        </w:rPr>
      </w:pPr>
      <w:r w:rsidRPr="00103B7C">
        <w:rPr>
          <w:b/>
          <w:bCs/>
        </w:rPr>
        <w:t xml:space="preserve">Increase densities </w:t>
      </w:r>
    </w:p>
    <w:p w14:paraId="27A20B21" w14:textId="6B651305" w:rsidR="007B4765" w:rsidRDefault="00B57DE2" w:rsidP="00D07D53">
      <w:r w:rsidRPr="00B62618">
        <w:t xml:space="preserve">As </w:t>
      </w:r>
      <w:r w:rsidR="001E402E" w:rsidRPr="00B62618">
        <w:t xml:space="preserve">noted above, the HELAA has sought to give a realistic site yield </w:t>
      </w:r>
      <w:r w:rsidR="00B60B2F" w:rsidRPr="00B62618">
        <w:t>based primarily on a desktop assessment</w:t>
      </w:r>
      <w:r w:rsidR="008F2201">
        <w:t xml:space="preserve"> and officer knowledge and site visits to key sites</w:t>
      </w:r>
      <w:r w:rsidR="00F63FF8">
        <w:t>/broad locations</w:t>
      </w:r>
      <w:r w:rsidR="00B60B2F" w:rsidRPr="00B62618">
        <w:t xml:space="preserve">. </w:t>
      </w:r>
      <w:r w:rsidR="00951C0B">
        <w:t xml:space="preserve"> </w:t>
      </w:r>
      <w:r w:rsidR="007B4765">
        <w:t xml:space="preserve">A starting point of 20 dwellings a </w:t>
      </w:r>
      <w:r w:rsidR="00A31986">
        <w:t>hectare for sensitive locations and 40 for less sensitive greenfield locations has been used.</w:t>
      </w:r>
      <w:r w:rsidR="00F35DE5">
        <w:t xml:space="preserve">  </w:t>
      </w:r>
      <w:r w:rsidR="000E1A14">
        <w:t xml:space="preserve">This is consistent with </w:t>
      </w:r>
      <w:r w:rsidR="004A629D">
        <w:t xml:space="preserve">neighbouring authorities’ HELAAs.   </w:t>
      </w:r>
    </w:p>
    <w:p w14:paraId="40E36E12" w14:textId="58ADB133" w:rsidR="00AD0381" w:rsidRDefault="006B0095" w:rsidP="00D07D53">
      <w:r>
        <w:t xml:space="preserve">Applying higher </w:t>
      </w:r>
      <w:r w:rsidR="00F36DE1">
        <w:t xml:space="preserve">densities to greenfield sites is unlikely to encourage higher quality development.  The HELAA Panels noted that the demand is for houses </w:t>
      </w:r>
      <w:r w:rsidR="002E693A">
        <w:t xml:space="preserve">rather than apartments, and shortage of parking in some recent developments is cited by the Police Architectural Liaison Officer as a source of community tension. </w:t>
      </w:r>
    </w:p>
    <w:p w14:paraId="5272A2BF" w14:textId="18E7FE7D" w:rsidR="00852022" w:rsidRDefault="004A629D" w:rsidP="00D07D53">
      <w:r>
        <w:t>The</w:t>
      </w:r>
      <w:r w:rsidR="006B0095">
        <w:t>re may well be scope to significantly increase town centre densit</w:t>
      </w:r>
      <w:r w:rsidR="002217DD">
        <w:t>i</w:t>
      </w:r>
      <w:r w:rsidR="006B0095">
        <w:t>es</w:t>
      </w:r>
      <w:r w:rsidR="00C55E7F">
        <w:t>, and the HELAA</w:t>
      </w:r>
      <w:r w:rsidR="007D3E36">
        <w:t xml:space="preserve"> </w:t>
      </w:r>
      <w:r w:rsidR="00806756">
        <w:t xml:space="preserve">assumes that around 75 dwellings per hectare </w:t>
      </w:r>
      <w:r w:rsidR="000C43CD">
        <w:t xml:space="preserve">is suitable </w:t>
      </w:r>
      <w:r w:rsidR="00806756">
        <w:t xml:space="preserve">in town centres. </w:t>
      </w:r>
      <w:r w:rsidR="00C93259">
        <w:t xml:space="preserve"> </w:t>
      </w:r>
      <w:r w:rsidR="006C56CD">
        <w:t>There could be scope to increase the yield on such sites</w:t>
      </w:r>
      <w:r w:rsidR="00672550">
        <w:t xml:space="preserve">, particularly if </w:t>
      </w:r>
      <w:r w:rsidR="00B82EA3">
        <w:t>Policy DE4 of the Local Plan were relaxed</w:t>
      </w:r>
      <w:r w:rsidR="009A0641">
        <w:t xml:space="preserve"> to encourage taller buildings.</w:t>
      </w:r>
      <w:r w:rsidR="009439A0">
        <w:t xml:space="preserve">  </w:t>
      </w:r>
      <w:r w:rsidR="00852022">
        <w:t xml:space="preserve">In </w:t>
      </w:r>
      <w:r w:rsidR="00E019A8">
        <w:t xml:space="preserve">some instances, additional floors can be built </w:t>
      </w:r>
      <w:r w:rsidR="006508F4">
        <w:t>abov</w:t>
      </w:r>
      <w:r w:rsidR="005E3672">
        <w:t xml:space="preserve">e flats </w:t>
      </w:r>
      <w:r w:rsidR="00E019A8">
        <w:t>under permitted development</w:t>
      </w:r>
      <w:r w:rsidR="00B83F16">
        <w:t xml:space="preserve">. </w:t>
      </w:r>
    </w:p>
    <w:p w14:paraId="11771167" w14:textId="171AC287" w:rsidR="00DE5511" w:rsidRDefault="00CD4F3A" w:rsidP="00D07D53">
      <w:r>
        <w:t xml:space="preserve">Such an approach would need to be weighed up against </w:t>
      </w:r>
      <w:r w:rsidR="00211AEB">
        <w:t>the</w:t>
      </w:r>
      <w:r w:rsidR="00FC7308">
        <w:t xml:space="preserve"> </w:t>
      </w:r>
      <w:r w:rsidR="00211AEB">
        <w:t xml:space="preserve">impact on conservation areas and other heritage assets, as well as the residential amenity of </w:t>
      </w:r>
      <w:r w:rsidR="00FC7308">
        <w:t xml:space="preserve">neighbours.  Such an approach will also not provide family housing and </w:t>
      </w:r>
      <w:r w:rsidR="00524053">
        <w:t xml:space="preserve">many sites have complex site assembly or infrastructure issues. </w:t>
      </w:r>
      <w:r w:rsidR="00604AE1">
        <w:t xml:space="preserve"> Construction costs increase dramatically for development</w:t>
      </w:r>
      <w:r w:rsidR="00F80653">
        <w:t xml:space="preserve"> </w:t>
      </w:r>
      <w:r w:rsidR="00604AE1">
        <w:t xml:space="preserve">of more than 4 storeys, which the Panels advised was a constraint to just </w:t>
      </w:r>
      <w:r w:rsidR="0060307E">
        <w:t xml:space="preserve">going up. </w:t>
      </w:r>
      <w:r w:rsidR="00524053">
        <w:t xml:space="preserve"> </w:t>
      </w:r>
      <w:r w:rsidR="00076F63">
        <w:t>Urban regeneration schemes have not all been easy under the current development plan</w:t>
      </w:r>
      <w:r w:rsidR="000A55ED">
        <w:t>, for example the Pavilion Torquay</w:t>
      </w:r>
      <w:r w:rsidR="00D7293A">
        <w:rPr>
          <w:rStyle w:val="FootnoteReference"/>
        </w:rPr>
        <w:footnoteReference w:id="9"/>
      </w:r>
      <w:r w:rsidR="00D7293A">
        <w:t>.</w:t>
      </w:r>
      <w:r w:rsidR="00DE5511">
        <w:t xml:space="preserve"> </w:t>
      </w:r>
    </w:p>
    <w:p w14:paraId="76FFD512" w14:textId="7EC55D25" w:rsidR="001D3093" w:rsidRDefault="008B6DC4" w:rsidP="00D07D53">
      <w:r>
        <w:t xml:space="preserve">The HELAA has assessed </w:t>
      </w:r>
      <w:r w:rsidR="004D26C6">
        <w:t xml:space="preserve">urban regeneration sites, and some of these could have scope to </w:t>
      </w:r>
      <w:r w:rsidR="006076DC">
        <w:t xml:space="preserve">provide tall buildings, particularly where sea views etc could increase demand </w:t>
      </w:r>
      <w:r w:rsidR="001D3093">
        <w:t>for apartments as part of mixed</w:t>
      </w:r>
      <w:r w:rsidR="00F80653">
        <w:t>-</w:t>
      </w:r>
      <w:r w:rsidR="001D3093">
        <w:t xml:space="preserve">use developments. </w:t>
      </w:r>
      <w:r w:rsidR="00EB2659">
        <w:t>This is reflected in the HELAA proformas.</w:t>
      </w:r>
      <w:r w:rsidR="00C71A33">
        <w:t xml:space="preserve"> </w:t>
      </w:r>
      <w:r w:rsidR="001D3093">
        <w:t xml:space="preserve"> Such landmark building</w:t>
      </w:r>
      <w:r w:rsidR="00F80653">
        <w:t xml:space="preserve">s take time to achieve. </w:t>
      </w:r>
      <w:r w:rsidR="001D3093">
        <w:t xml:space="preserve"> </w:t>
      </w:r>
    </w:p>
    <w:p w14:paraId="3B9C9C8B" w14:textId="27255E24" w:rsidR="00C71A33" w:rsidRDefault="00C71A33" w:rsidP="00D07D53"/>
    <w:p w14:paraId="5F99612B" w14:textId="666A15F8" w:rsidR="00604AE1" w:rsidRPr="00604AE1" w:rsidRDefault="00604AE1" w:rsidP="00D07D53">
      <w:pPr>
        <w:rPr>
          <w:b/>
          <w:bCs/>
        </w:rPr>
      </w:pPr>
      <w:r w:rsidRPr="00604AE1">
        <w:rPr>
          <w:b/>
          <w:bCs/>
        </w:rPr>
        <w:t>Reducing Town Centre</w:t>
      </w:r>
      <w:r w:rsidR="007124D2">
        <w:rPr>
          <w:b/>
          <w:bCs/>
        </w:rPr>
        <w:t xml:space="preserve"> Boundaries </w:t>
      </w:r>
      <w:r w:rsidRPr="00604AE1">
        <w:rPr>
          <w:b/>
          <w:bCs/>
        </w:rPr>
        <w:t xml:space="preserve"> </w:t>
      </w:r>
    </w:p>
    <w:p w14:paraId="211F44EF" w14:textId="4428CF09" w:rsidR="008B57F1" w:rsidRDefault="002033F1" w:rsidP="00D07D53">
      <w:r>
        <w:t xml:space="preserve">Retail </w:t>
      </w:r>
      <w:r w:rsidR="00446664">
        <w:t>has changed significantly since the 2013 SHLAA</w:t>
      </w:r>
      <w:r w:rsidR="00DD73DB">
        <w:t>.</w:t>
      </w:r>
      <w:r w:rsidR="0073502D">
        <w:t xml:space="preserve">  The introduction of a broad </w:t>
      </w:r>
      <w:r w:rsidR="003F3F83">
        <w:t xml:space="preserve">commercial </w:t>
      </w:r>
      <w:r w:rsidR="0073502D">
        <w:t xml:space="preserve">Class E </w:t>
      </w:r>
      <w:r w:rsidR="003F3F83">
        <w:t xml:space="preserve">and </w:t>
      </w:r>
      <w:r w:rsidR="00A43302">
        <w:t xml:space="preserve">extension of permitted development/prior approval </w:t>
      </w:r>
      <w:r w:rsidR="008B78CE">
        <w:t xml:space="preserve">rights has introduced additional flexibility into town centres. However, most dwellings to come from these sources are likely to be windfalls, and will be apartments rather than </w:t>
      </w:r>
      <w:r w:rsidR="00A63C74">
        <w:t>houses.  “</w:t>
      </w:r>
      <w:r w:rsidR="3F937DFD">
        <w:t>L</w:t>
      </w:r>
      <w:r w:rsidR="00A63C74">
        <w:t>iving abo</w:t>
      </w:r>
      <w:r w:rsidR="004A0E7E">
        <w:t>ve</w:t>
      </w:r>
      <w:r w:rsidR="00A63C74">
        <w:t xml:space="preserve"> the shop” type initiatives have been around for many years, and </w:t>
      </w:r>
      <w:r w:rsidR="001A3424">
        <w:t xml:space="preserve">the limited take up reflects design, </w:t>
      </w:r>
      <w:proofErr w:type="gramStart"/>
      <w:r w:rsidR="008B57F1">
        <w:t>access</w:t>
      </w:r>
      <w:proofErr w:type="gramEnd"/>
      <w:r w:rsidR="008B57F1">
        <w:t xml:space="preserve"> and similar complexities. </w:t>
      </w:r>
    </w:p>
    <w:p w14:paraId="0C71C8FE" w14:textId="5DF26C2B" w:rsidR="003E5683" w:rsidRPr="00B62618" w:rsidRDefault="003E5683" w:rsidP="00D07D53">
      <w:r>
        <w:t xml:space="preserve">The existing Local Plan does contain significant town centre redevelopment </w:t>
      </w:r>
      <w:r w:rsidR="00C9684A">
        <w:t>proposals,</w:t>
      </w:r>
      <w:r>
        <w:t xml:space="preserve"> </w:t>
      </w:r>
      <w:r w:rsidR="00A6295B">
        <w:t xml:space="preserve">and these are </w:t>
      </w:r>
      <w:r w:rsidR="00B9764E">
        <w:t>recorded in the HELAA</w:t>
      </w:r>
      <w:r w:rsidR="00373B09">
        <w:t xml:space="preserve">.  An option for the Local Plan Update would </w:t>
      </w:r>
      <w:r w:rsidR="00885130">
        <w:t xml:space="preserve">be to </w:t>
      </w:r>
      <w:r w:rsidR="001450AB">
        <w:t xml:space="preserve">significantly draw back town centre areas and allow ground floor residential use.  Comprehensive town centre developments take many years </w:t>
      </w:r>
      <w:r w:rsidR="00D1582F">
        <w:t xml:space="preserve">and </w:t>
      </w:r>
      <w:r w:rsidR="005A3493">
        <w:t xml:space="preserve">involve complex land ownership issues.  Incremental change is therefore more likely. </w:t>
      </w:r>
      <w:r w:rsidR="004D578D">
        <w:t xml:space="preserve">Nevertheless, it seems likely that a drawing back of town centre boundaries to allow redevelopment could increase housing supply in </w:t>
      </w:r>
      <w:r w:rsidR="00BB2B5A">
        <w:t xml:space="preserve">sustainable locations.  </w:t>
      </w:r>
      <w:r w:rsidR="005A3493">
        <w:t xml:space="preserve">  </w:t>
      </w:r>
    </w:p>
    <w:p w14:paraId="178FB030" w14:textId="1CC136C2" w:rsidR="00727D37" w:rsidRDefault="00727D37" w:rsidP="00727D37">
      <w:r>
        <w:t>The forthcoming Retail Study being carried out by Avison Youn</w:t>
      </w:r>
      <w:r w:rsidR="00436ECA">
        <w:t xml:space="preserve">g will provide further advice about the scope to reduce town centre boundaries. </w:t>
      </w:r>
    </w:p>
    <w:p w14:paraId="34D0CA77" w14:textId="407049AD" w:rsidR="00C45D8E" w:rsidRDefault="00E746C9" w:rsidP="00D07D53">
      <w:r>
        <w:t xml:space="preserve">A hypothetical </w:t>
      </w:r>
      <w:r w:rsidR="006F4AC3">
        <w:t xml:space="preserve">yield of </w:t>
      </w:r>
      <w:r w:rsidR="00F41935">
        <w:t>1</w:t>
      </w:r>
      <w:r w:rsidR="006F4AC3">
        <w:t xml:space="preserve">0 dwellings a year is suggested, although this will need to </w:t>
      </w:r>
      <w:r w:rsidR="00300965">
        <w:t>be kept</w:t>
      </w:r>
      <w:r w:rsidR="0001327D">
        <w:t xml:space="preserve"> under review and care taken not to double count with windfalls. </w:t>
      </w:r>
      <w:r w:rsidR="00727D37">
        <w:t xml:space="preserve"> </w:t>
      </w:r>
    </w:p>
    <w:p w14:paraId="7C273F12" w14:textId="08ABA029" w:rsidR="00C219DF" w:rsidRDefault="00C219DF" w:rsidP="00D07D53"/>
    <w:p w14:paraId="3B2BF9DF" w14:textId="22A9E10E" w:rsidR="00C219DF" w:rsidRDefault="00C219DF" w:rsidP="00D07D53">
      <w:pPr>
        <w:rPr>
          <w:b/>
          <w:bCs/>
        </w:rPr>
      </w:pPr>
      <w:r w:rsidRPr="00C219DF">
        <w:rPr>
          <w:b/>
          <w:bCs/>
        </w:rPr>
        <w:t xml:space="preserve">Review of Employment Land </w:t>
      </w:r>
    </w:p>
    <w:p w14:paraId="6A2B87E9" w14:textId="2DF02276" w:rsidR="00C219DF" w:rsidRDefault="00C219DF" w:rsidP="00D07D53">
      <w:r>
        <w:t xml:space="preserve">Notwithstanding the </w:t>
      </w:r>
      <w:r w:rsidR="00867A2F">
        <w:t xml:space="preserve">existence of permitted development rights to change </w:t>
      </w:r>
      <w:r w:rsidR="00C9684A">
        <w:t>some (</w:t>
      </w:r>
      <w:r w:rsidR="00024A0E">
        <w:t>for</w:t>
      </w:r>
      <w:r w:rsidR="00EC0681">
        <w:t xml:space="preserve">mer Class B) </w:t>
      </w:r>
      <w:r w:rsidR="00867A2F">
        <w:t xml:space="preserve">employment </w:t>
      </w:r>
      <w:r w:rsidR="00E11CDB">
        <w:t xml:space="preserve">uses into residential, </w:t>
      </w:r>
      <w:r w:rsidR="00892730">
        <w:t>there is</w:t>
      </w:r>
      <w:r w:rsidR="00B05FF7">
        <w:t xml:space="preserve"> </w:t>
      </w:r>
      <w:r w:rsidR="00892730">
        <w:t>conce</w:t>
      </w:r>
      <w:r w:rsidR="00B05FF7">
        <w:t>rn form the TDA about insufficient serviced employment land in Torbay</w:t>
      </w:r>
      <w:r w:rsidR="00C22BF4">
        <w:t xml:space="preserve">.  The number of workplace jobs in Torbay has been </w:t>
      </w:r>
      <w:r w:rsidR="009E1B58">
        <w:t xml:space="preserve">relatively static </w:t>
      </w:r>
      <w:r w:rsidR="00383882">
        <w:t>at about</w:t>
      </w:r>
      <w:r w:rsidR="009E1B58">
        <w:t xml:space="preserve"> 59,000 since </w:t>
      </w:r>
      <w:r w:rsidR="00647F35">
        <w:t>2000, despite growth in the</w:t>
      </w:r>
      <w:r w:rsidR="000F57A9">
        <w:t xml:space="preserve"> overall </w:t>
      </w:r>
      <w:r w:rsidR="00647F35">
        <w:t xml:space="preserve">population.   The most </w:t>
      </w:r>
      <w:r w:rsidR="00811589">
        <w:t>significant</w:t>
      </w:r>
      <w:r w:rsidR="00647F35">
        <w:t xml:space="preserve"> housing sites </w:t>
      </w:r>
      <w:r w:rsidR="00FE138E">
        <w:t>developed in the Twenty-teens</w:t>
      </w:r>
      <w:r w:rsidR="00701609">
        <w:t xml:space="preserve"> were </w:t>
      </w:r>
      <w:r w:rsidR="00FE138E">
        <w:t xml:space="preserve">formerly allocated for employment </w:t>
      </w:r>
      <w:r w:rsidR="00811589">
        <w:t>development in</w:t>
      </w:r>
      <w:r w:rsidR="00FE138E">
        <w:t xml:space="preserve"> the previous Local Plan </w:t>
      </w:r>
      <w:r w:rsidR="00811589">
        <w:t>(1995-2011).</w:t>
      </w:r>
      <w:r w:rsidR="00703538">
        <w:t xml:space="preserve">  This includes Yalberton Road/Wilkins Drive</w:t>
      </w:r>
      <w:r w:rsidR="006E145C">
        <w:t>/</w:t>
      </w:r>
      <w:r w:rsidR="00703538">
        <w:t>Berry Ac</w:t>
      </w:r>
      <w:r w:rsidR="006E145C">
        <w:t>r</w:t>
      </w:r>
      <w:r w:rsidR="00703538">
        <w:t>es</w:t>
      </w:r>
      <w:r w:rsidR="00EC0681">
        <w:t xml:space="preserve">, </w:t>
      </w:r>
      <w:r w:rsidR="00006877">
        <w:t>Devonshire Park</w:t>
      </w:r>
      <w:r w:rsidR="00703538">
        <w:t xml:space="preserve"> </w:t>
      </w:r>
      <w:r w:rsidR="006E145C">
        <w:t xml:space="preserve">and </w:t>
      </w:r>
      <w:r w:rsidR="00383882">
        <w:t>White Rock</w:t>
      </w:r>
      <w:r w:rsidR="006E145C">
        <w:t xml:space="preserve">. </w:t>
      </w:r>
      <w:r w:rsidR="00006877">
        <w:t xml:space="preserve"> This was the “dividend” from the </w:t>
      </w:r>
      <w:r w:rsidR="001A3F79">
        <w:t xml:space="preserve">substantial </w:t>
      </w:r>
      <w:r w:rsidR="00006877">
        <w:t>deindustrialisation of Torbay in the early 2000s</w:t>
      </w:r>
      <w:r w:rsidR="005B1DF1">
        <w:t xml:space="preserve">.  </w:t>
      </w:r>
      <w:r w:rsidR="00006877">
        <w:t xml:space="preserve"> </w:t>
      </w:r>
    </w:p>
    <w:p w14:paraId="1966B25B" w14:textId="1671BD09" w:rsidR="00CF2E77" w:rsidRDefault="00701609" w:rsidP="00D07D53">
      <w:r>
        <w:t xml:space="preserve">The conversion of smaller “lock-ups” etc. for housing would generally </w:t>
      </w:r>
      <w:r w:rsidR="000334E9">
        <w:t xml:space="preserve">provide windfall housing.  There is concern about the </w:t>
      </w:r>
      <w:r w:rsidR="009F388A">
        <w:t>quality</w:t>
      </w:r>
      <w:r w:rsidR="000334E9">
        <w:t xml:space="preserve"> of the accommodation that this provides as well as the loss of </w:t>
      </w:r>
      <w:r w:rsidR="009F388A">
        <w:t xml:space="preserve">small premises. </w:t>
      </w:r>
    </w:p>
    <w:p w14:paraId="4EEB0829" w14:textId="6BE29CB0" w:rsidR="00054014" w:rsidRDefault="009F388A" w:rsidP="00D07D53">
      <w:r>
        <w:t xml:space="preserve">Based on advice from the TDA, the </w:t>
      </w:r>
      <w:r w:rsidR="00024A0E">
        <w:t xml:space="preserve">further reduction in employment spaces is not likely to provide a significant source of new housing </w:t>
      </w:r>
      <w:r w:rsidR="00EC0681">
        <w:t>in the HELAA</w:t>
      </w:r>
      <w:r w:rsidR="005B1DF1">
        <w:t xml:space="preserve">. </w:t>
      </w:r>
      <w:r w:rsidR="00C9684A">
        <w:t>Indeed,</w:t>
      </w:r>
      <w:r w:rsidR="005B1DF1">
        <w:t xml:space="preserve"> the </w:t>
      </w:r>
      <w:r w:rsidR="00850ABA">
        <w:t xml:space="preserve">Local Plan seeks to provide an element of employment uses on major sites </w:t>
      </w:r>
      <w:r w:rsidR="00537508">
        <w:t xml:space="preserve">as part of mixed use development.  </w:t>
      </w:r>
    </w:p>
    <w:p w14:paraId="1B3B9E8A" w14:textId="77777777" w:rsidR="005D3097" w:rsidRDefault="005D3097" w:rsidP="00D07D53">
      <w:pPr>
        <w:rPr>
          <w:b/>
          <w:bCs/>
        </w:rPr>
      </w:pPr>
    </w:p>
    <w:p w14:paraId="34E166B2" w14:textId="593DC8BB" w:rsidR="00054014" w:rsidRPr="00054014" w:rsidRDefault="00054014" w:rsidP="00D07D53">
      <w:pPr>
        <w:rPr>
          <w:b/>
          <w:bCs/>
        </w:rPr>
      </w:pPr>
      <w:r w:rsidRPr="00054014">
        <w:rPr>
          <w:b/>
          <w:bCs/>
        </w:rPr>
        <w:t>Specialist Accommodation</w:t>
      </w:r>
      <w:r w:rsidR="003D3EF0">
        <w:rPr>
          <w:b/>
          <w:bCs/>
        </w:rPr>
        <w:t xml:space="preserve"> </w:t>
      </w:r>
    </w:p>
    <w:p w14:paraId="5A84EE9E" w14:textId="3094D43B" w:rsidR="00054014" w:rsidRDefault="00860912" w:rsidP="00D07D53">
      <w:r>
        <w:t xml:space="preserve">Torbay has a significantly </w:t>
      </w:r>
      <w:r w:rsidR="006E50CC">
        <w:t xml:space="preserve">older population than the national average, and this is forecast to increase. </w:t>
      </w:r>
      <w:r w:rsidR="009B7872">
        <w:t>Whils</w:t>
      </w:r>
      <w:r w:rsidR="006538D2">
        <w:t>t t</w:t>
      </w:r>
      <w:r w:rsidR="00B91EBF">
        <w:t>here is a policy to minimise the use of class C2 Care Homes</w:t>
      </w:r>
      <w:r w:rsidR="00577CBD">
        <w:t>, a range of specialist accommodation can help peo</w:t>
      </w:r>
      <w:r w:rsidR="00F971F6">
        <w:t xml:space="preserve">ple live independent lives for longer. Such accommodation can frequently be provided at higher densities than </w:t>
      </w:r>
      <w:r w:rsidR="00CF2E77">
        <w:t xml:space="preserve">general needs dwellings, and can </w:t>
      </w:r>
      <w:r w:rsidR="00537508">
        <w:t>assist</w:t>
      </w:r>
      <w:r w:rsidR="00CF2E77">
        <w:t xml:space="preserve"> people </w:t>
      </w:r>
      <w:r w:rsidR="6F8D02E0">
        <w:t>to</w:t>
      </w:r>
      <w:r w:rsidR="00CF2E77">
        <w:t xml:space="preserve"> “downsize” and thereby free up other housing.  </w:t>
      </w:r>
    </w:p>
    <w:p w14:paraId="2DE197C7" w14:textId="08A92A76" w:rsidR="00EF52F7" w:rsidRDefault="00D965F3" w:rsidP="00D07D53">
      <w:r>
        <w:t xml:space="preserve">As part of the Council’s “Duty to Cooperate” </w:t>
      </w:r>
      <w:r w:rsidR="00750665">
        <w:t xml:space="preserve">with neighbours, a policy of increasing the provision of specialist accommodation could </w:t>
      </w:r>
      <w:r w:rsidR="00150382">
        <w:t xml:space="preserve">be offered to meet wider needs, in return for some of Torbay’s generalised need being met by neighbours.  </w:t>
      </w:r>
    </w:p>
    <w:p w14:paraId="466665F6" w14:textId="20F0EF95" w:rsidR="00CF2E77" w:rsidRPr="00C219DF" w:rsidRDefault="00150382" w:rsidP="00D07D53">
      <w:r w:rsidRPr="00B20B31">
        <w:t xml:space="preserve">There are drawbacks with this approach.  For </w:t>
      </w:r>
      <w:r w:rsidR="00F77426" w:rsidRPr="00B20B31">
        <w:t xml:space="preserve">individuals and families there is often a reluctance to give up the “family home” particularly </w:t>
      </w:r>
      <w:r w:rsidR="00975A59" w:rsidRPr="00B20B31">
        <w:t xml:space="preserve">when houses are a valuable and </w:t>
      </w:r>
      <w:r w:rsidR="00937EB1" w:rsidRPr="00B20B31">
        <w:t>rising asset.  At a council level there are the implications of increasing s</w:t>
      </w:r>
      <w:r w:rsidR="00B20B31" w:rsidRPr="00B20B31">
        <w:t>ocial care costs associated with an aging population</w:t>
      </w:r>
      <w:r w:rsidR="00F80653" w:rsidRPr="005B6571">
        <w:t>.  There are also questions ab</w:t>
      </w:r>
      <w:r w:rsidR="00467B4B" w:rsidRPr="005B6571">
        <w:t xml:space="preserve">out whether the approach will genuinely free up housing for younger people, or whether it will increase the </w:t>
      </w:r>
      <w:r w:rsidR="005B6571">
        <w:t xml:space="preserve">already aging demographic profile.  </w:t>
      </w:r>
      <w:r w:rsidR="00D87771">
        <w:t xml:space="preserve">There are also issues about how far specialist accommodation </w:t>
      </w:r>
      <w:r w:rsidR="005C0557">
        <w:t xml:space="preserve">provides affordable housing and other contributions. </w:t>
      </w:r>
    </w:p>
    <w:p w14:paraId="1814C697" w14:textId="49A5A87E" w:rsidR="00D07D53" w:rsidRDefault="00FC6292" w:rsidP="00D07D53">
      <w:pPr>
        <w:pStyle w:val="Heading2"/>
      </w:pPr>
      <w:r>
        <w:t xml:space="preserve">Summary </w:t>
      </w:r>
      <w:r w:rsidR="00A073CD">
        <w:t xml:space="preserve">of </w:t>
      </w:r>
      <w:r w:rsidR="00AC7CE6">
        <w:t xml:space="preserve">Main Findings </w:t>
      </w:r>
    </w:p>
    <w:p w14:paraId="7801B9FA" w14:textId="0C29B542" w:rsidR="00AC7CE6" w:rsidRDefault="00AC7CE6" w:rsidP="00AC7CE6"/>
    <w:p w14:paraId="371B559B" w14:textId="4EF722AC" w:rsidR="00E571BE" w:rsidRDefault="002E2357" w:rsidP="00AC7CE6">
      <w:r>
        <w:t xml:space="preserve">The HELAA has </w:t>
      </w:r>
      <w:r w:rsidR="00552DBA">
        <w:t>sought to assess sources of housing land from identified sites</w:t>
      </w:r>
      <w:r w:rsidR="005C0557">
        <w:t xml:space="preserve"> and broad locations.  </w:t>
      </w:r>
      <w:r w:rsidR="005C64B5">
        <w:t xml:space="preserve">It has also sought to assess </w:t>
      </w:r>
      <w:r w:rsidR="00863481">
        <w:t xml:space="preserve">options for boosting supply within the built up area.  </w:t>
      </w:r>
      <w:r w:rsidR="00A476F7">
        <w:t xml:space="preserve">The findings are set out below. The “amber” sites have been separated from the other sources, as these sites have been assessed as having significant constraints. </w:t>
      </w:r>
    </w:p>
    <w:p w14:paraId="11FF9178" w14:textId="462FB467" w:rsidR="002E2357" w:rsidRDefault="00E51342" w:rsidP="00AC7CE6">
      <w:r>
        <w:t xml:space="preserve">The HELAA will need to be kept under review, as additional sites may come forward and deliverability evidence changes. It should be read in conjunction with the </w:t>
      </w:r>
      <w:r w:rsidR="004C4EE1">
        <w:t xml:space="preserve">council’s annual housing monitoring data. </w:t>
      </w:r>
    </w:p>
    <w:p w14:paraId="2F28B93F" w14:textId="52245BF8" w:rsidR="004C4EE1" w:rsidRDefault="00A43575" w:rsidP="00AC7CE6">
      <w:r>
        <w:t>Again</w:t>
      </w:r>
      <w:r w:rsidR="005156FA">
        <w:t>,</w:t>
      </w:r>
      <w:r>
        <w:t xml:space="preserve"> it is emphasised that the HELAA provides a </w:t>
      </w:r>
      <w:r w:rsidR="00EB41E4">
        <w:t xml:space="preserve">menu of options for policy makers. It does not represent policy or the Local Planning Authority’s final view of a </w:t>
      </w:r>
      <w:r w:rsidR="005156FA">
        <w:t xml:space="preserve">site.  </w:t>
      </w:r>
    </w:p>
    <w:p w14:paraId="6047AAAD" w14:textId="103A921F" w:rsidR="005C64B5" w:rsidRDefault="005156FA" w:rsidP="00AC7CE6">
      <w:r>
        <w:t xml:space="preserve">However, </w:t>
      </w:r>
      <w:r w:rsidR="00932694">
        <w:t xml:space="preserve">it does seem to confirm a dilemma that </w:t>
      </w:r>
      <w:r w:rsidR="00230CFB">
        <w:t xml:space="preserve">whilst there are significant urban regeneration opportunities, these sites have site assembly issues </w:t>
      </w:r>
      <w:r w:rsidR="00447C09">
        <w:t>and there is limited demand for apartments.  Conversely, whilst there is demand for greenfield housing</w:t>
      </w:r>
      <w:r w:rsidR="008B43A3">
        <w:t xml:space="preserve">, the opportunities for this are finite and come at an increasing environmental cost.  </w:t>
      </w:r>
      <w:r w:rsidR="00230CFB">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539"/>
        <w:gridCol w:w="1134"/>
        <w:gridCol w:w="1134"/>
        <w:gridCol w:w="1276"/>
        <w:gridCol w:w="1298"/>
        <w:gridCol w:w="1962"/>
      </w:tblGrid>
      <w:tr w:rsidR="005C64B5" w:rsidRPr="003563C6" w14:paraId="03FBD3B6" w14:textId="77777777" w:rsidTr="005674C6">
        <w:trPr>
          <w:trHeight w:val="509"/>
        </w:trPr>
        <w:tc>
          <w:tcPr>
            <w:tcW w:w="3539" w:type="dxa"/>
            <w:shd w:val="clear" w:color="auto" w:fill="auto"/>
            <w:tcMar>
              <w:top w:w="103" w:type="dxa"/>
              <w:left w:w="207" w:type="dxa"/>
              <w:bottom w:w="103" w:type="dxa"/>
              <w:right w:w="207" w:type="dxa"/>
            </w:tcMar>
            <w:hideMark/>
          </w:tcPr>
          <w:p w14:paraId="313B2584" w14:textId="77777777" w:rsidR="005C64B5" w:rsidRPr="003563C6" w:rsidRDefault="005C64B5" w:rsidP="00904AEE">
            <w:pPr>
              <w:rPr>
                <w:lang w:eastAsia="en-GB"/>
              </w:rPr>
            </w:pPr>
            <w:r w:rsidRPr="003563C6">
              <w:rPr>
                <w:lang w:eastAsia="en-GB"/>
              </w:rPr>
              <w:t> </w:t>
            </w:r>
          </w:p>
        </w:tc>
        <w:tc>
          <w:tcPr>
            <w:tcW w:w="4842" w:type="dxa"/>
            <w:gridSpan w:val="4"/>
            <w:shd w:val="clear" w:color="auto" w:fill="auto"/>
            <w:tcMar>
              <w:top w:w="103" w:type="dxa"/>
              <w:left w:w="207" w:type="dxa"/>
              <w:bottom w:w="103" w:type="dxa"/>
              <w:right w:w="207" w:type="dxa"/>
            </w:tcMar>
            <w:hideMark/>
          </w:tcPr>
          <w:p w14:paraId="451B04C8" w14:textId="47CDD5F5" w:rsidR="005C64B5" w:rsidRPr="00F82D69" w:rsidRDefault="005C64B5" w:rsidP="00977C6D">
            <w:pPr>
              <w:jc w:val="center"/>
              <w:rPr>
                <w:b/>
                <w:bCs/>
                <w:lang w:eastAsia="en-GB"/>
              </w:rPr>
            </w:pPr>
            <w:r w:rsidRPr="00F82D69">
              <w:rPr>
                <w:b/>
                <w:bCs/>
                <w:lang w:eastAsia="en-GB"/>
              </w:rPr>
              <w:t>Estimated Delivery</w:t>
            </w:r>
          </w:p>
        </w:tc>
        <w:tc>
          <w:tcPr>
            <w:tcW w:w="1962" w:type="dxa"/>
            <w:shd w:val="clear" w:color="auto" w:fill="auto"/>
            <w:tcMar>
              <w:top w:w="103" w:type="dxa"/>
              <w:left w:w="207" w:type="dxa"/>
              <w:bottom w:w="103" w:type="dxa"/>
              <w:right w:w="207" w:type="dxa"/>
            </w:tcMar>
            <w:hideMark/>
          </w:tcPr>
          <w:p w14:paraId="38933F9A" w14:textId="77777777" w:rsidR="005C64B5" w:rsidRPr="003563C6" w:rsidRDefault="005C64B5" w:rsidP="00904AEE">
            <w:pPr>
              <w:rPr>
                <w:lang w:eastAsia="en-GB"/>
              </w:rPr>
            </w:pPr>
            <w:r w:rsidRPr="003563C6">
              <w:rPr>
                <w:lang w:eastAsia="en-GB"/>
              </w:rPr>
              <w:t>  </w:t>
            </w:r>
          </w:p>
        </w:tc>
      </w:tr>
      <w:tr w:rsidR="003C3DAB" w:rsidRPr="003563C6" w14:paraId="67E9ACE5" w14:textId="77777777" w:rsidTr="00E4743B">
        <w:trPr>
          <w:trHeight w:val="754"/>
        </w:trPr>
        <w:tc>
          <w:tcPr>
            <w:tcW w:w="3539" w:type="dxa"/>
            <w:shd w:val="clear" w:color="auto" w:fill="auto"/>
            <w:tcMar>
              <w:top w:w="103" w:type="dxa"/>
              <w:left w:w="207" w:type="dxa"/>
              <w:bottom w:w="103" w:type="dxa"/>
              <w:right w:w="207" w:type="dxa"/>
            </w:tcMar>
            <w:hideMark/>
          </w:tcPr>
          <w:p w14:paraId="6EF59BA5" w14:textId="77777777" w:rsidR="005C64B5" w:rsidRPr="00F82D69" w:rsidRDefault="005C64B5" w:rsidP="00904AEE">
            <w:pPr>
              <w:rPr>
                <w:b/>
                <w:bCs/>
                <w:lang w:eastAsia="en-GB"/>
              </w:rPr>
            </w:pPr>
            <w:r w:rsidRPr="00F82D69">
              <w:rPr>
                <w:b/>
                <w:bCs/>
                <w:lang w:eastAsia="en-GB"/>
              </w:rPr>
              <w:t>  </w:t>
            </w:r>
          </w:p>
        </w:tc>
        <w:tc>
          <w:tcPr>
            <w:tcW w:w="1134" w:type="dxa"/>
            <w:shd w:val="clear" w:color="auto" w:fill="auto"/>
            <w:tcMar>
              <w:top w:w="103" w:type="dxa"/>
              <w:left w:w="207" w:type="dxa"/>
              <w:bottom w:w="103" w:type="dxa"/>
              <w:right w:w="207" w:type="dxa"/>
            </w:tcMar>
            <w:hideMark/>
          </w:tcPr>
          <w:p w14:paraId="5F61016D" w14:textId="0DA6D45C" w:rsidR="005C64B5" w:rsidRPr="00F82D69" w:rsidRDefault="005C64B5" w:rsidP="00904AEE">
            <w:pPr>
              <w:rPr>
                <w:b/>
                <w:bCs/>
                <w:lang w:eastAsia="en-GB"/>
              </w:rPr>
            </w:pPr>
            <w:r w:rsidRPr="00F82D69">
              <w:rPr>
                <w:b/>
                <w:bCs/>
                <w:lang w:eastAsia="en-GB"/>
              </w:rPr>
              <w:t xml:space="preserve">Years </w:t>
            </w:r>
            <w:r w:rsidR="00194133">
              <w:rPr>
                <w:b/>
                <w:bCs/>
                <w:lang w:eastAsia="en-GB"/>
              </w:rPr>
              <w:br/>
            </w:r>
            <w:r w:rsidRPr="00F82D69">
              <w:rPr>
                <w:b/>
                <w:bCs/>
                <w:lang w:eastAsia="en-GB"/>
              </w:rPr>
              <w:t>1-5 </w:t>
            </w:r>
          </w:p>
        </w:tc>
        <w:tc>
          <w:tcPr>
            <w:tcW w:w="1134" w:type="dxa"/>
            <w:shd w:val="clear" w:color="auto" w:fill="auto"/>
            <w:tcMar>
              <w:top w:w="103" w:type="dxa"/>
              <w:left w:w="207" w:type="dxa"/>
              <w:bottom w:w="103" w:type="dxa"/>
              <w:right w:w="207" w:type="dxa"/>
            </w:tcMar>
            <w:hideMark/>
          </w:tcPr>
          <w:p w14:paraId="27808F70" w14:textId="77777777" w:rsidR="005C64B5" w:rsidRPr="00F82D69" w:rsidRDefault="005C64B5" w:rsidP="00904AEE">
            <w:pPr>
              <w:rPr>
                <w:b/>
                <w:bCs/>
                <w:lang w:eastAsia="en-GB"/>
              </w:rPr>
            </w:pPr>
            <w:r w:rsidRPr="00F82D69">
              <w:rPr>
                <w:b/>
                <w:bCs/>
                <w:lang w:eastAsia="en-GB"/>
              </w:rPr>
              <w:t>Years 6-10 </w:t>
            </w:r>
          </w:p>
        </w:tc>
        <w:tc>
          <w:tcPr>
            <w:tcW w:w="1276" w:type="dxa"/>
            <w:shd w:val="clear" w:color="auto" w:fill="auto"/>
            <w:tcMar>
              <w:top w:w="103" w:type="dxa"/>
              <w:left w:w="207" w:type="dxa"/>
              <w:bottom w:w="103" w:type="dxa"/>
              <w:right w:w="207" w:type="dxa"/>
            </w:tcMar>
            <w:hideMark/>
          </w:tcPr>
          <w:p w14:paraId="0A0B7131" w14:textId="3B9827C6" w:rsidR="005C64B5" w:rsidRPr="00F82D69" w:rsidRDefault="005C64B5" w:rsidP="00904AEE">
            <w:pPr>
              <w:rPr>
                <w:b/>
                <w:bCs/>
                <w:lang w:eastAsia="en-GB"/>
              </w:rPr>
            </w:pPr>
            <w:r w:rsidRPr="00F82D69">
              <w:rPr>
                <w:b/>
                <w:bCs/>
                <w:lang w:eastAsia="en-GB"/>
              </w:rPr>
              <w:t>Years 11-</w:t>
            </w:r>
            <w:r w:rsidR="00F21F5D">
              <w:rPr>
                <w:b/>
                <w:bCs/>
                <w:lang w:eastAsia="en-GB"/>
              </w:rPr>
              <w:t xml:space="preserve"> </w:t>
            </w:r>
            <w:r w:rsidR="00E4743B">
              <w:rPr>
                <w:b/>
                <w:bCs/>
                <w:lang w:eastAsia="en-GB"/>
              </w:rPr>
              <w:t>15</w:t>
            </w:r>
            <w:r w:rsidRPr="00F82D69">
              <w:rPr>
                <w:b/>
                <w:bCs/>
                <w:lang w:eastAsia="en-GB"/>
              </w:rPr>
              <w:t> </w:t>
            </w:r>
          </w:p>
        </w:tc>
        <w:tc>
          <w:tcPr>
            <w:tcW w:w="1298" w:type="dxa"/>
            <w:shd w:val="clear" w:color="auto" w:fill="auto"/>
            <w:tcMar>
              <w:top w:w="103" w:type="dxa"/>
              <w:left w:w="207" w:type="dxa"/>
              <w:bottom w:w="103" w:type="dxa"/>
              <w:right w:w="207" w:type="dxa"/>
            </w:tcMar>
            <w:hideMark/>
          </w:tcPr>
          <w:p w14:paraId="74020C6F" w14:textId="77777777" w:rsidR="005C64B5" w:rsidRPr="00F82D69" w:rsidRDefault="005C64B5" w:rsidP="00904AEE">
            <w:pPr>
              <w:rPr>
                <w:b/>
                <w:bCs/>
                <w:lang w:eastAsia="en-GB"/>
              </w:rPr>
            </w:pPr>
            <w:r w:rsidRPr="00F82D69">
              <w:rPr>
                <w:b/>
                <w:bCs/>
                <w:lang w:eastAsia="en-GB"/>
              </w:rPr>
              <w:t>Years 16+ </w:t>
            </w:r>
          </w:p>
        </w:tc>
        <w:tc>
          <w:tcPr>
            <w:tcW w:w="1962" w:type="dxa"/>
            <w:shd w:val="clear" w:color="auto" w:fill="auto"/>
            <w:tcMar>
              <w:top w:w="103" w:type="dxa"/>
              <w:left w:w="207" w:type="dxa"/>
              <w:bottom w:w="103" w:type="dxa"/>
              <w:right w:w="207" w:type="dxa"/>
            </w:tcMar>
            <w:hideMark/>
          </w:tcPr>
          <w:p w14:paraId="0DA401E7" w14:textId="4F149577" w:rsidR="005C64B5" w:rsidRPr="00F82D69" w:rsidRDefault="005C64B5" w:rsidP="00904AEE">
            <w:pPr>
              <w:rPr>
                <w:b/>
                <w:bCs/>
                <w:lang w:eastAsia="en-GB"/>
              </w:rPr>
            </w:pPr>
            <w:r w:rsidRPr="00F82D69">
              <w:rPr>
                <w:b/>
                <w:bCs/>
                <w:lang w:eastAsia="en-GB"/>
              </w:rPr>
              <w:t>Total </w:t>
            </w:r>
            <w:r w:rsidR="002E1497">
              <w:rPr>
                <w:b/>
                <w:bCs/>
                <w:lang w:eastAsia="en-GB"/>
              </w:rPr>
              <w:t>(20 year period)</w:t>
            </w:r>
          </w:p>
        </w:tc>
      </w:tr>
      <w:tr w:rsidR="003C3DAB" w:rsidRPr="003563C6" w14:paraId="7F38E3F7" w14:textId="77777777" w:rsidTr="00E4743B">
        <w:trPr>
          <w:trHeight w:val="780"/>
        </w:trPr>
        <w:tc>
          <w:tcPr>
            <w:tcW w:w="3539" w:type="dxa"/>
            <w:shd w:val="clear" w:color="auto" w:fill="auto"/>
            <w:tcMar>
              <w:top w:w="103" w:type="dxa"/>
              <w:left w:w="207" w:type="dxa"/>
              <w:bottom w:w="103" w:type="dxa"/>
              <w:right w:w="207" w:type="dxa"/>
            </w:tcMar>
            <w:hideMark/>
          </w:tcPr>
          <w:p w14:paraId="0A9AACF4" w14:textId="77777777" w:rsidR="005C64B5" w:rsidRPr="00F82D69" w:rsidRDefault="005C64B5" w:rsidP="00904AEE">
            <w:pPr>
              <w:rPr>
                <w:b/>
                <w:bCs/>
                <w:lang w:eastAsia="en-GB"/>
              </w:rPr>
            </w:pPr>
            <w:r w:rsidRPr="00F82D69">
              <w:rPr>
                <w:b/>
                <w:bCs/>
                <w:lang w:eastAsia="en-GB"/>
              </w:rPr>
              <w:t>Green: Principle of development established. </w:t>
            </w:r>
          </w:p>
        </w:tc>
        <w:tc>
          <w:tcPr>
            <w:tcW w:w="1134" w:type="dxa"/>
            <w:shd w:val="clear" w:color="auto" w:fill="auto"/>
            <w:tcMar>
              <w:top w:w="103" w:type="dxa"/>
              <w:left w:w="207" w:type="dxa"/>
              <w:bottom w:w="103" w:type="dxa"/>
              <w:right w:w="207" w:type="dxa"/>
            </w:tcMar>
            <w:hideMark/>
          </w:tcPr>
          <w:p w14:paraId="6AE9C55C" w14:textId="77777777" w:rsidR="005C64B5" w:rsidRPr="003563C6" w:rsidRDefault="005C64B5" w:rsidP="00904AEE">
            <w:pPr>
              <w:rPr>
                <w:lang w:eastAsia="en-GB"/>
              </w:rPr>
            </w:pPr>
            <w:r w:rsidRPr="003563C6">
              <w:rPr>
                <w:lang w:eastAsia="en-GB"/>
              </w:rPr>
              <w:t>1220</w:t>
            </w:r>
          </w:p>
        </w:tc>
        <w:tc>
          <w:tcPr>
            <w:tcW w:w="1134" w:type="dxa"/>
            <w:shd w:val="clear" w:color="auto" w:fill="auto"/>
            <w:tcMar>
              <w:top w:w="103" w:type="dxa"/>
              <w:left w:w="207" w:type="dxa"/>
              <w:bottom w:w="103" w:type="dxa"/>
              <w:right w:w="207" w:type="dxa"/>
            </w:tcMar>
            <w:hideMark/>
          </w:tcPr>
          <w:p w14:paraId="25454785" w14:textId="77777777" w:rsidR="005C64B5" w:rsidRPr="003563C6" w:rsidRDefault="005C64B5" w:rsidP="00904AEE">
            <w:pPr>
              <w:rPr>
                <w:lang w:eastAsia="en-GB"/>
              </w:rPr>
            </w:pPr>
            <w:r w:rsidRPr="003563C6">
              <w:rPr>
                <w:lang w:eastAsia="en-GB"/>
              </w:rPr>
              <w:t>480 </w:t>
            </w:r>
          </w:p>
        </w:tc>
        <w:tc>
          <w:tcPr>
            <w:tcW w:w="1276" w:type="dxa"/>
            <w:shd w:val="clear" w:color="auto" w:fill="auto"/>
            <w:tcMar>
              <w:top w:w="103" w:type="dxa"/>
              <w:left w:w="207" w:type="dxa"/>
              <w:bottom w:w="103" w:type="dxa"/>
              <w:right w:w="207" w:type="dxa"/>
            </w:tcMar>
            <w:hideMark/>
          </w:tcPr>
          <w:p w14:paraId="6DD57EC6" w14:textId="77777777" w:rsidR="005C64B5" w:rsidRPr="003563C6" w:rsidRDefault="005C64B5" w:rsidP="00904AEE">
            <w:pPr>
              <w:rPr>
                <w:lang w:eastAsia="en-GB"/>
              </w:rPr>
            </w:pPr>
            <w:r w:rsidRPr="003563C6">
              <w:rPr>
                <w:lang w:eastAsia="en-GB"/>
              </w:rPr>
              <w:t>0 </w:t>
            </w:r>
          </w:p>
        </w:tc>
        <w:tc>
          <w:tcPr>
            <w:tcW w:w="1298" w:type="dxa"/>
            <w:shd w:val="clear" w:color="auto" w:fill="auto"/>
            <w:tcMar>
              <w:top w:w="103" w:type="dxa"/>
              <w:left w:w="207" w:type="dxa"/>
              <w:bottom w:w="103" w:type="dxa"/>
              <w:right w:w="207" w:type="dxa"/>
            </w:tcMar>
            <w:hideMark/>
          </w:tcPr>
          <w:p w14:paraId="326D5A62" w14:textId="77777777" w:rsidR="005C64B5" w:rsidRPr="003563C6" w:rsidRDefault="005C64B5" w:rsidP="00904AEE">
            <w:pPr>
              <w:rPr>
                <w:lang w:eastAsia="en-GB"/>
              </w:rPr>
            </w:pPr>
            <w:r w:rsidRPr="003563C6">
              <w:rPr>
                <w:lang w:eastAsia="en-GB"/>
              </w:rPr>
              <w:t>0 </w:t>
            </w:r>
          </w:p>
        </w:tc>
        <w:tc>
          <w:tcPr>
            <w:tcW w:w="1962" w:type="dxa"/>
            <w:shd w:val="clear" w:color="auto" w:fill="auto"/>
            <w:tcMar>
              <w:top w:w="103" w:type="dxa"/>
              <w:left w:w="207" w:type="dxa"/>
              <w:bottom w:w="103" w:type="dxa"/>
              <w:right w:w="207" w:type="dxa"/>
            </w:tcMar>
            <w:hideMark/>
          </w:tcPr>
          <w:p w14:paraId="28311D2C" w14:textId="77777777" w:rsidR="005C64B5" w:rsidRPr="003563C6" w:rsidRDefault="005C64B5" w:rsidP="00904AEE">
            <w:pPr>
              <w:rPr>
                <w:lang w:eastAsia="en-GB"/>
              </w:rPr>
            </w:pPr>
            <w:r w:rsidRPr="003563C6">
              <w:rPr>
                <w:lang w:eastAsia="en-GB"/>
              </w:rPr>
              <w:t>1700 </w:t>
            </w:r>
          </w:p>
        </w:tc>
      </w:tr>
      <w:tr w:rsidR="003C3DAB" w:rsidRPr="003563C6" w14:paraId="6E42DAD0" w14:textId="77777777" w:rsidTr="00E4743B">
        <w:trPr>
          <w:trHeight w:val="441"/>
        </w:trPr>
        <w:tc>
          <w:tcPr>
            <w:tcW w:w="3539" w:type="dxa"/>
            <w:shd w:val="clear" w:color="auto" w:fill="auto"/>
            <w:tcMar>
              <w:top w:w="103" w:type="dxa"/>
              <w:left w:w="207" w:type="dxa"/>
              <w:bottom w:w="103" w:type="dxa"/>
              <w:right w:w="207" w:type="dxa"/>
            </w:tcMar>
            <w:hideMark/>
          </w:tcPr>
          <w:p w14:paraId="448E89C5" w14:textId="77777777" w:rsidR="005C64B5" w:rsidRPr="00F82D69" w:rsidRDefault="005C64B5" w:rsidP="00904AEE">
            <w:pPr>
              <w:rPr>
                <w:b/>
                <w:bCs/>
                <w:lang w:eastAsia="en-GB"/>
              </w:rPr>
            </w:pPr>
            <w:r w:rsidRPr="00F82D69">
              <w:rPr>
                <w:b/>
                <w:bCs/>
                <w:lang w:eastAsia="en-GB"/>
              </w:rPr>
              <w:t>Yellow: Minor constraints only </w:t>
            </w:r>
          </w:p>
        </w:tc>
        <w:tc>
          <w:tcPr>
            <w:tcW w:w="1134" w:type="dxa"/>
            <w:shd w:val="clear" w:color="auto" w:fill="auto"/>
            <w:tcMar>
              <w:top w:w="103" w:type="dxa"/>
              <w:left w:w="207" w:type="dxa"/>
              <w:bottom w:w="103" w:type="dxa"/>
              <w:right w:w="207" w:type="dxa"/>
            </w:tcMar>
            <w:hideMark/>
          </w:tcPr>
          <w:p w14:paraId="2B481AF7" w14:textId="77777777" w:rsidR="005C64B5" w:rsidRPr="003563C6" w:rsidRDefault="005C64B5" w:rsidP="00904AEE">
            <w:pPr>
              <w:rPr>
                <w:lang w:eastAsia="en-GB"/>
              </w:rPr>
            </w:pPr>
            <w:r w:rsidRPr="003563C6">
              <w:rPr>
                <w:lang w:eastAsia="en-GB"/>
              </w:rPr>
              <w:t>60 </w:t>
            </w:r>
          </w:p>
        </w:tc>
        <w:tc>
          <w:tcPr>
            <w:tcW w:w="1134" w:type="dxa"/>
            <w:shd w:val="clear" w:color="auto" w:fill="auto"/>
            <w:tcMar>
              <w:top w:w="103" w:type="dxa"/>
              <w:left w:w="207" w:type="dxa"/>
              <w:bottom w:w="103" w:type="dxa"/>
              <w:right w:w="207" w:type="dxa"/>
            </w:tcMar>
            <w:hideMark/>
          </w:tcPr>
          <w:p w14:paraId="083F4BC0" w14:textId="77777777" w:rsidR="005C64B5" w:rsidRPr="003563C6" w:rsidRDefault="005C64B5" w:rsidP="00904AEE">
            <w:pPr>
              <w:rPr>
                <w:lang w:eastAsia="en-GB"/>
              </w:rPr>
            </w:pPr>
            <w:r w:rsidRPr="003563C6">
              <w:rPr>
                <w:lang w:eastAsia="en-GB"/>
              </w:rPr>
              <w:t>1140 </w:t>
            </w:r>
          </w:p>
        </w:tc>
        <w:tc>
          <w:tcPr>
            <w:tcW w:w="1276" w:type="dxa"/>
            <w:shd w:val="clear" w:color="auto" w:fill="auto"/>
            <w:tcMar>
              <w:top w:w="103" w:type="dxa"/>
              <w:left w:w="207" w:type="dxa"/>
              <w:bottom w:w="103" w:type="dxa"/>
              <w:right w:w="207" w:type="dxa"/>
            </w:tcMar>
            <w:hideMark/>
          </w:tcPr>
          <w:p w14:paraId="7F49CC4E" w14:textId="77777777" w:rsidR="005C64B5" w:rsidRPr="003563C6" w:rsidRDefault="005C64B5" w:rsidP="00904AEE">
            <w:pPr>
              <w:rPr>
                <w:lang w:eastAsia="en-GB"/>
              </w:rPr>
            </w:pPr>
            <w:r w:rsidRPr="003563C6">
              <w:rPr>
                <w:lang w:eastAsia="en-GB"/>
              </w:rPr>
              <w:t>540 </w:t>
            </w:r>
          </w:p>
        </w:tc>
        <w:tc>
          <w:tcPr>
            <w:tcW w:w="1298" w:type="dxa"/>
            <w:shd w:val="clear" w:color="auto" w:fill="auto"/>
            <w:tcMar>
              <w:top w:w="103" w:type="dxa"/>
              <w:left w:w="207" w:type="dxa"/>
              <w:bottom w:w="103" w:type="dxa"/>
              <w:right w:w="207" w:type="dxa"/>
            </w:tcMar>
            <w:hideMark/>
          </w:tcPr>
          <w:p w14:paraId="4D2FB815" w14:textId="78A56299" w:rsidR="005C64B5" w:rsidRPr="003563C6" w:rsidRDefault="38B744A8" w:rsidP="00904AEE">
            <w:pPr>
              <w:rPr>
                <w:lang w:eastAsia="en-GB"/>
              </w:rPr>
            </w:pPr>
            <w:r w:rsidRPr="38F91EEA">
              <w:rPr>
                <w:lang w:eastAsia="en-GB"/>
              </w:rPr>
              <w:t>0</w:t>
            </w:r>
          </w:p>
        </w:tc>
        <w:tc>
          <w:tcPr>
            <w:tcW w:w="1962" w:type="dxa"/>
            <w:shd w:val="clear" w:color="auto" w:fill="auto"/>
            <w:tcMar>
              <w:top w:w="103" w:type="dxa"/>
              <w:left w:w="207" w:type="dxa"/>
              <w:bottom w:w="103" w:type="dxa"/>
              <w:right w:w="207" w:type="dxa"/>
            </w:tcMar>
            <w:hideMark/>
          </w:tcPr>
          <w:p w14:paraId="3AB5DF43" w14:textId="77777777" w:rsidR="005C64B5" w:rsidRPr="003563C6" w:rsidRDefault="005C64B5" w:rsidP="00904AEE">
            <w:pPr>
              <w:rPr>
                <w:lang w:eastAsia="en-GB"/>
              </w:rPr>
            </w:pPr>
            <w:r w:rsidRPr="003563C6">
              <w:rPr>
                <w:lang w:eastAsia="en-GB"/>
              </w:rPr>
              <w:t>1740 </w:t>
            </w:r>
          </w:p>
        </w:tc>
      </w:tr>
      <w:tr w:rsidR="00E67421" w:rsidRPr="003563C6" w14:paraId="1371C1AF" w14:textId="77777777" w:rsidTr="00E4743B">
        <w:trPr>
          <w:trHeight w:val="469"/>
        </w:trPr>
        <w:tc>
          <w:tcPr>
            <w:tcW w:w="3539" w:type="dxa"/>
            <w:shd w:val="clear" w:color="auto" w:fill="auto"/>
            <w:tcMar>
              <w:top w:w="103" w:type="dxa"/>
              <w:left w:w="207" w:type="dxa"/>
              <w:bottom w:w="103" w:type="dxa"/>
              <w:right w:w="207" w:type="dxa"/>
            </w:tcMar>
          </w:tcPr>
          <w:p w14:paraId="4AACE80F" w14:textId="0E074C7F" w:rsidR="009B7872" w:rsidRPr="009B7872" w:rsidRDefault="009B7872" w:rsidP="009B7872">
            <w:pPr>
              <w:rPr>
                <w:b/>
                <w:bCs/>
                <w:lang w:eastAsia="en-GB"/>
              </w:rPr>
            </w:pPr>
            <w:r w:rsidRPr="009B7872">
              <w:rPr>
                <w:b/>
                <w:bCs/>
              </w:rPr>
              <w:t xml:space="preserve">Amber: Significant constraints  </w:t>
            </w:r>
          </w:p>
        </w:tc>
        <w:tc>
          <w:tcPr>
            <w:tcW w:w="1134" w:type="dxa"/>
            <w:shd w:val="clear" w:color="auto" w:fill="auto"/>
            <w:tcMar>
              <w:top w:w="103" w:type="dxa"/>
              <w:left w:w="207" w:type="dxa"/>
              <w:bottom w:w="103" w:type="dxa"/>
              <w:right w:w="207" w:type="dxa"/>
            </w:tcMar>
          </w:tcPr>
          <w:p w14:paraId="664F59F1" w14:textId="490E4ED8" w:rsidR="009B7872" w:rsidRDefault="009B7872" w:rsidP="009B7872">
            <w:pPr>
              <w:rPr>
                <w:lang w:eastAsia="en-GB"/>
              </w:rPr>
            </w:pPr>
            <w:r w:rsidRPr="003F7247">
              <w:t xml:space="preserve">10 </w:t>
            </w:r>
          </w:p>
        </w:tc>
        <w:tc>
          <w:tcPr>
            <w:tcW w:w="1134" w:type="dxa"/>
            <w:shd w:val="clear" w:color="auto" w:fill="auto"/>
            <w:tcMar>
              <w:top w:w="103" w:type="dxa"/>
              <w:left w:w="207" w:type="dxa"/>
              <w:bottom w:w="103" w:type="dxa"/>
              <w:right w:w="207" w:type="dxa"/>
            </w:tcMar>
          </w:tcPr>
          <w:p w14:paraId="0D3A723B" w14:textId="44F3A2D7" w:rsidR="009B7872" w:rsidRDefault="009B7872" w:rsidP="009B7872">
            <w:pPr>
              <w:rPr>
                <w:lang w:eastAsia="en-GB"/>
              </w:rPr>
            </w:pPr>
            <w:r w:rsidRPr="003F7247">
              <w:t xml:space="preserve">1100 </w:t>
            </w:r>
          </w:p>
        </w:tc>
        <w:tc>
          <w:tcPr>
            <w:tcW w:w="1276" w:type="dxa"/>
            <w:shd w:val="clear" w:color="auto" w:fill="auto"/>
            <w:tcMar>
              <w:top w:w="103" w:type="dxa"/>
              <w:left w:w="207" w:type="dxa"/>
              <w:bottom w:w="103" w:type="dxa"/>
              <w:right w:w="207" w:type="dxa"/>
            </w:tcMar>
          </w:tcPr>
          <w:p w14:paraId="163D08B1" w14:textId="51BADAEF" w:rsidR="009B7872" w:rsidRDefault="009B7872" w:rsidP="009B7872">
            <w:pPr>
              <w:rPr>
                <w:lang w:eastAsia="en-GB"/>
              </w:rPr>
            </w:pPr>
            <w:r w:rsidRPr="003F7247">
              <w:t xml:space="preserve">1630 </w:t>
            </w:r>
          </w:p>
        </w:tc>
        <w:tc>
          <w:tcPr>
            <w:tcW w:w="1298" w:type="dxa"/>
            <w:shd w:val="clear" w:color="auto" w:fill="auto"/>
            <w:tcMar>
              <w:top w:w="103" w:type="dxa"/>
              <w:left w:w="207" w:type="dxa"/>
              <w:bottom w:w="103" w:type="dxa"/>
              <w:right w:w="207" w:type="dxa"/>
            </w:tcMar>
          </w:tcPr>
          <w:p w14:paraId="3E833E2D" w14:textId="086DF1F2" w:rsidR="009B7872" w:rsidRDefault="009B7872" w:rsidP="009B7872">
            <w:pPr>
              <w:rPr>
                <w:lang w:eastAsia="en-GB"/>
              </w:rPr>
            </w:pPr>
            <w:r w:rsidRPr="003F7247">
              <w:t xml:space="preserve">1040 </w:t>
            </w:r>
          </w:p>
        </w:tc>
        <w:tc>
          <w:tcPr>
            <w:tcW w:w="1962" w:type="dxa"/>
            <w:shd w:val="clear" w:color="auto" w:fill="auto"/>
            <w:tcMar>
              <w:top w:w="103" w:type="dxa"/>
              <w:left w:w="207" w:type="dxa"/>
              <w:bottom w:w="103" w:type="dxa"/>
              <w:right w:w="207" w:type="dxa"/>
            </w:tcMar>
          </w:tcPr>
          <w:p w14:paraId="4BF50FF3" w14:textId="7CE792B3" w:rsidR="009B7872" w:rsidRPr="003563C6" w:rsidRDefault="009B7872" w:rsidP="009B7872">
            <w:pPr>
              <w:rPr>
                <w:lang w:eastAsia="en-GB"/>
              </w:rPr>
            </w:pPr>
            <w:r w:rsidRPr="003F7247">
              <w:t xml:space="preserve">3780 </w:t>
            </w:r>
          </w:p>
        </w:tc>
      </w:tr>
      <w:tr w:rsidR="0019175B" w:rsidRPr="003563C6" w14:paraId="6F815BC9" w14:textId="77777777" w:rsidTr="00E4743B">
        <w:tc>
          <w:tcPr>
            <w:tcW w:w="3539" w:type="dxa"/>
            <w:shd w:val="clear" w:color="auto" w:fill="auto"/>
            <w:tcMar>
              <w:top w:w="103" w:type="dxa"/>
              <w:left w:w="207" w:type="dxa"/>
              <w:bottom w:w="103" w:type="dxa"/>
              <w:right w:w="207" w:type="dxa"/>
            </w:tcMar>
          </w:tcPr>
          <w:p w14:paraId="1EF4CE12" w14:textId="77777777" w:rsidR="009B7872" w:rsidRPr="00DC4D98" w:rsidRDefault="009B7872" w:rsidP="00904AEE">
            <w:pPr>
              <w:rPr>
                <w:b/>
                <w:sz w:val="12"/>
                <w:szCs w:val="12"/>
                <w:lang w:eastAsia="en-GB"/>
              </w:rPr>
            </w:pPr>
          </w:p>
        </w:tc>
        <w:tc>
          <w:tcPr>
            <w:tcW w:w="1134" w:type="dxa"/>
            <w:shd w:val="clear" w:color="auto" w:fill="auto"/>
            <w:tcMar>
              <w:top w:w="103" w:type="dxa"/>
              <w:left w:w="207" w:type="dxa"/>
              <w:bottom w:w="103" w:type="dxa"/>
              <w:right w:w="207" w:type="dxa"/>
            </w:tcMar>
          </w:tcPr>
          <w:p w14:paraId="309254AB" w14:textId="77777777" w:rsidR="009B7872" w:rsidRPr="00DC4D98" w:rsidRDefault="009B7872" w:rsidP="00904AEE">
            <w:pPr>
              <w:rPr>
                <w:sz w:val="12"/>
                <w:szCs w:val="12"/>
                <w:lang w:eastAsia="en-GB"/>
              </w:rPr>
            </w:pPr>
          </w:p>
        </w:tc>
        <w:tc>
          <w:tcPr>
            <w:tcW w:w="1134" w:type="dxa"/>
            <w:shd w:val="clear" w:color="auto" w:fill="auto"/>
            <w:tcMar>
              <w:top w:w="103" w:type="dxa"/>
              <w:left w:w="207" w:type="dxa"/>
              <w:bottom w:w="103" w:type="dxa"/>
              <w:right w:w="207" w:type="dxa"/>
            </w:tcMar>
          </w:tcPr>
          <w:p w14:paraId="78C6EC93" w14:textId="77777777" w:rsidR="009B7872" w:rsidRPr="00DC4D98" w:rsidRDefault="009B7872" w:rsidP="00904AEE">
            <w:pPr>
              <w:rPr>
                <w:sz w:val="12"/>
                <w:szCs w:val="12"/>
                <w:lang w:eastAsia="en-GB"/>
              </w:rPr>
            </w:pPr>
          </w:p>
        </w:tc>
        <w:tc>
          <w:tcPr>
            <w:tcW w:w="1276" w:type="dxa"/>
            <w:shd w:val="clear" w:color="auto" w:fill="auto"/>
            <w:tcMar>
              <w:top w:w="103" w:type="dxa"/>
              <w:left w:w="207" w:type="dxa"/>
              <w:bottom w:w="103" w:type="dxa"/>
              <w:right w:w="207" w:type="dxa"/>
            </w:tcMar>
          </w:tcPr>
          <w:p w14:paraId="026EB60C" w14:textId="77777777" w:rsidR="009B7872" w:rsidRPr="00DC4D98" w:rsidRDefault="009B7872" w:rsidP="00904AEE">
            <w:pPr>
              <w:rPr>
                <w:sz w:val="12"/>
                <w:szCs w:val="12"/>
                <w:lang w:eastAsia="en-GB"/>
              </w:rPr>
            </w:pPr>
          </w:p>
        </w:tc>
        <w:tc>
          <w:tcPr>
            <w:tcW w:w="1298" w:type="dxa"/>
            <w:shd w:val="clear" w:color="auto" w:fill="auto"/>
            <w:tcMar>
              <w:top w:w="103" w:type="dxa"/>
              <w:left w:w="207" w:type="dxa"/>
              <w:bottom w:w="103" w:type="dxa"/>
              <w:right w:w="207" w:type="dxa"/>
            </w:tcMar>
          </w:tcPr>
          <w:p w14:paraId="6C4A9A89" w14:textId="77777777" w:rsidR="009B7872" w:rsidRPr="00DC4D98" w:rsidRDefault="009B7872" w:rsidP="00904AEE">
            <w:pPr>
              <w:rPr>
                <w:sz w:val="12"/>
                <w:szCs w:val="12"/>
                <w:lang w:eastAsia="en-GB"/>
              </w:rPr>
            </w:pPr>
          </w:p>
        </w:tc>
        <w:tc>
          <w:tcPr>
            <w:tcW w:w="1962" w:type="dxa"/>
            <w:shd w:val="clear" w:color="auto" w:fill="auto"/>
            <w:tcMar>
              <w:top w:w="103" w:type="dxa"/>
              <w:left w:w="207" w:type="dxa"/>
              <w:bottom w:w="103" w:type="dxa"/>
              <w:right w:w="207" w:type="dxa"/>
            </w:tcMar>
          </w:tcPr>
          <w:p w14:paraId="0517721C" w14:textId="77777777" w:rsidR="009B7872" w:rsidRPr="00DC4D98" w:rsidRDefault="009B7872" w:rsidP="00904AEE">
            <w:pPr>
              <w:rPr>
                <w:sz w:val="12"/>
                <w:szCs w:val="12"/>
                <w:lang w:eastAsia="en-GB"/>
              </w:rPr>
            </w:pPr>
          </w:p>
        </w:tc>
      </w:tr>
      <w:tr w:rsidR="003C3DAB" w:rsidRPr="003563C6" w14:paraId="13E00D43" w14:textId="77777777" w:rsidTr="00E4743B">
        <w:trPr>
          <w:trHeight w:val="618"/>
        </w:trPr>
        <w:tc>
          <w:tcPr>
            <w:tcW w:w="3539" w:type="dxa"/>
            <w:shd w:val="clear" w:color="auto" w:fill="auto"/>
            <w:tcMar>
              <w:top w:w="103" w:type="dxa"/>
              <w:left w:w="207" w:type="dxa"/>
              <w:bottom w:w="103" w:type="dxa"/>
              <w:right w:w="207" w:type="dxa"/>
            </w:tcMar>
          </w:tcPr>
          <w:p w14:paraId="1D0928B9" w14:textId="31240D7C" w:rsidR="00863481" w:rsidRPr="00F82D69" w:rsidRDefault="00B959FE" w:rsidP="00904AEE">
            <w:pPr>
              <w:rPr>
                <w:b/>
                <w:bCs/>
                <w:lang w:eastAsia="en-GB"/>
              </w:rPr>
            </w:pPr>
            <w:r>
              <w:rPr>
                <w:b/>
                <w:bCs/>
                <w:lang w:eastAsia="en-GB"/>
              </w:rPr>
              <w:t xml:space="preserve">Windfall sites </w:t>
            </w:r>
          </w:p>
        </w:tc>
        <w:tc>
          <w:tcPr>
            <w:tcW w:w="1134" w:type="dxa"/>
            <w:shd w:val="clear" w:color="auto" w:fill="auto"/>
            <w:tcMar>
              <w:top w:w="103" w:type="dxa"/>
              <w:left w:w="207" w:type="dxa"/>
              <w:bottom w:w="103" w:type="dxa"/>
              <w:right w:w="207" w:type="dxa"/>
            </w:tcMar>
          </w:tcPr>
          <w:p w14:paraId="036BFD4E" w14:textId="3F6B660E" w:rsidR="00863481" w:rsidRPr="003563C6" w:rsidRDefault="00B959FE" w:rsidP="00904AEE">
            <w:pPr>
              <w:rPr>
                <w:lang w:eastAsia="en-GB"/>
              </w:rPr>
            </w:pPr>
            <w:r>
              <w:rPr>
                <w:lang w:eastAsia="en-GB"/>
              </w:rPr>
              <w:t>500</w:t>
            </w:r>
          </w:p>
        </w:tc>
        <w:tc>
          <w:tcPr>
            <w:tcW w:w="1134" w:type="dxa"/>
            <w:shd w:val="clear" w:color="auto" w:fill="auto"/>
            <w:tcMar>
              <w:top w:w="103" w:type="dxa"/>
              <w:left w:w="207" w:type="dxa"/>
              <w:bottom w:w="103" w:type="dxa"/>
              <w:right w:w="207" w:type="dxa"/>
            </w:tcMar>
          </w:tcPr>
          <w:p w14:paraId="60E1405F" w14:textId="6F67AE79" w:rsidR="00863481" w:rsidRPr="003563C6" w:rsidRDefault="00B959FE" w:rsidP="00904AEE">
            <w:pPr>
              <w:rPr>
                <w:lang w:eastAsia="en-GB"/>
              </w:rPr>
            </w:pPr>
            <w:r>
              <w:rPr>
                <w:lang w:eastAsia="en-GB"/>
              </w:rPr>
              <w:t>500</w:t>
            </w:r>
          </w:p>
        </w:tc>
        <w:tc>
          <w:tcPr>
            <w:tcW w:w="1276" w:type="dxa"/>
            <w:shd w:val="clear" w:color="auto" w:fill="auto"/>
            <w:tcMar>
              <w:top w:w="103" w:type="dxa"/>
              <w:left w:w="207" w:type="dxa"/>
              <w:bottom w:w="103" w:type="dxa"/>
              <w:right w:w="207" w:type="dxa"/>
            </w:tcMar>
          </w:tcPr>
          <w:p w14:paraId="3C6F6EB4" w14:textId="53002D89" w:rsidR="00863481" w:rsidRPr="003563C6" w:rsidRDefault="00B959FE" w:rsidP="00904AEE">
            <w:pPr>
              <w:rPr>
                <w:lang w:eastAsia="en-GB"/>
              </w:rPr>
            </w:pPr>
            <w:r>
              <w:rPr>
                <w:lang w:eastAsia="en-GB"/>
              </w:rPr>
              <w:t>500</w:t>
            </w:r>
          </w:p>
        </w:tc>
        <w:tc>
          <w:tcPr>
            <w:tcW w:w="1298" w:type="dxa"/>
            <w:shd w:val="clear" w:color="auto" w:fill="auto"/>
            <w:tcMar>
              <w:top w:w="103" w:type="dxa"/>
              <w:left w:w="207" w:type="dxa"/>
              <w:bottom w:w="103" w:type="dxa"/>
              <w:right w:w="207" w:type="dxa"/>
            </w:tcMar>
          </w:tcPr>
          <w:p w14:paraId="19F6C257" w14:textId="5CD6B9D1" w:rsidR="00863481" w:rsidRPr="003563C6" w:rsidRDefault="00B959FE" w:rsidP="00904AEE">
            <w:pPr>
              <w:rPr>
                <w:lang w:eastAsia="en-GB"/>
              </w:rPr>
            </w:pPr>
            <w:r>
              <w:rPr>
                <w:lang w:eastAsia="en-GB"/>
              </w:rPr>
              <w:t>500</w:t>
            </w:r>
          </w:p>
        </w:tc>
        <w:tc>
          <w:tcPr>
            <w:tcW w:w="1962" w:type="dxa"/>
            <w:shd w:val="clear" w:color="auto" w:fill="auto"/>
            <w:tcMar>
              <w:top w:w="103" w:type="dxa"/>
              <w:left w:w="207" w:type="dxa"/>
              <w:bottom w:w="103" w:type="dxa"/>
              <w:right w:w="207" w:type="dxa"/>
            </w:tcMar>
          </w:tcPr>
          <w:p w14:paraId="2A8A3A01" w14:textId="17CEF9B7" w:rsidR="00863481" w:rsidRPr="003563C6" w:rsidRDefault="00050589" w:rsidP="00904AEE">
            <w:pPr>
              <w:rPr>
                <w:lang w:eastAsia="en-GB"/>
              </w:rPr>
            </w:pPr>
            <w:r>
              <w:rPr>
                <w:lang w:eastAsia="en-GB"/>
              </w:rPr>
              <w:t>2000</w:t>
            </w:r>
          </w:p>
        </w:tc>
      </w:tr>
      <w:tr w:rsidR="003C3DAB" w:rsidRPr="003563C6" w14:paraId="52558884" w14:textId="77777777" w:rsidTr="00E4743B">
        <w:trPr>
          <w:trHeight w:val="1140"/>
        </w:trPr>
        <w:tc>
          <w:tcPr>
            <w:tcW w:w="3539" w:type="dxa"/>
            <w:shd w:val="clear" w:color="auto" w:fill="auto"/>
            <w:tcMar>
              <w:top w:w="103" w:type="dxa"/>
              <w:left w:w="207" w:type="dxa"/>
              <w:bottom w:w="103" w:type="dxa"/>
              <w:right w:w="207" w:type="dxa"/>
            </w:tcMar>
          </w:tcPr>
          <w:p w14:paraId="26A9EFCB" w14:textId="62CBEA40" w:rsidR="00863481" w:rsidRDefault="00B959FE" w:rsidP="00904AEE">
            <w:pPr>
              <w:rPr>
                <w:b/>
                <w:bCs/>
                <w:lang w:eastAsia="en-GB"/>
              </w:rPr>
            </w:pPr>
            <w:r>
              <w:rPr>
                <w:b/>
                <w:bCs/>
                <w:lang w:eastAsia="en-GB"/>
              </w:rPr>
              <w:t xml:space="preserve">Holiday Accommodation </w:t>
            </w:r>
          </w:p>
          <w:p w14:paraId="6E1C99ED" w14:textId="43E68D64" w:rsidR="008C22EA" w:rsidRPr="00F82D69" w:rsidRDefault="008C22EA" w:rsidP="00904AEE">
            <w:pPr>
              <w:rPr>
                <w:b/>
                <w:bCs/>
                <w:lang w:eastAsia="en-GB"/>
              </w:rPr>
            </w:pPr>
            <w:r>
              <w:rPr>
                <w:b/>
                <w:bCs/>
                <w:lang w:eastAsia="en-GB"/>
              </w:rPr>
              <w:t>(</w:t>
            </w:r>
            <w:r w:rsidR="00FD75E9">
              <w:rPr>
                <w:b/>
                <w:bCs/>
                <w:lang w:eastAsia="en-GB"/>
              </w:rPr>
              <w:t>1</w:t>
            </w:r>
            <w:r>
              <w:rPr>
                <w:b/>
                <w:bCs/>
                <w:lang w:eastAsia="en-GB"/>
              </w:rPr>
              <w:t>0 dwellings a year)</w:t>
            </w:r>
          </w:p>
        </w:tc>
        <w:tc>
          <w:tcPr>
            <w:tcW w:w="1134" w:type="dxa"/>
            <w:shd w:val="clear" w:color="auto" w:fill="auto"/>
            <w:tcMar>
              <w:top w:w="103" w:type="dxa"/>
              <w:left w:w="207" w:type="dxa"/>
              <w:bottom w:w="103" w:type="dxa"/>
              <w:right w:w="207" w:type="dxa"/>
            </w:tcMar>
          </w:tcPr>
          <w:p w14:paraId="5A49FAE1" w14:textId="7ECAFDA1" w:rsidR="00863481" w:rsidRPr="003563C6" w:rsidRDefault="00FD75E9" w:rsidP="00904AEE">
            <w:pPr>
              <w:rPr>
                <w:lang w:eastAsia="en-GB"/>
              </w:rPr>
            </w:pPr>
            <w:r>
              <w:rPr>
                <w:lang w:eastAsia="en-GB"/>
              </w:rPr>
              <w:t>50</w:t>
            </w:r>
          </w:p>
        </w:tc>
        <w:tc>
          <w:tcPr>
            <w:tcW w:w="1134" w:type="dxa"/>
            <w:shd w:val="clear" w:color="auto" w:fill="auto"/>
            <w:tcMar>
              <w:top w:w="103" w:type="dxa"/>
              <w:left w:w="207" w:type="dxa"/>
              <w:bottom w:w="103" w:type="dxa"/>
              <w:right w:w="207" w:type="dxa"/>
            </w:tcMar>
          </w:tcPr>
          <w:p w14:paraId="632A6539" w14:textId="4C71148E" w:rsidR="00863481" w:rsidRPr="003563C6" w:rsidRDefault="00FD75E9" w:rsidP="00904AEE">
            <w:pPr>
              <w:rPr>
                <w:lang w:eastAsia="en-GB"/>
              </w:rPr>
            </w:pPr>
            <w:r>
              <w:rPr>
                <w:lang w:eastAsia="en-GB"/>
              </w:rPr>
              <w:t>50</w:t>
            </w:r>
          </w:p>
        </w:tc>
        <w:tc>
          <w:tcPr>
            <w:tcW w:w="1276" w:type="dxa"/>
            <w:shd w:val="clear" w:color="auto" w:fill="auto"/>
            <w:tcMar>
              <w:top w:w="103" w:type="dxa"/>
              <w:left w:w="207" w:type="dxa"/>
              <w:bottom w:w="103" w:type="dxa"/>
              <w:right w:w="207" w:type="dxa"/>
            </w:tcMar>
          </w:tcPr>
          <w:p w14:paraId="6C7A3397" w14:textId="292E6A39" w:rsidR="00863481" w:rsidRPr="003563C6" w:rsidRDefault="00FD75E9" w:rsidP="00904AEE">
            <w:pPr>
              <w:rPr>
                <w:lang w:eastAsia="en-GB"/>
              </w:rPr>
            </w:pPr>
            <w:r>
              <w:rPr>
                <w:lang w:eastAsia="en-GB"/>
              </w:rPr>
              <w:t>5</w:t>
            </w:r>
            <w:r w:rsidR="008C22EA">
              <w:rPr>
                <w:lang w:eastAsia="en-GB"/>
              </w:rPr>
              <w:t>0</w:t>
            </w:r>
          </w:p>
        </w:tc>
        <w:tc>
          <w:tcPr>
            <w:tcW w:w="1298" w:type="dxa"/>
            <w:shd w:val="clear" w:color="auto" w:fill="auto"/>
            <w:tcMar>
              <w:top w:w="103" w:type="dxa"/>
              <w:left w:w="207" w:type="dxa"/>
              <w:bottom w:w="103" w:type="dxa"/>
              <w:right w:w="207" w:type="dxa"/>
            </w:tcMar>
          </w:tcPr>
          <w:p w14:paraId="271A19AC" w14:textId="74ADCFFD" w:rsidR="00863481" w:rsidRPr="003563C6" w:rsidRDefault="00FD75E9" w:rsidP="00904AEE">
            <w:pPr>
              <w:rPr>
                <w:lang w:eastAsia="en-GB"/>
              </w:rPr>
            </w:pPr>
            <w:r>
              <w:rPr>
                <w:lang w:eastAsia="en-GB"/>
              </w:rPr>
              <w:t>5</w:t>
            </w:r>
            <w:r w:rsidR="00F41935">
              <w:rPr>
                <w:lang w:eastAsia="en-GB"/>
              </w:rPr>
              <w:t>0</w:t>
            </w:r>
          </w:p>
        </w:tc>
        <w:tc>
          <w:tcPr>
            <w:tcW w:w="1962" w:type="dxa"/>
            <w:shd w:val="clear" w:color="auto" w:fill="auto"/>
            <w:tcMar>
              <w:top w:w="103" w:type="dxa"/>
              <w:left w:w="207" w:type="dxa"/>
              <w:bottom w:w="103" w:type="dxa"/>
              <w:right w:w="207" w:type="dxa"/>
            </w:tcMar>
          </w:tcPr>
          <w:p w14:paraId="2F57B207" w14:textId="4B112175" w:rsidR="00863481" w:rsidRPr="003563C6" w:rsidRDefault="00FD75E9" w:rsidP="00904AEE">
            <w:pPr>
              <w:rPr>
                <w:lang w:eastAsia="en-GB"/>
              </w:rPr>
            </w:pPr>
            <w:r>
              <w:rPr>
                <w:lang w:eastAsia="en-GB"/>
              </w:rPr>
              <w:t>2</w:t>
            </w:r>
            <w:r w:rsidR="00050589">
              <w:rPr>
                <w:lang w:eastAsia="en-GB"/>
              </w:rPr>
              <w:t>00</w:t>
            </w:r>
          </w:p>
        </w:tc>
      </w:tr>
      <w:tr w:rsidR="003C3DAB" w:rsidRPr="003563C6" w14:paraId="6BF0B80A" w14:textId="77777777" w:rsidTr="00E4743B">
        <w:trPr>
          <w:trHeight w:val="618"/>
        </w:trPr>
        <w:tc>
          <w:tcPr>
            <w:tcW w:w="3539" w:type="dxa"/>
            <w:shd w:val="clear" w:color="auto" w:fill="auto"/>
            <w:tcMar>
              <w:top w:w="103" w:type="dxa"/>
              <w:left w:w="207" w:type="dxa"/>
              <w:bottom w:w="103" w:type="dxa"/>
              <w:right w:w="207" w:type="dxa"/>
            </w:tcMar>
          </w:tcPr>
          <w:p w14:paraId="1C183664" w14:textId="660CEE4D" w:rsidR="00863481" w:rsidRPr="00F82D69" w:rsidRDefault="006C51FD" w:rsidP="00904AEE">
            <w:pPr>
              <w:rPr>
                <w:b/>
                <w:bCs/>
                <w:lang w:eastAsia="en-GB"/>
              </w:rPr>
            </w:pPr>
            <w:r>
              <w:rPr>
                <w:b/>
                <w:bCs/>
                <w:lang w:eastAsia="en-GB"/>
              </w:rPr>
              <w:t>Council car parks</w:t>
            </w:r>
            <w:r w:rsidR="00F41935">
              <w:rPr>
                <w:b/>
                <w:bCs/>
                <w:lang w:eastAsia="en-GB"/>
              </w:rPr>
              <w:t xml:space="preserve"> (10 dwellings a year)</w:t>
            </w:r>
          </w:p>
        </w:tc>
        <w:tc>
          <w:tcPr>
            <w:tcW w:w="1134" w:type="dxa"/>
            <w:shd w:val="clear" w:color="auto" w:fill="auto"/>
            <w:tcMar>
              <w:top w:w="103" w:type="dxa"/>
              <w:left w:w="207" w:type="dxa"/>
              <w:bottom w:w="103" w:type="dxa"/>
              <w:right w:w="207" w:type="dxa"/>
            </w:tcMar>
          </w:tcPr>
          <w:p w14:paraId="67EB6B2C" w14:textId="51EE083E" w:rsidR="00863481" w:rsidRPr="003563C6" w:rsidRDefault="00F41935" w:rsidP="00904AEE">
            <w:pPr>
              <w:rPr>
                <w:lang w:eastAsia="en-GB"/>
              </w:rPr>
            </w:pPr>
            <w:r>
              <w:rPr>
                <w:lang w:eastAsia="en-GB"/>
              </w:rPr>
              <w:t>50</w:t>
            </w:r>
          </w:p>
        </w:tc>
        <w:tc>
          <w:tcPr>
            <w:tcW w:w="1134" w:type="dxa"/>
            <w:shd w:val="clear" w:color="auto" w:fill="auto"/>
            <w:tcMar>
              <w:top w:w="103" w:type="dxa"/>
              <w:left w:w="207" w:type="dxa"/>
              <w:bottom w:w="103" w:type="dxa"/>
              <w:right w:w="207" w:type="dxa"/>
            </w:tcMar>
          </w:tcPr>
          <w:p w14:paraId="4D7B76D0" w14:textId="419810FC" w:rsidR="00863481" w:rsidRPr="003563C6" w:rsidRDefault="00F41935" w:rsidP="00904AEE">
            <w:pPr>
              <w:rPr>
                <w:lang w:eastAsia="en-GB"/>
              </w:rPr>
            </w:pPr>
            <w:r>
              <w:rPr>
                <w:lang w:eastAsia="en-GB"/>
              </w:rPr>
              <w:t>50</w:t>
            </w:r>
          </w:p>
        </w:tc>
        <w:tc>
          <w:tcPr>
            <w:tcW w:w="1276" w:type="dxa"/>
            <w:shd w:val="clear" w:color="auto" w:fill="auto"/>
            <w:tcMar>
              <w:top w:w="103" w:type="dxa"/>
              <w:left w:w="207" w:type="dxa"/>
              <w:bottom w:w="103" w:type="dxa"/>
              <w:right w:w="207" w:type="dxa"/>
            </w:tcMar>
          </w:tcPr>
          <w:p w14:paraId="1489DEC2" w14:textId="3534D2CD" w:rsidR="00863481" w:rsidRPr="003563C6" w:rsidRDefault="00F41935" w:rsidP="00904AEE">
            <w:pPr>
              <w:rPr>
                <w:lang w:eastAsia="en-GB"/>
              </w:rPr>
            </w:pPr>
            <w:r>
              <w:rPr>
                <w:lang w:eastAsia="en-GB"/>
              </w:rPr>
              <w:t>50</w:t>
            </w:r>
          </w:p>
        </w:tc>
        <w:tc>
          <w:tcPr>
            <w:tcW w:w="1298" w:type="dxa"/>
            <w:shd w:val="clear" w:color="auto" w:fill="auto"/>
            <w:tcMar>
              <w:top w:w="103" w:type="dxa"/>
              <w:left w:w="207" w:type="dxa"/>
              <w:bottom w:w="103" w:type="dxa"/>
              <w:right w:w="207" w:type="dxa"/>
            </w:tcMar>
          </w:tcPr>
          <w:p w14:paraId="0833801D" w14:textId="6233533B" w:rsidR="00863481" w:rsidRPr="003563C6" w:rsidRDefault="00F41935" w:rsidP="00904AEE">
            <w:pPr>
              <w:rPr>
                <w:lang w:eastAsia="en-GB"/>
              </w:rPr>
            </w:pPr>
            <w:r>
              <w:rPr>
                <w:lang w:eastAsia="en-GB"/>
              </w:rPr>
              <w:t>50</w:t>
            </w:r>
          </w:p>
        </w:tc>
        <w:tc>
          <w:tcPr>
            <w:tcW w:w="1962" w:type="dxa"/>
            <w:shd w:val="clear" w:color="auto" w:fill="auto"/>
            <w:tcMar>
              <w:top w:w="103" w:type="dxa"/>
              <w:left w:w="207" w:type="dxa"/>
              <w:bottom w:w="103" w:type="dxa"/>
              <w:right w:w="207" w:type="dxa"/>
            </w:tcMar>
          </w:tcPr>
          <w:p w14:paraId="3AC67E86" w14:textId="30D3A4A5" w:rsidR="00863481" w:rsidRPr="003563C6" w:rsidRDefault="002E1497" w:rsidP="00904AEE">
            <w:pPr>
              <w:rPr>
                <w:lang w:eastAsia="en-GB"/>
              </w:rPr>
            </w:pPr>
            <w:r>
              <w:rPr>
                <w:lang w:eastAsia="en-GB"/>
              </w:rPr>
              <w:t>200</w:t>
            </w:r>
          </w:p>
        </w:tc>
      </w:tr>
      <w:tr w:rsidR="003C3DAB" w:rsidRPr="003563C6" w14:paraId="1D9DA9A7" w14:textId="77777777" w:rsidTr="00E4743B">
        <w:trPr>
          <w:trHeight w:val="320"/>
        </w:trPr>
        <w:tc>
          <w:tcPr>
            <w:tcW w:w="3539" w:type="dxa"/>
            <w:shd w:val="clear" w:color="auto" w:fill="auto"/>
            <w:tcMar>
              <w:top w:w="103" w:type="dxa"/>
              <w:left w:w="207" w:type="dxa"/>
              <w:bottom w:w="103" w:type="dxa"/>
              <w:right w:w="207" w:type="dxa"/>
            </w:tcMar>
          </w:tcPr>
          <w:p w14:paraId="48CE499A" w14:textId="5C1FCDB1" w:rsidR="00B959FE" w:rsidRPr="00F82D69" w:rsidRDefault="00EE6482" w:rsidP="00904AEE">
            <w:pPr>
              <w:rPr>
                <w:b/>
                <w:bCs/>
                <w:lang w:eastAsia="en-GB"/>
              </w:rPr>
            </w:pPr>
            <w:r>
              <w:rPr>
                <w:b/>
                <w:bCs/>
                <w:lang w:eastAsia="en-GB"/>
              </w:rPr>
              <w:t>Conservation Areas</w:t>
            </w:r>
          </w:p>
        </w:tc>
        <w:tc>
          <w:tcPr>
            <w:tcW w:w="1134" w:type="dxa"/>
            <w:shd w:val="clear" w:color="auto" w:fill="auto"/>
            <w:tcMar>
              <w:top w:w="103" w:type="dxa"/>
              <w:left w:w="207" w:type="dxa"/>
              <w:bottom w:w="103" w:type="dxa"/>
              <w:right w:w="207" w:type="dxa"/>
            </w:tcMar>
          </w:tcPr>
          <w:p w14:paraId="2CEA6586" w14:textId="65FCAEA0" w:rsidR="00B959FE" w:rsidRPr="003563C6" w:rsidRDefault="00B959FE" w:rsidP="00904AEE">
            <w:pPr>
              <w:rPr>
                <w:lang w:eastAsia="en-GB"/>
              </w:rPr>
            </w:pPr>
          </w:p>
        </w:tc>
        <w:tc>
          <w:tcPr>
            <w:tcW w:w="1134" w:type="dxa"/>
            <w:shd w:val="clear" w:color="auto" w:fill="auto"/>
            <w:tcMar>
              <w:top w:w="103" w:type="dxa"/>
              <w:left w:w="207" w:type="dxa"/>
              <w:bottom w:w="103" w:type="dxa"/>
              <w:right w:w="207" w:type="dxa"/>
            </w:tcMar>
          </w:tcPr>
          <w:p w14:paraId="37459195" w14:textId="757D60EF" w:rsidR="00B959FE" w:rsidRPr="003563C6" w:rsidRDefault="00B959FE" w:rsidP="00904AEE">
            <w:pPr>
              <w:rPr>
                <w:lang w:eastAsia="en-GB"/>
              </w:rPr>
            </w:pPr>
          </w:p>
        </w:tc>
        <w:tc>
          <w:tcPr>
            <w:tcW w:w="1276" w:type="dxa"/>
            <w:shd w:val="clear" w:color="auto" w:fill="auto"/>
            <w:tcMar>
              <w:top w:w="103" w:type="dxa"/>
              <w:left w:w="207" w:type="dxa"/>
              <w:bottom w:w="103" w:type="dxa"/>
              <w:right w:w="207" w:type="dxa"/>
            </w:tcMar>
          </w:tcPr>
          <w:p w14:paraId="02EEDB0C" w14:textId="7ABE66DF" w:rsidR="00B959FE" w:rsidRPr="003563C6" w:rsidRDefault="00B959FE" w:rsidP="00904AEE">
            <w:pPr>
              <w:rPr>
                <w:lang w:eastAsia="en-GB"/>
              </w:rPr>
            </w:pPr>
          </w:p>
        </w:tc>
        <w:tc>
          <w:tcPr>
            <w:tcW w:w="1298" w:type="dxa"/>
            <w:shd w:val="clear" w:color="auto" w:fill="auto"/>
            <w:tcMar>
              <w:top w:w="103" w:type="dxa"/>
              <w:left w:w="207" w:type="dxa"/>
              <w:bottom w:w="103" w:type="dxa"/>
              <w:right w:w="207" w:type="dxa"/>
            </w:tcMar>
          </w:tcPr>
          <w:p w14:paraId="20560DA3" w14:textId="6D08840A" w:rsidR="00B959FE" w:rsidRPr="003563C6" w:rsidRDefault="00B959FE" w:rsidP="00904AEE">
            <w:pPr>
              <w:rPr>
                <w:lang w:eastAsia="en-GB"/>
              </w:rPr>
            </w:pPr>
          </w:p>
        </w:tc>
        <w:tc>
          <w:tcPr>
            <w:tcW w:w="1962" w:type="dxa"/>
            <w:shd w:val="clear" w:color="auto" w:fill="auto"/>
            <w:tcMar>
              <w:top w:w="103" w:type="dxa"/>
              <w:left w:w="207" w:type="dxa"/>
              <w:bottom w:w="103" w:type="dxa"/>
              <w:right w:w="207" w:type="dxa"/>
            </w:tcMar>
          </w:tcPr>
          <w:p w14:paraId="2055FB7D" w14:textId="36607800" w:rsidR="00B959FE" w:rsidRPr="003563C6" w:rsidRDefault="002E1497" w:rsidP="00904AEE">
            <w:pPr>
              <w:rPr>
                <w:lang w:eastAsia="en-GB"/>
              </w:rPr>
            </w:pPr>
            <w:r>
              <w:rPr>
                <w:lang w:eastAsia="en-GB"/>
              </w:rPr>
              <w:t>0</w:t>
            </w:r>
          </w:p>
        </w:tc>
      </w:tr>
      <w:tr w:rsidR="003C3DAB" w:rsidRPr="003563C6" w14:paraId="2FDF691F" w14:textId="77777777" w:rsidTr="00E4743B">
        <w:trPr>
          <w:trHeight w:val="189"/>
        </w:trPr>
        <w:tc>
          <w:tcPr>
            <w:tcW w:w="3539" w:type="dxa"/>
            <w:shd w:val="clear" w:color="auto" w:fill="auto"/>
            <w:tcMar>
              <w:top w:w="103" w:type="dxa"/>
              <w:left w:w="207" w:type="dxa"/>
              <w:bottom w:w="103" w:type="dxa"/>
              <w:right w:w="207" w:type="dxa"/>
            </w:tcMar>
          </w:tcPr>
          <w:p w14:paraId="2C7D6EB4" w14:textId="29FC5BA5" w:rsidR="00B959FE" w:rsidRPr="00F82D69" w:rsidRDefault="00EE6482" w:rsidP="00904AEE">
            <w:pPr>
              <w:rPr>
                <w:b/>
                <w:bCs/>
                <w:lang w:eastAsia="en-GB"/>
              </w:rPr>
            </w:pPr>
            <w:r>
              <w:rPr>
                <w:b/>
                <w:bCs/>
                <w:lang w:eastAsia="en-GB"/>
              </w:rPr>
              <w:t xml:space="preserve">Increased densities </w:t>
            </w:r>
          </w:p>
        </w:tc>
        <w:tc>
          <w:tcPr>
            <w:tcW w:w="1134" w:type="dxa"/>
            <w:shd w:val="clear" w:color="auto" w:fill="auto"/>
            <w:tcMar>
              <w:top w:w="103" w:type="dxa"/>
              <w:left w:w="207" w:type="dxa"/>
              <w:bottom w:w="103" w:type="dxa"/>
              <w:right w:w="207" w:type="dxa"/>
            </w:tcMar>
          </w:tcPr>
          <w:p w14:paraId="630CC9C1" w14:textId="416D21BF" w:rsidR="00B959FE" w:rsidRPr="003563C6" w:rsidRDefault="00B959FE" w:rsidP="00904AEE">
            <w:pPr>
              <w:rPr>
                <w:lang w:eastAsia="en-GB"/>
              </w:rPr>
            </w:pPr>
          </w:p>
        </w:tc>
        <w:tc>
          <w:tcPr>
            <w:tcW w:w="1134" w:type="dxa"/>
            <w:shd w:val="clear" w:color="auto" w:fill="auto"/>
            <w:tcMar>
              <w:top w:w="103" w:type="dxa"/>
              <w:left w:w="207" w:type="dxa"/>
              <w:bottom w:w="103" w:type="dxa"/>
              <w:right w:w="207" w:type="dxa"/>
            </w:tcMar>
          </w:tcPr>
          <w:p w14:paraId="7CA4CD32" w14:textId="12B473C2" w:rsidR="00B959FE" w:rsidRPr="003563C6" w:rsidRDefault="00B959FE" w:rsidP="00904AEE">
            <w:pPr>
              <w:rPr>
                <w:lang w:eastAsia="en-GB"/>
              </w:rPr>
            </w:pPr>
          </w:p>
        </w:tc>
        <w:tc>
          <w:tcPr>
            <w:tcW w:w="1276" w:type="dxa"/>
            <w:shd w:val="clear" w:color="auto" w:fill="auto"/>
            <w:tcMar>
              <w:top w:w="103" w:type="dxa"/>
              <w:left w:w="207" w:type="dxa"/>
              <w:bottom w:w="103" w:type="dxa"/>
              <w:right w:w="207" w:type="dxa"/>
            </w:tcMar>
          </w:tcPr>
          <w:p w14:paraId="5961006E" w14:textId="2FC98503" w:rsidR="00B959FE" w:rsidRPr="003563C6" w:rsidRDefault="00B959FE" w:rsidP="00904AEE">
            <w:pPr>
              <w:rPr>
                <w:lang w:eastAsia="en-GB"/>
              </w:rPr>
            </w:pPr>
          </w:p>
        </w:tc>
        <w:tc>
          <w:tcPr>
            <w:tcW w:w="1298" w:type="dxa"/>
            <w:shd w:val="clear" w:color="auto" w:fill="auto"/>
            <w:tcMar>
              <w:top w:w="103" w:type="dxa"/>
              <w:left w:w="207" w:type="dxa"/>
              <w:bottom w:w="103" w:type="dxa"/>
              <w:right w:w="207" w:type="dxa"/>
            </w:tcMar>
          </w:tcPr>
          <w:p w14:paraId="795A732B" w14:textId="61008C05" w:rsidR="00B959FE" w:rsidRPr="003563C6" w:rsidRDefault="00B959FE" w:rsidP="00904AEE">
            <w:pPr>
              <w:rPr>
                <w:lang w:eastAsia="en-GB"/>
              </w:rPr>
            </w:pPr>
          </w:p>
        </w:tc>
        <w:tc>
          <w:tcPr>
            <w:tcW w:w="1962" w:type="dxa"/>
            <w:shd w:val="clear" w:color="auto" w:fill="auto"/>
            <w:tcMar>
              <w:top w:w="103" w:type="dxa"/>
              <w:left w:w="207" w:type="dxa"/>
              <w:bottom w:w="103" w:type="dxa"/>
              <w:right w:w="207" w:type="dxa"/>
            </w:tcMar>
          </w:tcPr>
          <w:p w14:paraId="1E013873" w14:textId="2DE8755D" w:rsidR="00B959FE" w:rsidRPr="003563C6" w:rsidRDefault="002E1497" w:rsidP="00904AEE">
            <w:pPr>
              <w:rPr>
                <w:lang w:eastAsia="en-GB"/>
              </w:rPr>
            </w:pPr>
            <w:r>
              <w:rPr>
                <w:lang w:eastAsia="en-GB"/>
              </w:rPr>
              <w:t>0</w:t>
            </w:r>
          </w:p>
        </w:tc>
      </w:tr>
      <w:tr w:rsidR="003C3DAB" w:rsidRPr="003563C6" w14:paraId="4B4F1D37" w14:textId="77777777" w:rsidTr="00E4743B">
        <w:trPr>
          <w:trHeight w:val="618"/>
        </w:trPr>
        <w:tc>
          <w:tcPr>
            <w:tcW w:w="3539" w:type="dxa"/>
            <w:shd w:val="clear" w:color="auto" w:fill="auto"/>
            <w:tcMar>
              <w:top w:w="103" w:type="dxa"/>
              <w:left w:w="207" w:type="dxa"/>
              <w:bottom w:w="103" w:type="dxa"/>
              <w:right w:w="207" w:type="dxa"/>
            </w:tcMar>
          </w:tcPr>
          <w:p w14:paraId="40B43AF4" w14:textId="0A6C0AD0" w:rsidR="00B959FE" w:rsidRPr="00F82D69" w:rsidRDefault="001E0ABB" w:rsidP="00904AEE">
            <w:pPr>
              <w:rPr>
                <w:b/>
                <w:bCs/>
                <w:lang w:eastAsia="en-GB"/>
              </w:rPr>
            </w:pPr>
            <w:r>
              <w:rPr>
                <w:b/>
                <w:bCs/>
                <w:lang w:eastAsia="en-GB"/>
              </w:rPr>
              <w:t xml:space="preserve">Reducing town centre boundaries </w:t>
            </w:r>
            <w:r w:rsidR="00F41935">
              <w:rPr>
                <w:b/>
                <w:bCs/>
                <w:lang w:eastAsia="en-GB"/>
              </w:rPr>
              <w:t xml:space="preserve">(10 dwellings a year) </w:t>
            </w:r>
          </w:p>
        </w:tc>
        <w:tc>
          <w:tcPr>
            <w:tcW w:w="1134" w:type="dxa"/>
            <w:shd w:val="clear" w:color="auto" w:fill="auto"/>
            <w:tcMar>
              <w:top w:w="103" w:type="dxa"/>
              <w:left w:w="207" w:type="dxa"/>
              <w:bottom w:w="103" w:type="dxa"/>
              <w:right w:w="207" w:type="dxa"/>
            </w:tcMar>
          </w:tcPr>
          <w:p w14:paraId="5D468672" w14:textId="6DEAFEBE" w:rsidR="00B959FE" w:rsidRPr="003563C6" w:rsidRDefault="00F41935" w:rsidP="00904AEE">
            <w:pPr>
              <w:rPr>
                <w:lang w:eastAsia="en-GB"/>
              </w:rPr>
            </w:pPr>
            <w:r>
              <w:rPr>
                <w:lang w:eastAsia="en-GB"/>
              </w:rPr>
              <w:t>50</w:t>
            </w:r>
          </w:p>
        </w:tc>
        <w:tc>
          <w:tcPr>
            <w:tcW w:w="1134" w:type="dxa"/>
            <w:shd w:val="clear" w:color="auto" w:fill="auto"/>
            <w:tcMar>
              <w:top w:w="103" w:type="dxa"/>
              <w:left w:w="207" w:type="dxa"/>
              <w:bottom w:w="103" w:type="dxa"/>
              <w:right w:w="207" w:type="dxa"/>
            </w:tcMar>
          </w:tcPr>
          <w:p w14:paraId="75A09B27" w14:textId="6E889835" w:rsidR="00B959FE" w:rsidRPr="003563C6" w:rsidRDefault="00F41935" w:rsidP="00904AEE">
            <w:pPr>
              <w:rPr>
                <w:lang w:eastAsia="en-GB"/>
              </w:rPr>
            </w:pPr>
            <w:r>
              <w:rPr>
                <w:lang w:eastAsia="en-GB"/>
              </w:rPr>
              <w:t>50</w:t>
            </w:r>
          </w:p>
        </w:tc>
        <w:tc>
          <w:tcPr>
            <w:tcW w:w="1276" w:type="dxa"/>
            <w:shd w:val="clear" w:color="auto" w:fill="auto"/>
            <w:tcMar>
              <w:top w:w="103" w:type="dxa"/>
              <w:left w:w="207" w:type="dxa"/>
              <w:bottom w:w="103" w:type="dxa"/>
              <w:right w:w="207" w:type="dxa"/>
            </w:tcMar>
          </w:tcPr>
          <w:p w14:paraId="2D6D1BE8" w14:textId="77A41037" w:rsidR="00B959FE" w:rsidRPr="003563C6" w:rsidRDefault="00F41935" w:rsidP="00904AEE">
            <w:pPr>
              <w:rPr>
                <w:lang w:eastAsia="en-GB"/>
              </w:rPr>
            </w:pPr>
            <w:r>
              <w:rPr>
                <w:lang w:eastAsia="en-GB"/>
              </w:rPr>
              <w:t>50</w:t>
            </w:r>
          </w:p>
        </w:tc>
        <w:tc>
          <w:tcPr>
            <w:tcW w:w="1298" w:type="dxa"/>
            <w:shd w:val="clear" w:color="auto" w:fill="auto"/>
            <w:tcMar>
              <w:top w:w="103" w:type="dxa"/>
              <w:left w:w="207" w:type="dxa"/>
              <w:bottom w:w="103" w:type="dxa"/>
              <w:right w:w="207" w:type="dxa"/>
            </w:tcMar>
          </w:tcPr>
          <w:p w14:paraId="4DD46D1F" w14:textId="1FA811D3" w:rsidR="00B959FE" w:rsidRPr="003563C6" w:rsidRDefault="00F41935" w:rsidP="00904AEE">
            <w:pPr>
              <w:rPr>
                <w:lang w:eastAsia="en-GB"/>
              </w:rPr>
            </w:pPr>
            <w:r>
              <w:rPr>
                <w:lang w:eastAsia="en-GB"/>
              </w:rPr>
              <w:t>50</w:t>
            </w:r>
          </w:p>
        </w:tc>
        <w:tc>
          <w:tcPr>
            <w:tcW w:w="1962" w:type="dxa"/>
            <w:shd w:val="clear" w:color="auto" w:fill="auto"/>
            <w:tcMar>
              <w:top w:w="103" w:type="dxa"/>
              <w:left w:w="207" w:type="dxa"/>
              <w:bottom w:w="103" w:type="dxa"/>
              <w:right w:w="207" w:type="dxa"/>
            </w:tcMar>
          </w:tcPr>
          <w:p w14:paraId="696B0FEE" w14:textId="112793DE" w:rsidR="00B959FE" w:rsidRPr="003563C6" w:rsidRDefault="002E1497" w:rsidP="00904AEE">
            <w:pPr>
              <w:rPr>
                <w:lang w:eastAsia="en-GB"/>
              </w:rPr>
            </w:pPr>
            <w:r>
              <w:rPr>
                <w:lang w:eastAsia="en-GB"/>
              </w:rPr>
              <w:t>200</w:t>
            </w:r>
          </w:p>
        </w:tc>
      </w:tr>
      <w:tr w:rsidR="003C3DAB" w:rsidRPr="003563C6" w14:paraId="6D69486D" w14:textId="77777777" w:rsidTr="00E4743B">
        <w:trPr>
          <w:trHeight w:val="335"/>
        </w:trPr>
        <w:tc>
          <w:tcPr>
            <w:tcW w:w="3539" w:type="dxa"/>
            <w:shd w:val="clear" w:color="auto" w:fill="auto"/>
            <w:tcMar>
              <w:top w:w="103" w:type="dxa"/>
              <w:left w:w="207" w:type="dxa"/>
              <w:bottom w:w="103" w:type="dxa"/>
              <w:right w:w="207" w:type="dxa"/>
            </w:tcMar>
          </w:tcPr>
          <w:p w14:paraId="13CD1EF7" w14:textId="499ABC9E" w:rsidR="001E0ABB" w:rsidRDefault="009B7872" w:rsidP="00904AEE">
            <w:pPr>
              <w:rPr>
                <w:b/>
                <w:bCs/>
                <w:lang w:eastAsia="en-GB"/>
              </w:rPr>
            </w:pPr>
            <w:r>
              <w:rPr>
                <w:b/>
                <w:bCs/>
                <w:lang w:eastAsia="en-GB"/>
              </w:rPr>
              <w:t xml:space="preserve">Reviewing employment land </w:t>
            </w:r>
          </w:p>
        </w:tc>
        <w:tc>
          <w:tcPr>
            <w:tcW w:w="1134" w:type="dxa"/>
            <w:shd w:val="clear" w:color="auto" w:fill="auto"/>
            <w:tcMar>
              <w:top w:w="103" w:type="dxa"/>
              <w:left w:w="207" w:type="dxa"/>
              <w:bottom w:w="103" w:type="dxa"/>
              <w:right w:w="207" w:type="dxa"/>
            </w:tcMar>
          </w:tcPr>
          <w:p w14:paraId="3F2995B7" w14:textId="33939FFB" w:rsidR="001E0ABB" w:rsidRPr="003563C6" w:rsidRDefault="001E0ABB" w:rsidP="00904AEE">
            <w:pPr>
              <w:rPr>
                <w:lang w:eastAsia="en-GB"/>
              </w:rPr>
            </w:pPr>
          </w:p>
        </w:tc>
        <w:tc>
          <w:tcPr>
            <w:tcW w:w="1134" w:type="dxa"/>
            <w:shd w:val="clear" w:color="auto" w:fill="auto"/>
            <w:tcMar>
              <w:top w:w="103" w:type="dxa"/>
              <w:left w:w="207" w:type="dxa"/>
              <w:bottom w:w="103" w:type="dxa"/>
              <w:right w:w="207" w:type="dxa"/>
            </w:tcMar>
          </w:tcPr>
          <w:p w14:paraId="396158DC" w14:textId="1B735BC0" w:rsidR="001E0ABB" w:rsidRPr="003563C6" w:rsidRDefault="001E0ABB" w:rsidP="00904AEE">
            <w:pPr>
              <w:rPr>
                <w:lang w:eastAsia="en-GB"/>
              </w:rPr>
            </w:pPr>
          </w:p>
        </w:tc>
        <w:tc>
          <w:tcPr>
            <w:tcW w:w="1276" w:type="dxa"/>
            <w:shd w:val="clear" w:color="auto" w:fill="auto"/>
            <w:tcMar>
              <w:top w:w="103" w:type="dxa"/>
              <w:left w:w="207" w:type="dxa"/>
              <w:bottom w:w="103" w:type="dxa"/>
              <w:right w:w="207" w:type="dxa"/>
            </w:tcMar>
          </w:tcPr>
          <w:p w14:paraId="669ABF6B" w14:textId="48F288B5" w:rsidR="001E0ABB" w:rsidRPr="003563C6" w:rsidRDefault="001E0ABB" w:rsidP="00904AEE">
            <w:pPr>
              <w:rPr>
                <w:lang w:eastAsia="en-GB"/>
              </w:rPr>
            </w:pPr>
          </w:p>
        </w:tc>
        <w:tc>
          <w:tcPr>
            <w:tcW w:w="1298" w:type="dxa"/>
            <w:shd w:val="clear" w:color="auto" w:fill="auto"/>
            <w:tcMar>
              <w:top w:w="103" w:type="dxa"/>
              <w:left w:w="207" w:type="dxa"/>
              <w:bottom w:w="103" w:type="dxa"/>
              <w:right w:w="207" w:type="dxa"/>
            </w:tcMar>
          </w:tcPr>
          <w:p w14:paraId="59AE615B" w14:textId="21F82D67" w:rsidR="001E0ABB" w:rsidRPr="003563C6" w:rsidRDefault="001E0ABB" w:rsidP="00904AEE">
            <w:pPr>
              <w:rPr>
                <w:lang w:eastAsia="en-GB"/>
              </w:rPr>
            </w:pPr>
          </w:p>
        </w:tc>
        <w:tc>
          <w:tcPr>
            <w:tcW w:w="1962" w:type="dxa"/>
            <w:shd w:val="clear" w:color="auto" w:fill="auto"/>
            <w:tcMar>
              <w:top w:w="103" w:type="dxa"/>
              <w:left w:w="207" w:type="dxa"/>
              <w:bottom w:w="103" w:type="dxa"/>
              <w:right w:w="207" w:type="dxa"/>
            </w:tcMar>
          </w:tcPr>
          <w:p w14:paraId="11D9D912" w14:textId="0F7F5150" w:rsidR="001E0ABB" w:rsidRPr="003563C6" w:rsidRDefault="007870A9" w:rsidP="00904AEE">
            <w:pPr>
              <w:rPr>
                <w:lang w:eastAsia="en-GB"/>
              </w:rPr>
            </w:pPr>
            <w:r>
              <w:rPr>
                <w:lang w:eastAsia="en-GB"/>
              </w:rPr>
              <w:t>0</w:t>
            </w:r>
          </w:p>
        </w:tc>
      </w:tr>
      <w:tr w:rsidR="003C3DAB" w:rsidRPr="003563C6" w14:paraId="004BD115" w14:textId="77777777" w:rsidTr="00E4743B">
        <w:trPr>
          <w:trHeight w:val="359"/>
        </w:trPr>
        <w:tc>
          <w:tcPr>
            <w:tcW w:w="3539" w:type="dxa"/>
            <w:shd w:val="clear" w:color="auto" w:fill="auto"/>
            <w:tcMar>
              <w:top w:w="103" w:type="dxa"/>
              <w:left w:w="207" w:type="dxa"/>
              <w:bottom w:w="103" w:type="dxa"/>
              <w:right w:w="207" w:type="dxa"/>
            </w:tcMar>
          </w:tcPr>
          <w:p w14:paraId="3DC5443F" w14:textId="7481593E" w:rsidR="001E0ABB" w:rsidRDefault="009B7872" w:rsidP="00904AEE">
            <w:pPr>
              <w:rPr>
                <w:b/>
                <w:bCs/>
                <w:lang w:eastAsia="en-GB"/>
              </w:rPr>
            </w:pPr>
            <w:r>
              <w:rPr>
                <w:b/>
                <w:bCs/>
                <w:lang w:eastAsia="en-GB"/>
              </w:rPr>
              <w:t>More specialist accommodation</w:t>
            </w:r>
          </w:p>
        </w:tc>
        <w:tc>
          <w:tcPr>
            <w:tcW w:w="1134" w:type="dxa"/>
            <w:shd w:val="clear" w:color="auto" w:fill="auto"/>
            <w:tcMar>
              <w:top w:w="103" w:type="dxa"/>
              <w:left w:w="207" w:type="dxa"/>
              <w:bottom w:w="103" w:type="dxa"/>
              <w:right w:w="207" w:type="dxa"/>
            </w:tcMar>
          </w:tcPr>
          <w:p w14:paraId="53D7F2D0" w14:textId="5BA191B7" w:rsidR="001E0ABB" w:rsidRPr="003563C6" w:rsidRDefault="001E0ABB" w:rsidP="00904AEE">
            <w:pPr>
              <w:rPr>
                <w:lang w:eastAsia="en-GB"/>
              </w:rPr>
            </w:pPr>
          </w:p>
        </w:tc>
        <w:tc>
          <w:tcPr>
            <w:tcW w:w="1134" w:type="dxa"/>
            <w:shd w:val="clear" w:color="auto" w:fill="auto"/>
            <w:tcMar>
              <w:top w:w="103" w:type="dxa"/>
              <w:left w:w="207" w:type="dxa"/>
              <w:bottom w:w="103" w:type="dxa"/>
              <w:right w:w="207" w:type="dxa"/>
            </w:tcMar>
          </w:tcPr>
          <w:p w14:paraId="1E8AEBCF" w14:textId="605FEDD9" w:rsidR="001E0ABB" w:rsidRPr="003563C6" w:rsidRDefault="001E0ABB" w:rsidP="00904AEE">
            <w:pPr>
              <w:rPr>
                <w:lang w:eastAsia="en-GB"/>
              </w:rPr>
            </w:pPr>
          </w:p>
        </w:tc>
        <w:tc>
          <w:tcPr>
            <w:tcW w:w="1276" w:type="dxa"/>
            <w:shd w:val="clear" w:color="auto" w:fill="auto"/>
            <w:tcMar>
              <w:top w:w="103" w:type="dxa"/>
              <w:left w:w="207" w:type="dxa"/>
              <w:bottom w:w="103" w:type="dxa"/>
              <w:right w:w="207" w:type="dxa"/>
            </w:tcMar>
          </w:tcPr>
          <w:p w14:paraId="52851A4C" w14:textId="5B348BE6" w:rsidR="001E0ABB" w:rsidRPr="003563C6" w:rsidRDefault="001E0ABB" w:rsidP="00904AEE">
            <w:pPr>
              <w:rPr>
                <w:lang w:eastAsia="en-GB"/>
              </w:rPr>
            </w:pPr>
          </w:p>
        </w:tc>
        <w:tc>
          <w:tcPr>
            <w:tcW w:w="1298" w:type="dxa"/>
            <w:shd w:val="clear" w:color="auto" w:fill="auto"/>
            <w:tcMar>
              <w:top w:w="103" w:type="dxa"/>
              <w:left w:w="207" w:type="dxa"/>
              <w:bottom w:w="103" w:type="dxa"/>
              <w:right w:w="207" w:type="dxa"/>
            </w:tcMar>
          </w:tcPr>
          <w:p w14:paraId="574EB4FE" w14:textId="09E7F03E" w:rsidR="001E0ABB" w:rsidRPr="003563C6" w:rsidRDefault="001E0ABB" w:rsidP="00904AEE">
            <w:pPr>
              <w:rPr>
                <w:lang w:eastAsia="en-GB"/>
              </w:rPr>
            </w:pPr>
          </w:p>
        </w:tc>
        <w:tc>
          <w:tcPr>
            <w:tcW w:w="1962" w:type="dxa"/>
            <w:shd w:val="clear" w:color="auto" w:fill="auto"/>
            <w:tcMar>
              <w:top w:w="103" w:type="dxa"/>
              <w:left w:w="207" w:type="dxa"/>
              <w:bottom w:w="103" w:type="dxa"/>
              <w:right w:w="207" w:type="dxa"/>
            </w:tcMar>
          </w:tcPr>
          <w:p w14:paraId="018256E2" w14:textId="225F2290" w:rsidR="001E0ABB" w:rsidRPr="003563C6" w:rsidRDefault="007870A9" w:rsidP="00904AEE">
            <w:pPr>
              <w:rPr>
                <w:lang w:eastAsia="en-GB"/>
              </w:rPr>
            </w:pPr>
            <w:r>
              <w:rPr>
                <w:lang w:eastAsia="en-GB"/>
              </w:rPr>
              <w:t>0</w:t>
            </w:r>
          </w:p>
        </w:tc>
      </w:tr>
      <w:tr w:rsidR="00E67421" w:rsidRPr="00E45B6E" w14:paraId="671024C6" w14:textId="77777777" w:rsidTr="00E4743B">
        <w:trPr>
          <w:trHeight w:val="355"/>
        </w:trPr>
        <w:tc>
          <w:tcPr>
            <w:tcW w:w="3539" w:type="dxa"/>
            <w:shd w:val="clear" w:color="auto" w:fill="auto"/>
            <w:tcMar>
              <w:top w:w="103" w:type="dxa"/>
              <w:left w:w="207" w:type="dxa"/>
              <w:bottom w:w="103" w:type="dxa"/>
              <w:right w:w="207" w:type="dxa"/>
            </w:tcMar>
          </w:tcPr>
          <w:p w14:paraId="15D156B9" w14:textId="43DA9E52" w:rsidR="005C64B5" w:rsidRPr="00E45B6E" w:rsidRDefault="005C64B5" w:rsidP="00904AEE">
            <w:pPr>
              <w:rPr>
                <w:b/>
                <w:sz w:val="16"/>
                <w:szCs w:val="16"/>
                <w:lang w:eastAsia="en-GB"/>
              </w:rPr>
            </w:pPr>
          </w:p>
        </w:tc>
        <w:tc>
          <w:tcPr>
            <w:tcW w:w="1134" w:type="dxa"/>
            <w:shd w:val="clear" w:color="auto" w:fill="auto"/>
            <w:tcMar>
              <w:top w:w="103" w:type="dxa"/>
              <w:left w:w="207" w:type="dxa"/>
              <w:bottom w:w="103" w:type="dxa"/>
              <w:right w:w="207" w:type="dxa"/>
            </w:tcMar>
          </w:tcPr>
          <w:p w14:paraId="1AF8C61C" w14:textId="680FDE93" w:rsidR="005C64B5" w:rsidRPr="00E45B6E" w:rsidRDefault="005C64B5" w:rsidP="00904AEE">
            <w:pPr>
              <w:rPr>
                <w:sz w:val="16"/>
                <w:szCs w:val="16"/>
                <w:lang w:eastAsia="en-GB"/>
              </w:rPr>
            </w:pPr>
          </w:p>
        </w:tc>
        <w:tc>
          <w:tcPr>
            <w:tcW w:w="1134" w:type="dxa"/>
            <w:shd w:val="clear" w:color="auto" w:fill="auto"/>
            <w:tcMar>
              <w:top w:w="103" w:type="dxa"/>
              <w:left w:w="207" w:type="dxa"/>
              <w:bottom w:w="103" w:type="dxa"/>
              <w:right w:w="207" w:type="dxa"/>
            </w:tcMar>
          </w:tcPr>
          <w:p w14:paraId="54D4DDE9" w14:textId="33874932" w:rsidR="005C64B5" w:rsidRPr="00E45B6E" w:rsidRDefault="005C64B5" w:rsidP="00904AEE">
            <w:pPr>
              <w:rPr>
                <w:sz w:val="16"/>
                <w:szCs w:val="16"/>
                <w:lang w:eastAsia="en-GB"/>
              </w:rPr>
            </w:pPr>
          </w:p>
        </w:tc>
        <w:tc>
          <w:tcPr>
            <w:tcW w:w="1276" w:type="dxa"/>
            <w:shd w:val="clear" w:color="auto" w:fill="auto"/>
            <w:tcMar>
              <w:top w:w="103" w:type="dxa"/>
              <w:left w:w="207" w:type="dxa"/>
              <w:bottom w:w="103" w:type="dxa"/>
              <w:right w:w="207" w:type="dxa"/>
            </w:tcMar>
          </w:tcPr>
          <w:p w14:paraId="05522743" w14:textId="5A957A72" w:rsidR="005C64B5" w:rsidRPr="00E45B6E" w:rsidRDefault="005C64B5" w:rsidP="00904AEE">
            <w:pPr>
              <w:rPr>
                <w:sz w:val="16"/>
                <w:szCs w:val="16"/>
                <w:lang w:eastAsia="en-GB"/>
              </w:rPr>
            </w:pPr>
          </w:p>
        </w:tc>
        <w:tc>
          <w:tcPr>
            <w:tcW w:w="1298" w:type="dxa"/>
            <w:shd w:val="clear" w:color="auto" w:fill="auto"/>
            <w:tcMar>
              <w:top w:w="103" w:type="dxa"/>
              <w:left w:w="207" w:type="dxa"/>
              <w:bottom w:w="103" w:type="dxa"/>
              <w:right w:w="207" w:type="dxa"/>
            </w:tcMar>
          </w:tcPr>
          <w:p w14:paraId="3BB8F33B" w14:textId="31DBDC0C" w:rsidR="005C64B5" w:rsidRPr="00E45B6E" w:rsidRDefault="005C64B5" w:rsidP="00904AEE">
            <w:pPr>
              <w:rPr>
                <w:sz w:val="16"/>
                <w:szCs w:val="16"/>
                <w:lang w:eastAsia="en-GB"/>
              </w:rPr>
            </w:pPr>
          </w:p>
        </w:tc>
        <w:tc>
          <w:tcPr>
            <w:tcW w:w="1962" w:type="dxa"/>
            <w:shd w:val="clear" w:color="auto" w:fill="auto"/>
            <w:tcMar>
              <w:top w:w="103" w:type="dxa"/>
              <w:left w:w="207" w:type="dxa"/>
              <w:bottom w:w="103" w:type="dxa"/>
              <w:right w:w="207" w:type="dxa"/>
            </w:tcMar>
          </w:tcPr>
          <w:p w14:paraId="4157F99F" w14:textId="16861B8E" w:rsidR="005C64B5" w:rsidRPr="00E45B6E" w:rsidRDefault="005C64B5" w:rsidP="00904AEE">
            <w:pPr>
              <w:rPr>
                <w:sz w:val="16"/>
                <w:szCs w:val="16"/>
                <w:lang w:eastAsia="en-GB"/>
              </w:rPr>
            </w:pPr>
          </w:p>
        </w:tc>
      </w:tr>
      <w:tr w:rsidR="003C3DAB" w:rsidRPr="003563C6" w14:paraId="6AC1D82C" w14:textId="77777777" w:rsidTr="00E4743B">
        <w:trPr>
          <w:trHeight w:val="758"/>
        </w:trPr>
        <w:tc>
          <w:tcPr>
            <w:tcW w:w="3539" w:type="dxa"/>
            <w:shd w:val="clear" w:color="auto" w:fill="auto"/>
            <w:tcMar>
              <w:top w:w="103" w:type="dxa"/>
              <w:left w:w="207" w:type="dxa"/>
              <w:bottom w:w="103" w:type="dxa"/>
              <w:right w:w="207" w:type="dxa"/>
            </w:tcMar>
            <w:hideMark/>
          </w:tcPr>
          <w:p w14:paraId="63DFDC98" w14:textId="77777777" w:rsidR="005C64B5" w:rsidRPr="00F82D69" w:rsidRDefault="005C64B5" w:rsidP="00904AEE">
            <w:pPr>
              <w:rPr>
                <w:b/>
                <w:bCs/>
                <w:lang w:eastAsia="en-GB"/>
              </w:rPr>
            </w:pPr>
            <w:r w:rsidRPr="00F82D69">
              <w:rPr>
                <w:b/>
                <w:bCs/>
                <w:lang w:eastAsia="en-GB"/>
              </w:rPr>
              <w:t>Total </w:t>
            </w:r>
          </w:p>
        </w:tc>
        <w:tc>
          <w:tcPr>
            <w:tcW w:w="1134" w:type="dxa"/>
            <w:shd w:val="clear" w:color="auto" w:fill="auto"/>
            <w:tcMar>
              <w:top w:w="103" w:type="dxa"/>
              <w:left w:w="207" w:type="dxa"/>
              <w:bottom w:w="103" w:type="dxa"/>
              <w:right w:w="207" w:type="dxa"/>
            </w:tcMar>
          </w:tcPr>
          <w:p w14:paraId="1E1E96E0" w14:textId="059232E4" w:rsidR="005C64B5" w:rsidRPr="00F82D69" w:rsidRDefault="002C43AB" w:rsidP="00904AEE">
            <w:pPr>
              <w:rPr>
                <w:b/>
                <w:bCs/>
                <w:lang w:eastAsia="en-GB"/>
              </w:rPr>
            </w:pPr>
            <w:r>
              <w:rPr>
                <w:b/>
                <w:bCs/>
                <w:lang w:eastAsia="en-GB"/>
              </w:rPr>
              <w:t>1990</w:t>
            </w:r>
          </w:p>
        </w:tc>
        <w:tc>
          <w:tcPr>
            <w:tcW w:w="1134" w:type="dxa"/>
            <w:shd w:val="clear" w:color="auto" w:fill="auto"/>
            <w:tcMar>
              <w:top w:w="103" w:type="dxa"/>
              <w:left w:w="207" w:type="dxa"/>
              <w:bottom w:w="103" w:type="dxa"/>
              <w:right w:w="207" w:type="dxa"/>
            </w:tcMar>
          </w:tcPr>
          <w:p w14:paraId="168ED92F" w14:textId="6E9F12AF" w:rsidR="005C64B5" w:rsidRPr="00F82D69" w:rsidRDefault="00745C83" w:rsidP="00904AEE">
            <w:pPr>
              <w:rPr>
                <w:b/>
                <w:bCs/>
                <w:lang w:eastAsia="en-GB"/>
              </w:rPr>
            </w:pPr>
            <w:r>
              <w:rPr>
                <w:b/>
                <w:bCs/>
                <w:lang w:eastAsia="en-GB"/>
              </w:rPr>
              <w:t>3420</w:t>
            </w:r>
          </w:p>
        </w:tc>
        <w:tc>
          <w:tcPr>
            <w:tcW w:w="1276" w:type="dxa"/>
            <w:shd w:val="clear" w:color="auto" w:fill="auto"/>
            <w:tcMar>
              <w:top w:w="103" w:type="dxa"/>
              <w:left w:w="207" w:type="dxa"/>
              <w:bottom w:w="103" w:type="dxa"/>
              <w:right w:w="207" w:type="dxa"/>
            </w:tcMar>
          </w:tcPr>
          <w:p w14:paraId="012E9055" w14:textId="5E58FECD" w:rsidR="005C64B5" w:rsidRPr="00F82D69" w:rsidRDefault="0097600B" w:rsidP="00904AEE">
            <w:pPr>
              <w:rPr>
                <w:b/>
                <w:bCs/>
                <w:lang w:eastAsia="en-GB"/>
              </w:rPr>
            </w:pPr>
            <w:r>
              <w:rPr>
                <w:b/>
                <w:bCs/>
                <w:lang w:eastAsia="en-GB"/>
              </w:rPr>
              <w:t>2870</w:t>
            </w:r>
          </w:p>
        </w:tc>
        <w:tc>
          <w:tcPr>
            <w:tcW w:w="1298" w:type="dxa"/>
            <w:shd w:val="clear" w:color="auto" w:fill="auto"/>
            <w:tcMar>
              <w:top w:w="103" w:type="dxa"/>
              <w:left w:w="207" w:type="dxa"/>
              <w:bottom w:w="103" w:type="dxa"/>
              <w:right w:w="207" w:type="dxa"/>
            </w:tcMar>
          </w:tcPr>
          <w:p w14:paraId="7263BF74" w14:textId="6648D96B" w:rsidR="005C64B5" w:rsidRPr="00F82D69" w:rsidRDefault="005073FC" w:rsidP="00904AEE">
            <w:pPr>
              <w:rPr>
                <w:b/>
                <w:bCs/>
                <w:lang w:eastAsia="en-GB"/>
              </w:rPr>
            </w:pPr>
            <w:r>
              <w:rPr>
                <w:b/>
                <w:bCs/>
                <w:lang w:eastAsia="en-GB"/>
              </w:rPr>
              <w:t>1740</w:t>
            </w:r>
          </w:p>
        </w:tc>
        <w:tc>
          <w:tcPr>
            <w:tcW w:w="1962" w:type="dxa"/>
            <w:shd w:val="clear" w:color="auto" w:fill="auto"/>
            <w:tcMar>
              <w:top w:w="103" w:type="dxa"/>
              <w:left w:w="207" w:type="dxa"/>
              <w:bottom w:w="103" w:type="dxa"/>
              <w:right w:w="207" w:type="dxa"/>
            </w:tcMar>
          </w:tcPr>
          <w:p w14:paraId="77B4B648" w14:textId="236EE49F" w:rsidR="005C64B5" w:rsidRPr="00F82D69" w:rsidRDefault="00B12F8E" w:rsidP="00904AEE">
            <w:pPr>
              <w:rPr>
                <w:b/>
                <w:bCs/>
                <w:lang w:eastAsia="en-GB"/>
              </w:rPr>
            </w:pPr>
            <w:r>
              <w:rPr>
                <w:b/>
                <w:bCs/>
                <w:lang w:eastAsia="en-GB"/>
              </w:rPr>
              <w:t>98</w:t>
            </w:r>
            <w:r w:rsidR="0010035E">
              <w:rPr>
                <w:b/>
                <w:bCs/>
                <w:lang w:eastAsia="en-GB"/>
              </w:rPr>
              <w:t>20</w:t>
            </w:r>
          </w:p>
        </w:tc>
      </w:tr>
    </w:tbl>
    <w:p w14:paraId="2EB2EC1C" w14:textId="77777777" w:rsidR="00E571BE" w:rsidRDefault="00E571BE" w:rsidP="00AC7CE6"/>
    <w:p w14:paraId="00D6AA1A" w14:textId="2F76F98F" w:rsidR="00AC7CE6" w:rsidRDefault="00AC7CE6" w:rsidP="00AC7CE6">
      <w:pPr>
        <w:pStyle w:val="Heading2"/>
      </w:pPr>
      <w:r>
        <w:t xml:space="preserve">Next Steps </w:t>
      </w:r>
    </w:p>
    <w:p w14:paraId="20CA428F" w14:textId="0F1D062A" w:rsidR="007F1518" w:rsidRDefault="007F1518" w:rsidP="004D22FA">
      <w:pPr>
        <w:rPr>
          <w:lang w:eastAsia="en-GB"/>
        </w:rPr>
      </w:pPr>
      <w:r w:rsidRPr="006A0100">
        <w:t xml:space="preserve">The HELAA has been used to draft growth </w:t>
      </w:r>
      <w:r w:rsidR="000C7803" w:rsidRPr="006A0100">
        <w:t xml:space="preserve">options as part of the Local Plan Update.  </w:t>
      </w:r>
      <w:r w:rsidR="006A0100" w:rsidRPr="006A0100">
        <w:t xml:space="preserve">A </w:t>
      </w:r>
      <w:r w:rsidR="006A0100" w:rsidRPr="006A0100">
        <w:rPr>
          <w:lang w:eastAsia="en-GB"/>
        </w:rPr>
        <w:t>Consultation Draft Local Plan Update Reg 18 Options published in January 2022</w:t>
      </w:r>
      <w:r w:rsidR="006A0100">
        <w:rPr>
          <w:lang w:eastAsia="en-GB"/>
        </w:rPr>
        <w:t xml:space="preserve">. </w:t>
      </w:r>
    </w:p>
    <w:p w14:paraId="054DEBB1" w14:textId="3B6863A5" w:rsidR="006A0100" w:rsidRPr="006A0100" w:rsidRDefault="006A0100" w:rsidP="004D22FA">
      <w:pPr>
        <w:rPr>
          <w:lang w:eastAsia="en-GB"/>
        </w:rPr>
      </w:pPr>
      <w:r>
        <w:rPr>
          <w:lang w:eastAsia="en-GB"/>
        </w:rPr>
        <w:t xml:space="preserve">Broadly speaking, </w:t>
      </w:r>
      <w:proofErr w:type="gramStart"/>
      <w:r>
        <w:rPr>
          <w:lang w:eastAsia="en-GB"/>
        </w:rPr>
        <w:t>all of</w:t>
      </w:r>
      <w:proofErr w:type="gramEnd"/>
      <w:r>
        <w:rPr>
          <w:lang w:eastAsia="en-GB"/>
        </w:rPr>
        <w:t xml:space="preserve"> the </w:t>
      </w:r>
      <w:r w:rsidR="00E9283F">
        <w:rPr>
          <w:lang w:eastAsia="en-GB"/>
        </w:rPr>
        <w:t xml:space="preserve">urban regeneration and already allocated sites are </w:t>
      </w:r>
      <w:r w:rsidR="00571FE9">
        <w:rPr>
          <w:lang w:eastAsia="en-GB"/>
        </w:rPr>
        <w:t xml:space="preserve">proposed in all growth options. </w:t>
      </w:r>
      <w:r w:rsidR="00353AF4">
        <w:rPr>
          <w:lang w:eastAsia="en-GB"/>
        </w:rPr>
        <w:t xml:space="preserve">This is </w:t>
      </w:r>
      <w:r w:rsidR="00694E3F">
        <w:rPr>
          <w:lang w:eastAsia="en-GB"/>
        </w:rPr>
        <w:t>because, as</w:t>
      </w:r>
      <w:r w:rsidR="00353AF4">
        <w:rPr>
          <w:lang w:eastAsia="en-GB"/>
        </w:rPr>
        <w:t xml:space="preserve"> a policy consideration, </w:t>
      </w:r>
      <w:r w:rsidR="00EF0704">
        <w:rPr>
          <w:lang w:eastAsia="en-GB"/>
        </w:rPr>
        <w:t>it is highly likely tha</w:t>
      </w:r>
      <w:r w:rsidR="00694E3F">
        <w:rPr>
          <w:lang w:eastAsia="en-GB"/>
        </w:rPr>
        <w:t>t</w:t>
      </w:r>
      <w:r w:rsidR="00EF0704">
        <w:rPr>
          <w:lang w:eastAsia="en-GB"/>
        </w:rPr>
        <w:t xml:space="preserve"> the Council will continue to promote these as development sites</w:t>
      </w:r>
      <w:r w:rsidR="00694E3F">
        <w:rPr>
          <w:lang w:eastAsia="en-GB"/>
        </w:rPr>
        <w:t xml:space="preserve">, even though the HELAA acknowledges deliverability difficulties.  </w:t>
      </w:r>
      <w:r w:rsidR="00571FE9">
        <w:rPr>
          <w:lang w:eastAsia="en-GB"/>
        </w:rPr>
        <w:t xml:space="preserve"> </w:t>
      </w:r>
      <w:r w:rsidR="00382792">
        <w:rPr>
          <w:lang w:eastAsia="en-GB"/>
        </w:rPr>
        <w:t xml:space="preserve">The remaining options introduce sites with </w:t>
      </w:r>
      <w:r w:rsidR="007266BE">
        <w:rPr>
          <w:lang w:eastAsia="en-GB"/>
        </w:rPr>
        <w:t xml:space="preserve">increasing degrees of constraint.  Maps showing how these were </w:t>
      </w:r>
      <w:r w:rsidR="00F9260C">
        <w:rPr>
          <w:lang w:eastAsia="en-GB"/>
        </w:rPr>
        <w:t xml:space="preserve">considered are included at </w:t>
      </w:r>
      <w:r w:rsidR="00410765">
        <w:rPr>
          <w:lang w:eastAsia="en-GB"/>
        </w:rPr>
        <w:t>A</w:t>
      </w:r>
      <w:r w:rsidR="00F9260C">
        <w:rPr>
          <w:lang w:eastAsia="en-GB"/>
        </w:rPr>
        <w:t>ppendix</w:t>
      </w:r>
      <w:r w:rsidR="001608E8">
        <w:rPr>
          <w:lang w:eastAsia="en-GB"/>
        </w:rPr>
        <w:t xml:space="preserve"> 5. </w:t>
      </w:r>
      <w:r w:rsidR="00E9283F">
        <w:rPr>
          <w:lang w:eastAsia="en-GB"/>
        </w:rPr>
        <w:t xml:space="preserve"> </w:t>
      </w:r>
      <w:r w:rsidR="00694E3F">
        <w:rPr>
          <w:lang w:eastAsia="en-GB"/>
        </w:rPr>
        <w:t xml:space="preserve">Two Maps are produced: one is a “policy off” map showing the </w:t>
      </w:r>
      <w:r w:rsidR="0046354E">
        <w:rPr>
          <w:lang w:eastAsia="en-GB"/>
        </w:rPr>
        <w:t xml:space="preserve">unaltered </w:t>
      </w:r>
      <w:r w:rsidR="007432B9">
        <w:rPr>
          <w:lang w:eastAsia="en-GB"/>
        </w:rPr>
        <w:t>HELAA coding</w:t>
      </w:r>
      <w:r w:rsidR="0046354E">
        <w:rPr>
          <w:lang w:eastAsia="en-GB"/>
        </w:rPr>
        <w:t xml:space="preserve">. The second </w:t>
      </w:r>
      <w:r w:rsidR="00A63B14">
        <w:rPr>
          <w:lang w:eastAsia="en-GB"/>
        </w:rPr>
        <w:t xml:space="preserve">reflects that urban regeneration sites are likely to remain allocated.  </w:t>
      </w:r>
      <w:r w:rsidR="001608E8">
        <w:rPr>
          <w:lang w:eastAsia="en-GB"/>
        </w:rPr>
        <w:t xml:space="preserve">Note that </w:t>
      </w:r>
      <w:r w:rsidR="00A63B14">
        <w:rPr>
          <w:lang w:eastAsia="en-GB"/>
        </w:rPr>
        <w:t xml:space="preserve">second </w:t>
      </w:r>
      <w:r w:rsidR="00937467">
        <w:rPr>
          <w:lang w:eastAsia="en-GB"/>
        </w:rPr>
        <w:t>map is</w:t>
      </w:r>
      <w:r w:rsidR="001608E8">
        <w:rPr>
          <w:lang w:eastAsia="en-GB"/>
        </w:rPr>
        <w:t xml:space="preserve"> the same as Option 5 in the </w:t>
      </w:r>
      <w:r w:rsidR="004B27A7">
        <w:rPr>
          <w:lang w:eastAsia="en-GB"/>
        </w:rPr>
        <w:t xml:space="preserve">Regulation 18 </w:t>
      </w:r>
      <w:r w:rsidR="001608E8">
        <w:rPr>
          <w:lang w:eastAsia="en-GB"/>
        </w:rPr>
        <w:t xml:space="preserve">Local Plan </w:t>
      </w:r>
      <w:r w:rsidR="004B27A7">
        <w:rPr>
          <w:lang w:eastAsia="en-GB"/>
        </w:rPr>
        <w:t>Growth Options.  The map</w:t>
      </w:r>
      <w:r w:rsidR="00937467">
        <w:rPr>
          <w:lang w:eastAsia="en-GB"/>
        </w:rPr>
        <w:t>s</w:t>
      </w:r>
      <w:r w:rsidR="004B27A7">
        <w:rPr>
          <w:lang w:eastAsia="en-GB"/>
        </w:rPr>
        <w:t xml:space="preserve"> </w:t>
      </w:r>
      <w:r w:rsidR="00937467">
        <w:rPr>
          <w:lang w:eastAsia="en-GB"/>
        </w:rPr>
        <w:t>are</w:t>
      </w:r>
      <w:r w:rsidR="004B27A7">
        <w:rPr>
          <w:lang w:eastAsia="en-GB"/>
        </w:rPr>
        <w:t xml:space="preserve"> best viewed electronically. </w:t>
      </w:r>
    </w:p>
    <w:p w14:paraId="0C049093" w14:textId="70545757" w:rsidR="00D07D53" w:rsidRDefault="00BE7726" w:rsidP="00AD0B6E">
      <w:pPr>
        <w:rPr>
          <w:lang w:eastAsia="en-GB"/>
        </w:rPr>
      </w:pPr>
      <w:r w:rsidRPr="38F91EEA">
        <w:rPr>
          <w:lang w:eastAsia="en-GB"/>
        </w:rPr>
        <w:t xml:space="preserve">The Growth Options Consultation is available at </w:t>
      </w:r>
      <w:hyperlink r:id="rId22">
        <w:r w:rsidR="00432B51" w:rsidRPr="38F91EEA">
          <w:rPr>
            <w:color w:val="0000FF"/>
            <w:u w:val="single"/>
          </w:rPr>
          <w:t>Local Plan Update - Torbay Council</w:t>
        </w:r>
      </w:hyperlink>
    </w:p>
    <w:p w14:paraId="4863EBFE" w14:textId="5A62C1D5" w:rsidR="38F91EEA" w:rsidRDefault="38F91EEA">
      <w:r>
        <w:br w:type="page"/>
      </w:r>
    </w:p>
    <w:p w14:paraId="2BF99900" w14:textId="216F56F0" w:rsidR="00C71A33" w:rsidRDefault="00C71A33" w:rsidP="00C71A33">
      <w:pPr>
        <w:pStyle w:val="Heading1"/>
        <w:rPr>
          <w:lang w:eastAsia="en-GB"/>
        </w:rPr>
      </w:pPr>
    </w:p>
    <w:p w14:paraId="47670908" w14:textId="77777777" w:rsidR="00C71A33" w:rsidRDefault="00C71A33" w:rsidP="00AD0B6E"/>
    <w:p w14:paraId="4EB5A1C0" w14:textId="2AED0E5A" w:rsidR="003563C6" w:rsidRDefault="00E571BE" w:rsidP="00E571BE">
      <w:pPr>
        <w:pStyle w:val="Heading1"/>
      </w:pPr>
      <w:bookmarkStart w:id="1" w:name="_Toc93076258"/>
      <w:r>
        <w:t>Appendices</w:t>
      </w:r>
      <w:bookmarkEnd w:id="1"/>
      <w:r>
        <w:t xml:space="preserve"> </w:t>
      </w:r>
    </w:p>
    <w:p w14:paraId="2D0C3F3B" w14:textId="08A163FB" w:rsidR="003563C6" w:rsidRDefault="00594B31" w:rsidP="00D07D53">
      <w:r>
        <w:t xml:space="preserve">1) </w:t>
      </w:r>
      <w:r w:rsidR="00F96FB0">
        <w:t xml:space="preserve"> </w:t>
      </w:r>
      <w:r w:rsidR="00BC706F">
        <w:t>Methodology</w:t>
      </w:r>
    </w:p>
    <w:p w14:paraId="3FD6E313" w14:textId="4EDF038C" w:rsidR="00BC706F" w:rsidRDefault="00BC706F" w:rsidP="00D07D53">
      <w:r>
        <w:t xml:space="preserve">2) </w:t>
      </w:r>
      <w:r w:rsidR="00EF2693">
        <w:t xml:space="preserve"> HELAA Panel </w:t>
      </w:r>
      <w:r w:rsidR="009D0A5C">
        <w:t xml:space="preserve">Summary of findings </w:t>
      </w:r>
    </w:p>
    <w:p w14:paraId="6164EA3D" w14:textId="1A5F70F9" w:rsidR="00891275" w:rsidRDefault="00891275" w:rsidP="00D07D53">
      <w:r>
        <w:t>3)</w:t>
      </w:r>
      <w:r w:rsidR="009D0A5C">
        <w:t xml:space="preserve">  HELAA Spreadsheet of Sites </w:t>
      </w:r>
    </w:p>
    <w:p w14:paraId="5A7DC098" w14:textId="32854C28" w:rsidR="009D0A5C" w:rsidRDefault="009D0A5C" w:rsidP="00D07D53">
      <w:r>
        <w:t xml:space="preserve">4) </w:t>
      </w:r>
      <w:r w:rsidR="00F96FB0">
        <w:t xml:space="preserve"> </w:t>
      </w:r>
      <w:r>
        <w:t>Site proformas</w:t>
      </w:r>
    </w:p>
    <w:p w14:paraId="04895EEB" w14:textId="4D4FC443" w:rsidR="00010BAA" w:rsidRDefault="00010BAA" w:rsidP="00D07D53">
      <w:r>
        <w:t xml:space="preserve">5) </w:t>
      </w:r>
      <w:r w:rsidR="00E7463D">
        <w:t>Map of</w:t>
      </w:r>
      <w:r>
        <w:t xml:space="preserve"> </w:t>
      </w:r>
      <w:r w:rsidR="008346D6">
        <w:t>Sites and broad locations considered by the HELAA (</w:t>
      </w:r>
      <w:r w:rsidR="00E7463D">
        <w:t>N</w:t>
      </w:r>
      <w:r w:rsidR="008346D6">
        <w:t xml:space="preserve">ote that this is the same as Local Plan Update </w:t>
      </w:r>
      <w:r w:rsidR="001608E8">
        <w:t>Regulation</w:t>
      </w:r>
      <w:r w:rsidR="008346D6">
        <w:t xml:space="preserve"> 18 </w:t>
      </w:r>
      <w:r w:rsidR="001608E8">
        <w:t xml:space="preserve">Option 5. </w:t>
      </w:r>
    </w:p>
    <w:p w14:paraId="7F30CFCE" w14:textId="6EA79299" w:rsidR="00891275" w:rsidRDefault="00891275">
      <w:pPr>
        <w:spacing w:line="264" w:lineRule="auto"/>
      </w:pPr>
      <w:r>
        <w:br w:type="page"/>
      </w:r>
    </w:p>
    <w:p w14:paraId="2DAFEA4C" w14:textId="77777777" w:rsidR="00EF2693" w:rsidRDefault="00EF2693" w:rsidP="00D07D53"/>
    <w:p w14:paraId="696386EF" w14:textId="77777777" w:rsidR="00574C00" w:rsidRPr="00F864AE" w:rsidRDefault="00574C00" w:rsidP="00B71C94">
      <w:pPr>
        <w:spacing w:after="160" w:line="259" w:lineRule="auto"/>
        <w:rPr>
          <w:rFonts w:ascii="Arial" w:eastAsia="Calibri" w:hAnsi="Arial" w:cs="Arial"/>
          <w:b/>
          <w:sz w:val="28"/>
          <w:szCs w:val="28"/>
          <w:u w:val="single"/>
        </w:rPr>
      </w:pPr>
      <w:r w:rsidRPr="00F864AE">
        <w:rPr>
          <w:rFonts w:ascii="Arial" w:eastAsia="Calibri" w:hAnsi="Arial" w:cs="Arial"/>
          <w:b/>
          <w:sz w:val="28"/>
          <w:szCs w:val="28"/>
          <w:u w:val="single"/>
        </w:rPr>
        <w:t>Appendix 1. Methodology</w:t>
      </w:r>
    </w:p>
    <w:p w14:paraId="341F16EE" w14:textId="5D8599A0" w:rsidR="00B71C94" w:rsidRPr="00B71C94" w:rsidRDefault="00B71C94" w:rsidP="00B71C94">
      <w:pPr>
        <w:spacing w:after="160" w:line="259" w:lineRule="auto"/>
        <w:rPr>
          <w:rFonts w:ascii="Arial" w:eastAsia="Calibri" w:hAnsi="Arial" w:cs="Arial"/>
          <w:b/>
          <w:szCs w:val="24"/>
        </w:rPr>
      </w:pPr>
      <w:r w:rsidRPr="00B71C94">
        <w:rPr>
          <w:rFonts w:ascii="Arial" w:eastAsia="Calibri" w:hAnsi="Arial" w:cs="Arial"/>
          <w:b/>
          <w:szCs w:val="24"/>
        </w:rPr>
        <w:t>Torbay Housing and Employment Land Availability Assessment (HELAA)</w:t>
      </w:r>
    </w:p>
    <w:p w14:paraId="27BF6B60" w14:textId="4367D45B" w:rsidR="00B71C94" w:rsidRPr="00B71C94" w:rsidRDefault="00B71C94" w:rsidP="00B71C94">
      <w:pPr>
        <w:spacing w:after="160" w:line="259" w:lineRule="auto"/>
        <w:rPr>
          <w:rFonts w:ascii="Arial" w:eastAsia="Calibri" w:hAnsi="Arial" w:cs="Arial"/>
          <w:b/>
          <w:szCs w:val="24"/>
        </w:rPr>
      </w:pPr>
      <w:r w:rsidRPr="005D3097">
        <w:rPr>
          <w:rFonts w:ascii="Arial" w:eastAsia="Calibri" w:hAnsi="Arial" w:cs="Arial"/>
          <w:b/>
          <w:szCs w:val="24"/>
        </w:rPr>
        <w:t>Draft Assessment Methodology</w:t>
      </w:r>
    </w:p>
    <w:p w14:paraId="7586FD37" w14:textId="5497CDBB"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This paper sets out a broad methodology for assessing site and broad location suitability for housing and employment land development.  </w:t>
      </w:r>
      <w:r w:rsidR="00AC09F8">
        <w:rPr>
          <w:rFonts w:ascii="Arial" w:eastAsia="Calibri" w:hAnsi="Arial" w:cs="Arial"/>
          <w:sz w:val="22"/>
          <w:szCs w:val="22"/>
        </w:rPr>
        <w:t xml:space="preserve">In practice there have minor variations from the methodology </w:t>
      </w:r>
      <w:r w:rsidR="00B21DB0">
        <w:rPr>
          <w:rFonts w:ascii="Arial" w:eastAsia="Calibri" w:hAnsi="Arial" w:cs="Arial"/>
          <w:sz w:val="22"/>
          <w:szCs w:val="22"/>
        </w:rPr>
        <w:t>noted in the main text above</w:t>
      </w:r>
      <w:r w:rsidR="00967DCA">
        <w:rPr>
          <w:rFonts w:ascii="Arial" w:eastAsia="Calibri" w:hAnsi="Arial" w:cs="Arial"/>
          <w:sz w:val="22"/>
          <w:szCs w:val="22"/>
        </w:rPr>
        <w:t>. These were made to ta</w:t>
      </w:r>
      <w:r w:rsidR="00FC1E75">
        <w:rPr>
          <w:rFonts w:ascii="Arial" w:eastAsia="Calibri" w:hAnsi="Arial" w:cs="Arial"/>
          <w:sz w:val="22"/>
          <w:szCs w:val="22"/>
        </w:rPr>
        <w:t>ilor the study to Tor</w:t>
      </w:r>
      <w:r w:rsidR="00F14A47">
        <w:rPr>
          <w:rFonts w:ascii="Arial" w:eastAsia="Calibri" w:hAnsi="Arial" w:cs="Arial"/>
          <w:sz w:val="22"/>
          <w:szCs w:val="22"/>
        </w:rPr>
        <w:t xml:space="preserve">bay’s circumstances.  Therefore, the </w:t>
      </w:r>
      <w:r w:rsidR="00967DCA">
        <w:rPr>
          <w:rFonts w:ascii="Arial" w:eastAsia="Calibri" w:hAnsi="Arial" w:cs="Arial"/>
          <w:sz w:val="22"/>
          <w:szCs w:val="22"/>
        </w:rPr>
        <w:t xml:space="preserve">following should be read as the “draft”.  </w:t>
      </w:r>
      <w:r w:rsidRPr="00B71C94">
        <w:rPr>
          <w:rFonts w:ascii="Arial" w:eastAsia="Calibri" w:hAnsi="Arial" w:cs="Arial"/>
          <w:sz w:val="22"/>
          <w:szCs w:val="22"/>
        </w:rPr>
        <w:t xml:space="preserve">It follows the similar Housing and Employment Land Availability Assessment (HELAA) methodology prepared for the (former) Greater Exeter Strategic Plan (GESP), and Teignbridge District Council.   Advice is also set out in paragraphs </w:t>
      </w:r>
      <w:r w:rsidR="00D14D91" w:rsidRPr="00B71C94">
        <w:rPr>
          <w:rFonts w:ascii="Arial" w:eastAsia="Calibri" w:hAnsi="Arial" w:cs="Arial"/>
          <w:sz w:val="22"/>
          <w:szCs w:val="22"/>
        </w:rPr>
        <w:t>6</w:t>
      </w:r>
      <w:r w:rsidR="00D14D91">
        <w:rPr>
          <w:rFonts w:ascii="Arial" w:eastAsia="Calibri" w:hAnsi="Arial" w:cs="Arial"/>
          <w:sz w:val="22"/>
          <w:szCs w:val="22"/>
        </w:rPr>
        <w:t>8</w:t>
      </w:r>
      <w:r w:rsidRPr="00B71C94">
        <w:rPr>
          <w:rFonts w:ascii="Arial" w:eastAsia="Calibri" w:hAnsi="Arial" w:cs="Arial"/>
          <w:sz w:val="22"/>
          <w:szCs w:val="22"/>
        </w:rPr>
        <w:t>-</w:t>
      </w:r>
      <w:r w:rsidR="00D14D91" w:rsidRPr="00B71C94">
        <w:rPr>
          <w:rFonts w:ascii="Arial" w:eastAsia="Calibri" w:hAnsi="Arial" w:cs="Arial"/>
          <w:sz w:val="22"/>
          <w:szCs w:val="22"/>
        </w:rPr>
        <w:t>7</w:t>
      </w:r>
      <w:r w:rsidR="00D14D91">
        <w:rPr>
          <w:rFonts w:ascii="Arial" w:eastAsia="Calibri" w:hAnsi="Arial" w:cs="Arial"/>
          <w:sz w:val="22"/>
          <w:szCs w:val="22"/>
        </w:rPr>
        <w:t>1</w:t>
      </w:r>
      <w:r w:rsidR="00D14D91" w:rsidRPr="00B71C94">
        <w:rPr>
          <w:rFonts w:ascii="Arial" w:eastAsia="Calibri" w:hAnsi="Arial" w:cs="Arial"/>
          <w:sz w:val="22"/>
          <w:szCs w:val="22"/>
        </w:rPr>
        <w:t xml:space="preserve"> </w:t>
      </w:r>
      <w:r w:rsidRPr="00B71C94">
        <w:rPr>
          <w:rFonts w:ascii="Arial" w:eastAsia="Calibri" w:hAnsi="Arial" w:cs="Arial"/>
          <w:sz w:val="22"/>
          <w:szCs w:val="22"/>
        </w:rPr>
        <w:t xml:space="preserve">and glossary of the NPPF and chapter ID-3 of the online National Planning Practice Guidance (PPG).  Because Torbay is a much more urbanised area than much of the Greater Exeter housing market area, a wider range of densification measures will need to be </w:t>
      </w:r>
      <w:proofErr w:type="gramStart"/>
      <w:r w:rsidRPr="00B71C94">
        <w:rPr>
          <w:rFonts w:ascii="Arial" w:eastAsia="Calibri" w:hAnsi="Arial" w:cs="Arial"/>
          <w:sz w:val="22"/>
          <w:szCs w:val="22"/>
        </w:rPr>
        <w:t>taken into account</w:t>
      </w:r>
      <w:proofErr w:type="gramEnd"/>
      <w:r w:rsidRPr="00B71C94">
        <w:rPr>
          <w:rFonts w:ascii="Arial" w:eastAsia="Calibri" w:hAnsi="Arial" w:cs="Arial"/>
          <w:sz w:val="22"/>
          <w:szCs w:val="22"/>
        </w:rPr>
        <w:t xml:space="preserve">. </w:t>
      </w:r>
    </w:p>
    <w:p w14:paraId="56AD21C9"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p>
    <w:p w14:paraId="4AF61122"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To be considered developable, sites should be in a suitable location for housing or employment development, with a reasonable prospect that they will be available and could be viably developed at the point envisaged.  </w:t>
      </w:r>
    </w:p>
    <w:p w14:paraId="5CFC1B85"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EB892CF"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A two stage approach is applied to determining whether potential sites are in suitable locations for housing and economic development.   Stage A eliminates sites with clear “showstoppers”. </w:t>
      </w:r>
    </w:p>
    <w:p w14:paraId="19E4F2B5"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7F3FC59E"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The following locations will be considered unsuitable and removed from the process under Stage A.  Stage B assesses sites for suitability against a series of criteria.  Sites that have not been ruled out under Stage A will then be considered against further criteria within Stage B. The site criteria </w:t>
      </w:r>
      <w:proofErr w:type="gramStart"/>
      <w:r w:rsidRPr="00B71C94">
        <w:rPr>
          <w:rFonts w:ascii="Arial" w:eastAsia="Calibri" w:hAnsi="Arial" w:cs="Arial"/>
          <w:sz w:val="22"/>
          <w:szCs w:val="22"/>
        </w:rPr>
        <w:t>take into account</w:t>
      </w:r>
      <w:proofErr w:type="gramEnd"/>
      <w:r w:rsidRPr="00B71C94">
        <w:rPr>
          <w:rFonts w:ascii="Arial" w:eastAsia="Calibri" w:hAnsi="Arial" w:cs="Arial"/>
          <w:sz w:val="22"/>
          <w:szCs w:val="22"/>
        </w:rPr>
        <w:t xml:space="preserve"> policy restrictions, physical problems or limitations, potential impacts, and the environmental conditions which would be experienced by prospective residents. </w:t>
      </w:r>
    </w:p>
    <w:p w14:paraId="4C8D439F" w14:textId="77777777" w:rsidR="00B71C94" w:rsidRPr="00B71C94" w:rsidRDefault="00B71C94" w:rsidP="00B71C94">
      <w:pPr>
        <w:spacing w:after="160" w:line="259" w:lineRule="auto"/>
        <w:rPr>
          <w:rFonts w:ascii="Arial" w:eastAsia="Calibri" w:hAnsi="Arial" w:cs="Arial"/>
          <w:sz w:val="22"/>
          <w:szCs w:val="22"/>
        </w:rPr>
      </w:pPr>
    </w:p>
    <w:p w14:paraId="6268031A" w14:textId="77777777" w:rsidR="00B71C94" w:rsidRPr="00B71C94" w:rsidRDefault="00B71C94" w:rsidP="00B71C94">
      <w:pPr>
        <w:spacing w:after="160" w:line="259" w:lineRule="auto"/>
        <w:rPr>
          <w:rFonts w:ascii="Arial" w:eastAsia="Calibri" w:hAnsi="Arial" w:cs="Arial"/>
          <w:b/>
          <w:sz w:val="22"/>
          <w:szCs w:val="22"/>
        </w:rPr>
      </w:pPr>
      <w:r w:rsidRPr="00B71C94">
        <w:rPr>
          <w:rFonts w:ascii="Arial" w:eastAsia="Calibri" w:hAnsi="Arial" w:cs="Arial"/>
          <w:b/>
          <w:sz w:val="22"/>
          <w:szCs w:val="22"/>
        </w:rPr>
        <w:t>Stage A assessment criteria</w:t>
      </w:r>
    </w:p>
    <w:p w14:paraId="4B4BDC34" w14:textId="77777777" w:rsidR="00B71C94" w:rsidRPr="00B71C94" w:rsidRDefault="00B71C94" w:rsidP="00B71C94">
      <w:pPr>
        <w:spacing w:after="160" w:line="259" w:lineRule="auto"/>
        <w:rPr>
          <w:rFonts w:ascii="Arial" w:eastAsia="Calibri" w:hAnsi="Arial" w:cs="Arial"/>
          <w:b/>
          <w:sz w:val="22"/>
          <w:szCs w:val="22"/>
        </w:rPr>
      </w:pPr>
      <w:r w:rsidRPr="00B71C94">
        <w:rPr>
          <w:rFonts w:ascii="Arial" w:eastAsia="Calibri" w:hAnsi="Arial" w:cs="Arial"/>
          <w:b/>
          <w:sz w:val="22"/>
          <w:szCs w:val="22"/>
        </w:rPr>
        <w:t>Locations considered to be unsuitable for housing and economic development</w:t>
      </w:r>
    </w:p>
    <w:p w14:paraId="384B95FA"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6C55E8D"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Where </w:t>
      </w:r>
      <w:proofErr w:type="gramStart"/>
      <w:r w:rsidRPr="00B71C94">
        <w:rPr>
          <w:rFonts w:ascii="Arial" w:eastAsia="Calibri" w:hAnsi="Arial" w:cs="Arial"/>
          <w:sz w:val="22"/>
          <w:szCs w:val="22"/>
        </w:rPr>
        <w:t>the majority of</w:t>
      </w:r>
      <w:proofErr w:type="gramEnd"/>
      <w:r w:rsidRPr="00B71C94">
        <w:rPr>
          <w:rFonts w:ascii="Arial" w:eastAsia="Calibri" w:hAnsi="Arial" w:cs="Arial"/>
          <w:sz w:val="22"/>
          <w:szCs w:val="22"/>
        </w:rPr>
        <w:t xml:space="preserve"> the site impacts upon the following sites of biodiversity or geodiversity importance:</w:t>
      </w:r>
    </w:p>
    <w:p w14:paraId="1CC9330C"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6DB81572"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Designated Site of Special Scientific Interest (SSSI)</w:t>
      </w:r>
    </w:p>
    <w:p w14:paraId="4A1B9832"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1FAA91A7"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Designated or possible Special Area of Conservation (SAC)</w:t>
      </w:r>
    </w:p>
    <w:p w14:paraId="6DA28530"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0EDC7442" w14:textId="0C2CF628"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 Designated, </w:t>
      </w:r>
      <w:r w:rsidR="00BE3B3F" w:rsidRPr="00B71C94">
        <w:rPr>
          <w:rFonts w:ascii="Arial" w:eastAsia="Calibri" w:hAnsi="Arial" w:cs="Arial"/>
          <w:sz w:val="22"/>
          <w:szCs w:val="22"/>
        </w:rPr>
        <w:t>listed,</w:t>
      </w:r>
      <w:r w:rsidRPr="00B71C94">
        <w:rPr>
          <w:rFonts w:ascii="Arial" w:eastAsia="Calibri" w:hAnsi="Arial" w:cs="Arial"/>
          <w:sz w:val="22"/>
          <w:szCs w:val="22"/>
        </w:rPr>
        <w:t xml:space="preserve"> or proposed Ramsar site (wetlands of international importance)</w:t>
      </w:r>
    </w:p>
    <w:p w14:paraId="3A64B828"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4F9A88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Designated or potential Special Protection Area (SPA)</w:t>
      </w:r>
    </w:p>
    <w:p w14:paraId="38C22BC3"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0C15BBF3"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Sites identified or required as compensatory measures for adverse effects on European sites, potential SPAs, possible SACs and listed or proposed Ramsar sites.</w:t>
      </w:r>
    </w:p>
    <w:p w14:paraId="38D8002A"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518B2F83" w14:textId="77777777" w:rsidR="00B71C94" w:rsidRPr="00B71C94" w:rsidRDefault="00B71C94" w:rsidP="00B71C94">
      <w:pPr>
        <w:spacing w:after="160" w:line="259" w:lineRule="auto"/>
        <w:rPr>
          <w:rFonts w:ascii="Arial" w:eastAsia="Calibri" w:hAnsi="Arial" w:cs="Arial"/>
          <w:sz w:val="22"/>
          <w:szCs w:val="22"/>
        </w:rPr>
      </w:pPr>
      <w:r w:rsidRPr="00B71C94">
        <w:rPr>
          <w:rFonts w:ascii="Arial" w:eastAsia="Calibri" w:hAnsi="Arial" w:cs="Arial"/>
          <w:sz w:val="22"/>
          <w:szCs w:val="22"/>
        </w:rPr>
        <w:t>Flood zone 3b</w:t>
      </w:r>
    </w:p>
    <w:p w14:paraId="63AA8FC7"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215AA14F"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b/>
          <w:sz w:val="22"/>
          <w:szCs w:val="22"/>
        </w:rPr>
        <w:t>Minimum site size for inclusion</w:t>
      </w:r>
    </w:p>
    <w:p w14:paraId="2CEB0946"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FCF9766"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The threshold for housing is:</w:t>
      </w:r>
    </w:p>
    <w:p w14:paraId="69EFFD24"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72C198F5" w14:textId="239DE9A0" w:rsidR="00E475BF" w:rsidRDefault="00C91F4E"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Pr>
          <w:rFonts w:ascii="Arial" w:eastAsia="Calibri" w:hAnsi="Arial" w:cs="Arial"/>
          <w:sz w:val="22"/>
          <w:szCs w:val="22"/>
        </w:rPr>
        <w:t>6</w:t>
      </w:r>
      <w:r w:rsidR="00B71C94" w:rsidRPr="00B71C94">
        <w:rPr>
          <w:rFonts w:ascii="Arial" w:eastAsia="Calibri" w:hAnsi="Arial" w:cs="Arial"/>
          <w:sz w:val="22"/>
          <w:szCs w:val="22"/>
        </w:rPr>
        <w:t xml:space="preserve"> dwellings </w:t>
      </w:r>
      <w:r w:rsidR="00821E87">
        <w:rPr>
          <w:rFonts w:ascii="Arial" w:eastAsia="Calibri" w:hAnsi="Arial" w:cs="Arial"/>
          <w:sz w:val="22"/>
          <w:szCs w:val="22"/>
        </w:rPr>
        <w:t xml:space="preserve">(net) </w:t>
      </w:r>
      <w:r w:rsidR="00B71C94" w:rsidRPr="00B71C94">
        <w:rPr>
          <w:rFonts w:ascii="Arial" w:eastAsia="Calibri" w:hAnsi="Arial" w:cs="Arial"/>
          <w:sz w:val="22"/>
          <w:szCs w:val="22"/>
        </w:rPr>
        <w:t xml:space="preserve">or 0.15 hectares (whichever is less) </w:t>
      </w:r>
      <w:r w:rsidR="006A4703">
        <w:rPr>
          <w:rFonts w:ascii="Arial" w:eastAsia="Calibri" w:hAnsi="Arial" w:cs="Arial"/>
          <w:sz w:val="22"/>
          <w:szCs w:val="22"/>
        </w:rPr>
        <w:t xml:space="preserve"> </w:t>
      </w:r>
    </w:p>
    <w:p w14:paraId="04D8C577" w14:textId="438DC4D9" w:rsidR="001F18E5" w:rsidRPr="00B71C94" w:rsidRDefault="006A4703" w:rsidP="001F18E5">
      <w:pPr>
        <w:autoSpaceDE w:val="0"/>
        <w:autoSpaceDN w:val="0"/>
        <w:adjustRightInd w:val="0"/>
        <w:spacing w:after="0" w:line="240" w:lineRule="auto"/>
        <w:ind w:left="720"/>
        <w:contextualSpacing/>
        <w:rPr>
          <w:rFonts w:ascii="Arial" w:eastAsia="Calibri" w:hAnsi="Arial" w:cs="Arial"/>
          <w:sz w:val="22"/>
          <w:szCs w:val="22"/>
        </w:rPr>
      </w:pPr>
      <w:r>
        <w:rPr>
          <w:rFonts w:ascii="Arial" w:eastAsia="Calibri" w:hAnsi="Arial" w:cs="Arial"/>
          <w:sz w:val="22"/>
          <w:szCs w:val="22"/>
        </w:rPr>
        <w:t xml:space="preserve">It is noted that </w:t>
      </w:r>
      <w:r w:rsidR="00821E87">
        <w:rPr>
          <w:rFonts w:ascii="Arial" w:eastAsia="Calibri" w:hAnsi="Arial" w:cs="Arial"/>
          <w:sz w:val="22"/>
          <w:szCs w:val="22"/>
        </w:rPr>
        <w:t xml:space="preserve">other </w:t>
      </w:r>
      <w:r w:rsidR="001F18E5">
        <w:rPr>
          <w:rFonts w:ascii="Arial" w:eastAsia="Calibri" w:hAnsi="Arial" w:cs="Arial"/>
          <w:sz w:val="22"/>
          <w:szCs w:val="22"/>
        </w:rPr>
        <w:t xml:space="preserve">authorities’ </w:t>
      </w:r>
      <w:r w:rsidR="00273C3B">
        <w:rPr>
          <w:rFonts w:ascii="Arial" w:eastAsia="Calibri" w:hAnsi="Arial" w:cs="Arial"/>
          <w:sz w:val="22"/>
          <w:szCs w:val="22"/>
        </w:rPr>
        <w:t xml:space="preserve">HELAAs have used 5 new dwellings gross. However, all </w:t>
      </w:r>
      <w:r w:rsidR="00CC3C17">
        <w:rPr>
          <w:rFonts w:ascii="Arial" w:eastAsia="Calibri" w:hAnsi="Arial" w:cs="Arial"/>
          <w:sz w:val="22"/>
          <w:szCs w:val="22"/>
        </w:rPr>
        <w:t>of</w:t>
      </w:r>
      <w:r w:rsidR="00D60F17">
        <w:rPr>
          <w:rFonts w:ascii="Arial" w:eastAsia="Calibri" w:hAnsi="Arial" w:cs="Arial"/>
          <w:sz w:val="22"/>
          <w:szCs w:val="22"/>
        </w:rPr>
        <w:t xml:space="preserve"> </w:t>
      </w:r>
      <w:r w:rsidR="00273C3B">
        <w:rPr>
          <w:rFonts w:ascii="Arial" w:eastAsia="Calibri" w:hAnsi="Arial" w:cs="Arial"/>
          <w:sz w:val="22"/>
          <w:szCs w:val="22"/>
        </w:rPr>
        <w:t>Torbay’s housing monitoring</w:t>
      </w:r>
      <w:r w:rsidR="00EE27FA">
        <w:rPr>
          <w:rFonts w:ascii="Arial" w:eastAsia="Calibri" w:hAnsi="Arial" w:cs="Arial"/>
          <w:sz w:val="22"/>
          <w:szCs w:val="22"/>
        </w:rPr>
        <w:t xml:space="preserve">, and the 2013 SHAA </w:t>
      </w:r>
      <w:r w:rsidR="00D60F17">
        <w:rPr>
          <w:rFonts w:ascii="Arial" w:eastAsia="Calibri" w:hAnsi="Arial" w:cs="Arial"/>
          <w:sz w:val="22"/>
          <w:szCs w:val="22"/>
        </w:rPr>
        <w:t>i</w:t>
      </w:r>
      <w:r w:rsidR="00EE27FA">
        <w:rPr>
          <w:rFonts w:ascii="Arial" w:eastAsia="Calibri" w:hAnsi="Arial" w:cs="Arial"/>
          <w:sz w:val="22"/>
          <w:szCs w:val="22"/>
        </w:rPr>
        <w:t xml:space="preserve">s based on </w:t>
      </w:r>
      <w:r w:rsidR="001737E1">
        <w:rPr>
          <w:rFonts w:ascii="Arial" w:eastAsia="Calibri" w:hAnsi="Arial" w:cs="Arial"/>
          <w:sz w:val="22"/>
          <w:szCs w:val="22"/>
        </w:rPr>
        <w:t>6 net new dwellings as the cut</w:t>
      </w:r>
      <w:r w:rsidR="00C535CA">
        <w:rPr>
          <w:rFonts w:ascii="Arial" w:eastAsia="Calibri" w:hAnsi="Arial" w:cs="Arial"/>
          <w:sz w:val="22"/>
          <w:szCs w:val="22"/>
        </w:rPr>
        <w:t>-o</w:t>
      </w:r>
      <w:r w:rsidR="001737E1">
        <w:rPr>
          <w:rFonts w:ascii="Arial" w:eastAsia="Calibri" w:hAnsi="Arial" w:cs="Arial"/>
          <w:sz w:val="22"/>
          <w:szCs w:val="22"/>
        </w:rPr>
        <w:t>ff between</w:t>
      </w:r>
      <w:r w:rsidR="003A19A0">
        <w:rPr>
          <w:rFonts w:ascii="Arial" w:eastAsia="Calibri" w:hAnsi="Arial" w:cs="Arial"/>
          <w:sz w:val="22"/>
          <w:szCs w:val="22"/>
        </w:rPr>
        <w:t xml:space="preserve"> sites treated as windfalls and </w:t>
      </w:r>
      <w:r w:rsidR="00CF76CF">
        <w:rPr>
          <w:rFonts w:ascii="Arial" w:eastAsia="Calibri" w:hAnsi="Arial" w:cs="Arial"/>
          <w:sz w:val="22"/>
          <w:szCs w:val="22"/>
        </w:rPr>
        <w:t xml:space="preserve">potential allocations. </w:t>
      </w:r>
      <w:r w:rsidR="00B77FAF">
        <w:rPr>
          <w:rFonts w:ascii="Arial" w:eastAsia="Calibri" w:hAnsi="Arial" w:cs="Arial"/>
          <w:sz w:val="22"/>
          <w:szCs w:val="22"/>
        </w:rPr>
        <w:t xml:space="preserve"> I was more practicable to retain this threshold</w:t>
      </w:r>
      <w:r w:rsidR="00A0397C">
        <w:rPr>
          <w:rFonts w:ascii="Arial" w:eastAsia="Calibri" w:hAnsi="Arial" w:cs="Arial"/>
          <w:sz w:val="22"/>
          <w:szCs w:val="22"/>
        </w:rPr>
        <w:t xml:space="preserve">.  </w:t>
      </w:r>
      <w:r w:rsidR="00A26FF8">
        <w:rPr>
          <w:rFonts w:ascii="Arial" w:eastAsia="Calibri" w:hAnsi="Arial" w:cs="Arial"/>
          <w:sz w:val="22"/>
          <w:szCs w:val="22"/>
        </w:rPr>
        <w:t xml:space="preserve"> In practice</w:t>
      </w:r>
      <w:r w:rsidR="00A60F9A">
        <w:rPr>
          <w:rFonts w:ascii="Arial" w:eastAsia="Calibri" w:hAnsi="Arial" w:cs="Arial"/>
          <w:sz w:val="22"/>
          <w:szCs w:val="22"/>
        </w:rPr>
        <w:t>, due to the urban nature of Torbay</w:t>
      </w:r>
      <w:r w:rsidR="001F18E5">
        <w:rPr>
          <w:rFonts w:ascii="Arial" w:eastAsia="Calibri" w:hAnsi="Arial" w:cs="Arial"/>
          <w:sz w:val="22"/>
          <w:szCs w:val="22"/>
        </w:rPr>
        <w:t xml:space="preserve">, most sites were assessed on their likely yield rather than site size per se. </w:t>
      </w:r>
    </w:p>
    <w:p w14:paraId="49CFD3C5"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4FBF70C"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The threshold for economic development is:</w:t>
      </w:r>
    </w:p>
    <w:p w14:paraId="11414FF8"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11A590F3"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0.25 hectare (or 500m sq. of floorspace)</w:t>
      </w:r>
    </w:p>
    <w:p w14:paraId="17B66211"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p>
    <w:p w14:paraId="4ADCEAF6"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b/>
          <w:sz w:val="22"/>
          <w:szCs w:val="22"/>
        </w:rPr>
        <w:t>Sources of Assessment</w:t>
      </w:r>
    </w:p>
    <w:p w14:paraId="182EAF78"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520E48BD"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A HELAA is intended to assess the capacity of an area for housing or employment development.  It does not indicate that land should, or will, be allocated for development (PPG 3-001-20190722).  </w:t>
      </w:r>
    </w:p>
    <w:p w14:paraId="090952B4"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5B68747"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Where possible the HELAA will identify specific sites. However, as a highly urbanised area, it may be necessary to rely on broad locations. Care will need to be taken not to “double count” windfall sites. </w:t>
      </w:r>
    </w:p>
    <w:p w14:paraId="06707800"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23B85D3C"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The following sources will be used to identify potential sites: </w:t>
      </w:r>
    </w:p>
    <w:p w14:paraId="72DD9A57"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The 2013 SHLAA</w:t>
      </w:r>
    </w:p>
    <w:p w14:paraId="3A76E9C0"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The Council’s annual housing monitoring </w:t>
      </w:r>
    </w:p>
    <w:p w14:paraId="7EF2452F"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Pre-application enquiries</w:t>
      </w:r>
    </w:p>
    <w:p w14:paraId="2F55257E"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Town Centre and other Masterplans (Torquay Gateway, Collaton St Mary, Great Parks.</w:t>
      </w:r>
    </w:p>
    <w:p w14:paraId="708C31B4"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Neighbourhood Plan assessments </w:t>
      </w:r>
    </w:p>
    <w:p w14:paraId="4D5BCBEA"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The result of the Call for Sites carried out in 2020 and ongoing.</w:t>
      </w:r>
    </w:p>
    <w:p w14:paraId="55AA9DDB"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OS Map assessments (with site visits and Land registry checks) to assess broad locations.  </w:t>
      </w:r>
    </w:p>
    <w:p w14:paraId="0D76D033"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p>
    <w:p w14:paraId="221DEEC0"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b/>
          <w:sz w:val="22"/>
          <w:szCs w:val="22"/>
        </w:rPr>
        <w:t xml:space="preserve">Types of sites </w:t>
      </w:r>
    </w:p>
    <w:p w14:paraId="715CF465"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1618ACD2"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An assessment of the following is carried out as part of the HELAA.   Where possible specific sites will be identified, otherwise a yield from broad locations may be assessed (being careful not to double count windfalls).  </w:t>
      </w:r>
    </w:p>
    <w:p w14:paraId="4BAABDF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7045B598"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sz w:val="22"/>
          <w:szCs w:val="22"/>
        </w:rPr>
        <w:tab/>
      </w:r>
      <w:r w:rsidRPr="00B71C94">
        <w:rPr>
          <w:rFonts w:ascii="Arial" w:eastAsia="Calibri" w:hAnsi="Arial" w:cs="Arial"/>
          <w:b/>
          <w:sz w:val="22"/>
          <w:szCs w:val="22"/>
        </w:rPr>
        <w:t>Identified sites</w:t>
      </w:r>
    </w:p>
    <w:p w14:paraId="3D546967"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6A5C5E85"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Existing allocations (Future Growth Areas etc.) in the Local Plan and neighbourhood plans. </w:t>
      </w:r>
    </w:p>
    <w:p w14:paraId="74A306CE" w14:textId="77777777" w:rsidR="00B71C94" w:rsidRPr="00B71C94" w:rsidRDefault="00B71C94" w:rsidP="00B71C94">
      <w:pPr>
        <w:autoSpaceDE w:val="0"/>
        <w:autoSpaceDN w:val="0"/>
        <w:adjustRightInd w:val="0"/>
        <w:spacing w:after="0" w:line="240" w:lineRule="auto"/>
        <w:ind w:left="720"/>
        <w:contextualSpacing/>
        <w:rPr>
          <w:rFonts w:ascii="Arial" w:eastAsia="Calibri" w:hAnsi="Arial" w:cs="Arial"/>
          <w:sz w:val="22"/>
          <w:szCs w:val="22"/>
        </w:rPr>
      </w:pPr>
    </w:p>
    <w:p w14:paraId="2D48FBA8"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Town Centre Redevelopment opportunities (conversion or redevelopment). </w:t>
      </w:r>
    </w:p>
    <w:p w14:paraId="63EB2862" w14:textId="77777777" w:rsidR="00B71C94" w:rsidRPr="00B71C94" w:rsidRDefault="00B71C94" w:rsidP="00B71C94">
      <w:pPr>
        <w:spacing w:after="160" w:line="259" w:lineRule="auto"/>
        <w:ind w:left="720"/>
        <w:contextualSpacing/>
        <w:rPr>
          <w:rFonts w:ascii="Arial" w:eastAsia="Calibri" w:hAnsi="Arial" w:cs="Arial"/>
          <w:sz w:val="22"/>
          <w:szCs w:val="22"/>
        </w:rPr>
      </w:pPr>
    </w:p>
    <w:p w14:paraId="4F7914F6"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Other sites within the built up area</w:t>
      </w:r>
    </w:p>
    <w:p w14:paraId="732607A4" w14:textId="77777777" w:rsidR="00B71C94" w:rsidRPr="00B71C94" w:rsidRDefault="00B71C94" w:rsidP="00B71C94">
      <w:pPr>
        <w:spacing w:after="160" w:line="259" w:lineRule="auto"/>
        <w:ind w:left="720"/>
        <w:contextualSpacing/>
        <w:rPr>
          <w:rFonts w:ascii="Arial" w:eastAsia="Calibri" w:hAnsi="Arial" w:cs="Arial"/>
          <w:sz w:val="22"/>
          <w:szCs w:val="22"/>
        </w:rPr>
      </w:pPr>
    </w:p>
    <w:p w14:paraId="15001C76"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Sites adjoining or outside settlements</w:t>
      </w:r>
    </w:p>
    <w:p w14:paraId="40509456"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6E578D4B"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Increased densities in some Conservation Areas. </w:t>
      </w:r>
    </w:p>
    <w:p w14:paraId="2FD45F39" w14:textId="77777777" w:rsidR="00B71C94" w:rsidRPr="00B71C94" w:rsidRDefault="00B71C94" w:rsidP="00B71C94">
      <w:pPr>
        <w:spacing w:after="160" w:line="259" w:lineRule="auto"/>
        <w:ind w:left="720"/>
        <w:contextualSpacing/>
        <w:rPr>
          <w:rFonts w:ascii="Arial" w:eastAsia="Calibri" w:hAnsi="Arial" w:cs="Arial"/>
          <w:sz w:val="22"/>
          <w:szCs w:val="22"/>
        </w:rPr>
      </w:pPr>
    </w:p>
    <w:p w14:paraId="0155D39F"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Redevelopment of holiday parks </w:t>
      </w:r>
    </w:p>
    <w:p w14:paraId="54A419EE" w14:textId="77777777" w:rsidR="00B71C94" w:rsidRPr="00B71C94" w:rsidRDefault="00B71C94" w:rsidP="00B71C94">
      <w:pPr>
        <w:spacing w:after="160" w:line="259" w:lineRule="auto"/>
        <w:ind w:left="720"/>
        <w:contextualSpacing/>
        <w:rPr>
          <w:rFonts w:ascii="Arial" w:eastAsia="Calibri" w:hAnsi="Arial" w:cs="Arial"/>
          <w:sz w:val="22"/>
          <w:szCs w:val="22"/>
        </w:rPr>
      </w:pPr>
    </w:p>
    <w:p w14:paraId="3683AEE2"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Former holiday accommodation areas (Principal Holiday Accommodation Areas/Core Tourism Investment Areas). Conversion and redevelopment.  </w:t>
      </w:r>
    </w:p>
    <w:p w14:paraId="74D8D6DC" w14:textId="77777777" w:rsidR="00B71C94" w:rsidRPr="00B71C94" w:rsidRDefault="00B71C94" w:rsidP="00B71C94">
      <w:pPr>
        <w:spacing w:after="160" w:line="259" w:lineRule="auto"/>
        <w:ind w:left="720"/>
        <w:contextualSpacing/>
        <w:rPr>
          <w:rFonts w:ascii="Arial" w:eastAsia="Calibri" w:hAnsi="Arial" w:cs="Arial"/>
          <w:sz w:val="22"/>
          <w:szCs w:val="22"/>
        </w:rPr>
      </w:pPr>
    </w:p>
    <w:p w14:paraId="3DB7B00E"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Car parks </w:t>
      </w:r>
    </w:p>
    <w:p w14:paraId="4AE9E5EC" w14:textId="77777777" w:rsidR="00B71C94" w:rsidRPr="00B71C94" w:rsidRDefault="00B71C94" w:rsidP="00B71C94">
      <w:pPr>
        <w:spacing w:after="160" w:line="259" w:lineRule="auto"/>
        <w:ind w:left="720"/>
        <w:contextualSpacing/>
        <w:rPr>
          <w:rFonts w:ascii="Arial" w:eastAsia="Calibri" w:hAnsi="Arial" w:cs="Arial"/>
          <w:sz w:val="22"/>
          <w:szCs w:val="22"/>
        </w:rPr>
      </w:pPr>
    </w:p>
    <w:p w14:paraId="0A266A9A"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Reuse and redevelopment of care homes and former health care buildings.  </w:t>
      </w:r>
    </w:p>
    <w:p w14:paraId="7ED43D94" w14:textId="77777777" w:rsidR="00B71C94" w:rsidRPr="00B71C94" w:rsidRDefault="00B71C94" w:rsidP="00B71C94">
      <w:pPr>
        <w:spacing w:after="160" w:line="259" w:lineRule="auto"/>
        <w:ind w:left="720"/>
        <w:contextualSpacing/>
        <w:rPr>
          <w:rFonts w:ascii="Arial" w:eastAsia="Calibri" w:hAnsi="Arial" w:cs="Arial"/>
          <w:sz w:val="22"/>
          <w:szCs w:val="22"/>
        </w:rPr>
      </w:pPr>
    </w:p>
    <w:p w14:paraId="2F4B5A57" w14:textId="77777777" w:rsidR="00B71C94" w:rsidRPr="00B71C94" w:rsidRDefault="00B71C94" w:rsidP="00B71C94">
      <w:pPr>
        <w:numPr>
          <w:ilvl w:val="0"/>
          <w:numId w:val="22"/>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Broad locations and sites adjoining or outside settlements.  </w:t>
      </w:r>
    </w:p>
    <w:p w14:paraId="78D593F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34998AAC" w14:textId="3FB96FB3"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Site Templates (using the GESP/Teignbridge templates) are set out at </w:t>
      </w:r>
      <w:r w:rsidR="00410765">
        <w:rPr>
          <w:rFonts w:ascii="Arial" w:eastAsia="Calibri" w:hAnsi="Arial" w:cs="Arial"/>
          <w:sz w:val="22"/>
          <w:szCs w:val="22"/>
        </w:rPr>
        <w:t>A</w:t>
      </w:r>
      <w:r w:rsidRPr="00B71C94">
        <w:rPr>
          <w:rFonts w:ascii="Arial" w:eastAsia="Calibri" w:hAnsi="Arial" w:cs="Arial"/>
          <w:sz w:val="22"/>
          <w:szCs w:val="22"/>
        </w:rPr>
        <w:t xml:space="preserve">ppendix 1.  </w:t>
      </w:r>
    </w:p>
    <w:p w14:paraId="0169C7B9"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521FB283"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25102F2C"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b/>
          <w:sz w:val="22"/>
          <w:szCs w:val="22"/>
        </w:rPr>
        <w:t xml:space="preserve">Achievability factors </w:t>
      </w:r>
    </w:p>
    <w:p w14:paraId="78EE7948"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6FAFB83D" w14:textId="54071914"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The HELAA is primarily a “supply side” exercise, </w:t>
      </w:r>
      <w:r w:rsidR="00C9684A" w:rsidRPr="00B71C94">
        <w:rPr>
          <w:rFonts w:ascii="Arial" w:eastAsia="Calibri" w:hAnsi="Arial" w:cs="Arial"/>
          <w:sz w:val="22"/>
          <w:szCs w:val="22"/>
        </w:rPr>
        <w:t>i.e.,</w:t>
      </w:r>
      <w:r w:rsidRPr="00B71C94">
        <w:rPr>
          <w:rFonts w:ascii="Arial" w:eastAsia="Calibri" w:hAnsi="Arial" w:cs="Arial"/>
          <w:sz w:val="22"/>
          <w:szCs w:val="22"/>
        </w:rPr>
        <w:t xml:space="preserve"> it considers how much land is available for development. However, demand side factors such as viability and market capacity are relevant particularly in relation to how quickly sites are likely to come forward for development (</w:t>
      </w:r>
      <w:r w:rsidR="00C9684A" w:rsidRPr="00B71C94">
        <w:rPr>
          <w:rFonts w:ascii="Arial" w:eastAsia="Calibri" w:hAnsi="Arial" w:cs="Arial"/>
          <w:sz w:val="22"/>
          <w:szCs w:val="22"/>
        </w:rPr>
        <w:t>i.e.,</w:t>
      </w:r>
      <w:r w:rsidRPr="00B71C94">
        <w:rPr>
          <w:rFonts w:ascii="Arial" w:eastAsia="Calibri" w:hAnsi="Arial" w:cs="Arial"/>
          <w:sz w:val="22"/>
          <w:szCs w:val="22"/>
        </w:rPr>
        <w:t xml:space="preserve"> achievability).   </w:t>
      </w:r>
    </w:p>
    <w:p w14:paraId="433BEA6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6C9B6C9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The HELAA will consider achievability over three time frames:</w:t>
      </w:r>
    </w:p>
    <w:p w14:paraId="21A0F502"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36E40ACB" w14:textId="77777777" w:rsidR="00B71C94" w:rsidRPr="00B71C94" w:rsidRDefault="00B71C94" w:rsidP="00B71C94">
      <w:pPr>
        <w:numPr>
          <w:ilvl w:val="0"/>
          <w:numId w:val="23"/>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Within five years (deliverability) </w:t>
      </w:r>
    </w:p>
    <w:p w14:paraId="657EE902" w14:textId="77777777" w:rsidR="00B71C94" w:rsidRPr="00B71C94" w:rsidRDefault="00B71C94" w:rsidP="00B71C94">
      <w:pPr>
        <w:numPr>
          <w:ilvl w:val="0"/>
          <w:numId w:val="23"/>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Within the next 10 years (Similar to the Adopted Torbay Local Plan Period) </w:t>
      </w:r>
    </w:p>
    <w:p w14:paraId="50BDD4B5" w14:textId="61FA73B3" w:rsidR="00B71C94" w:rsidRPr="00B71C94" w:rsidRDefault="00B71C94" w:rsidP="00B71C94">
      <w:pPr>
        <w:numPr>
          <w:ilvl w:val="0"/>
          <w:numId w:val="23"/>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Longer term </w:t>
      </w:r>
      <w:r w:rsidR="00C9684A" w:rsidRPr="00B71C94">
        <w:rPr>
          <w:rFonts w:ascii="Arial" w:eastAsia="Calibri" w:hAnsi="Arial" w:cs="Arial"/>
          <w:sz w:val="22"/>
          <w:szCs w:val="22"/>
        </w:rPr>
        <w:t>e.g.,</w:t>
      </w:r>
      <w:r w:rsidRPr="00B71C94">
        <w:rPr>
          <w:rFonts w:ascii="Arial" w:eastAsia="Calibri" w:hAnsi="Arial" w:cs="Arial"/>
          <w:sz w:val="22"/>
          <w:szCs w:val="22"/>
        </w:rPr>
        <w:t xml:space="preserve"> by 2040. </w:t>
      </w:r>
    </w:p>
    <w:p w14:paraId="1D95FB93"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1DE0E563" w14:textId="595E6645"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The HELAA </w:t>
      </w:r>
      <w:r w:rsidR="009A680A">
        <w:rPr>
          <w:rFonts w:ascii="Arial" w:eastAsia="Calibri" w:hAnsi="Arial" w:cs="Arial"/>
          <w:sz w:val="22"/>
          <w:szCs w:val="22"/>
        </w:rPr>
        <w:t>intended to use</w:t>
      </w:r>
      <w:r w:rsidRPr="00B71C94">
        <w:rPr>
          <w:rFonts w:ascii="Arial" w:eastAsia="Calibri" w:hAnsi="Arial" w:cs="Arial"/>
          <w:sz w:val="22"/>
          <w:szCs w:val="22"/>
        </w:rPr>
        <w:t xml:space="preserve"> the Greater Exeter Strategic Plan “Market Conditions Model” as a starting point to assess housing delivery rates.</w:t>
      </w:r>
      <w:r w:rsidR="009A680A">
        <w:rPr>
          <w:rFonts w:ascii="Arial" w:eastAsia="Calibri" w:hAnsi="Arial" w:cs="Arial"/>
          <w:sz w:val="22"/>
          <w:szCs w:val="22"/>
        </w:rPr>
        <w:t xml:space="preserve"> </w:t>
      </w:r>
      <w:r w:rsidR="006B4D21">
        <w:rPr>
          <w:rFonts w:ascii="Arial" w:eastAsia="Calibri" w:hAnsi="Arial" w:cs="Arial"/>
          <w:sz w:val="22"/>
          <w:szCs w:val="22"/>
        </w:rPr>
        <w:t xml:space="preserve"> </w:t>
      </w:r>
      <w:r w:rsidR="009E7523">
        <w:rPr>
          <w:rFonts w:ascii="Arial" w:eastAsia="Calibri" w:hAnsi="Arial" w:cs="Arial"/>
          <w:sz w:val="22"/>
          <w:szCs w:val="22"/>
        </w:rPr>
        <w:t xml:space="preserve">Whilst this was used as a starting point, Torbay </w:t>
      </w:r>
      <w:r w:rsidR="000F348C">
        <w:rPr>
          <w:rFonts w:ascii="Arial" w:eastAsia="Calibri" w:hAnsi="Arial" w:cs="Arial"/>
          <w:sz w:val="22"/>
          <w:szCs w:val="22"/>
        </w:rPr>
        <w:t>ha</w:t>
      </w:r>
      <w:r w:rsidR="000A08EA">
        <w:rPr>
          <w:rFonts w:ascii="Arial" w:eastAsia="Calibri" w:hAnsi="Arial" w:cs="Arial"/>
          <w:sz w:val="22"/>
          <w:szCs w:val="22"/>
        </w:rPr>
        <w:t>s no sites of 500+ dwellings</w:t>
      </w:r>
      <w:r w:rsidR="005308F1">
        <w:rPr>
          <w:rFonts w:ascii="Arial" w:eastAsia="Calibri" w:hAnsi="Arial" w:cs="Arial"/>
          <w:sz w:val="22"/>
          <w:szCs w:val="22"/>
        </w:rPr>
        <w:t xml:space="preserve">.  Alternative figures were used where we had other information, </w:t>
      </w:r>
      <w:r w:rsidR="00C9684A">
        <w:rPr>
          <w:rFonts w:ascii="Arial" w:eastAsia="Calibri" w:hAnsi="Arial" w:cs="Arial"/>
          <w:sz w:val="22"/>
          <w:szCs w:val="22"/>
        </w:rPr>
        <w:t>e.g.,</w:t>
      </w:r>
      <w:r w:rsidR="005308F1">
        <w:rPr>
          <w:rFonts w:ascii="Arial" w:eastAsia="Calibri" w:hAnsi="Arial" w:cs="Arial"/>
          <w:sz w:val="22"/>
          <w:szCs w:val="22"/>
        </w:rPr>
        <w:t xml:space="preserve"> </w:t>
      </w:r>
      <w:r w:rsidR="000B22B9">
        <w:rPr>
          <w:rFonts w:ascii="Arial" w:eastAsia="Calibri" w:hAnsi="Arial" w:cs="Arial"/>
          <w:sz w:val="22"/>
          <w:szCs w:val="22"/>
        </w:rPr>
        <w:t>f</w:t>
      </w:r>
      <w:r w:rsidR="005308F1">
        <w:rPr>
          <w:rFonts w:ascii="Arial" w:eastAsia="Calibri" w:hAnsi="Arial" w:cs="Arial"/>
          <w:sz w:val="22"/>
          <w:szCs w:val="22"/>
        </w:rPr>
        <w:t xml:space="preserve">rom developers.  In practice, delivery rates in Torbay are likely to be slightly more modest that </w:t>
      </w:r>
      <w:r w:rsidR="000E1E59">
        <w:rPr>
          <w:rFonts w:ascii="Arial" w:eastAsia="Calibri" w:hAnsi="Arial" w:cs="Arial"/>
          <w:sz w:val="22"/>
          <w:szCs w:val="22"/>
        </w:rPr>
        <w:t>for Exeter</w:t>
      </w:r>
      <w:r w:rsidR="000B22B9">
        <w:rPr>
          <w:rFonts w:ascii="Arial" w:eastAsia="Calibri" w:hAnsi="Arial" w:cs="Arial"/>
          <w:sz w:val="22"/>
          <w:szCs w:val="22"/>
        </w:rPr>
        <w:t xml:space="preserve">, </w:t>
      </w:r>
      <w:r w:rsidR="00720449">
        <w:rPr>
          <w:rFonts w:ascii="Arial" w:eastAsia="Calibri" w:hAnsi="Arial" w:cs="Arial"/>
          <w:sz w:val="22"/>
          <w:szCs w:val="22"/>
        </w:rPr>
        <w:t>due to market condi</w:t>
      </w:r>
      <w:r w:rsidR="000B22B9">
        <w:rPr>
          <w:rFonts w:ascii="Arial" w:eastAsia="Calibri" w:hAnsi="Arial" w:cs="Arial"/>
          <w:sz w:val="22"/>
          <w:szCs w:val="22"/>
        </w:rPr>
        <w:t>ti</w:t>
      </w:r>
      <w:r w:rsidR="00720449">
        <w:rPr>
          <w:rFonts w:ascii="Arial" w:eastAsia="Calibri" w:hAnsi="Arial" w:cs="Arial"/>
          <w:sz w:val="22"/>
          <w:szCs w:val="22"/>
        </w:rPr>
        <w:t>o</w:t>
      </w:r>
      <w:r w:rsidR="000B22B9">
        <w:rPr>
          <w:rFonts w:ascii="Arial" w:eastAsia="Calibri" w:hAnsi="Arial" w:cs="Arial"/>
          <w:sz w:val="22"/>
          <w:szCs w:val="22"/>
        </w:rPr>
        <w:t xml:space="preserve">ns </w:t>
      </w:r>
      <w:r w:rsidR="005308F1" w:rsidRPr="00B71C94">
        <w:rPr>
          <w:rFonts w:ascii="Arial" w:eastAsia="Calibri" w:hAnsi="Arial" w:cs="Arial"/>
          <w:sz w:val="22"/>
          <w:szCs w:val="22"/>
        </w:rPr>
        <w:t xml:space="preserve"> </w:t>
      </w:r>
    </w:p>
    <w:p w14:paraId="57CCB62B"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63757A18" w14:textId="24732FE1"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Calibri" w:eastAsia="Calibri" w:hAnsi="Calibri" w:cs="Times New Roman"/>
          <w:noProof/>
          <w:sz w:val="22"/>
          <w:szCs w:val="22"/>
          <w:lang w:eastAsia="en-GB"/>
        </w:rPr>
        <w:drawing>
          <wp:inline distT="0" distB="0" distL="0" distR="0" wp14:anchorId="4C9F9FA4" wp14:editId="22BC228F">
            <wp:extent cx="6324963" cy="360045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3"/>
                    <a:stretch>
                      <a:fillRect/>
                    </a:stretch>
                  </pic:blipFill>
                  <pic:spPr>
                    <a:xfrm>
                      <a:off x="0" y="0"/>
                      <a:ext cx="6330391" cy="3603540"/>
                    </a:xfrm>
                    <a:prstGeom prst="rect">
                      <a:avLst/>
                    </a:prstGeom>
                  </pic:spPr>
                </pic:pic>
              </a:graphicData>
            </a:graphic>
          </wp:inline>
        </w:drawing>
      </w:r>
    </w:p>
    <w:p w14:paraId="2CD9C8D5"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39FA4C40"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b/>
          <w:sz w:val="22"/>
          <w:szCs w:val="22"/>
        </w:rPr>
        <w:t>Estimating the development potential for each site</w:t>
      </w:r>
    </w:p>
    <w:p w14:paraId="524C07EB"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p>
    <w:p w14:paraId="49D8A5F3" w14:textId="58AC20E0"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The whole area of a proposed site may not all be developable. This is because the area for development on larger sites may be reduced through the provision of access roads, strategic open </w:t>
      </w:r>
      <w:r w:rsidR="00BE3B3F" w:rsidRPr="00B71C94">
        <w:rPr>
          <w:rFonts w:ascii="Arial" w:eastAsia="Calibri" w:hAnsi="Arial" w:cs="Arial"/>
          <w:sz w:val="22"/>
          <w:szCs w:val="22"/>
        </w:rPr>
        <w:t>space,</w:t>
      </w:r>
      <w:r w:rsidRPr="00B71C94">
        <w:rPr>
          <w:rFonts w:ascii="Arial" w:eastAsia="Calibri" w:hAnsi="Arial" w:cs="Arial"/>
          <w:sz w:val="22"/>
          <w:szCs w:val="22"/>
        </w:rPr>
        <w:t xml:space="preserve"> or landscaping. The development potential of individual sites may also be affected by constraints such as biodiversity, protected </w:t>
      </w:r>
      <w:r w:rsidR="00BE3B3F" w:rsidRPr="00B71C94">
        <w:rPr>
          <w:rFonts w:ascii="Arial" w:eastAsia="Calibri" w:hAnsi="Arial" w:cs="Arial"/>
          <w:sz w:val="22"/>
          <w:szCs w:val="22"/>
        </w:rPr>
        <w:t>trees,</w:t>
      </w:r>
      <w:r w:rsidRPr="00B71C94">
        <w:rPr>
          <w:rFonts w:ascii="Arial" w:eastAsia="Calibri" w:hAnsi="Arial" w:cs="Arial"/>
          <w:sz w:val="22"/>
          <w:szCs w:val="22"/>
        </w:rPr>
        <w:t xml:space="preserve"> or heritage assets.</w:t>
      </w:r>
    </w:p>
    <w:p w14:paraId="1763447B"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5646D70F"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The </w:t>
      </w:r>
      <w:r w:rsidRPr="00B71C94">
        <w:rPr>
          <w:rFonts w:ascii="Arial" w:eastAsia="Calibri" w:hAnsi="Arial" w:cs="Arial"/>
          <w:b/>
          <w:bCs/>
          <w:sz w:val="22"/>
          <w:szCs w:val="22"/>
        </w:rPr>
        <w:t xml:space="preserve">gross </w:t>
      </w:r>
      <w:r w:rsidRPr="00B71C94">
        <w:rPr>
          <w:rFonts w:ascii="Arial" w:eastAsia="Calibri" w:hAnsi="Arial" w:cs="Arial"/>
          <w:sz w:val="22"/>
          <w:szCs w:val="22"/>
        </w:rPr>
        <w:t>development area is taken to be the whole of the required site area for a</w:t>
      </w:r>
    </w:p>
    <w:p w14:paraId="76B53303" w14:textId="0C131EAE"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development, excluding any unsuitable land such as that identified as flood zone 2/3, that which is crossed by high voltage powerlines, or is of such steep topography as to be considered unusable unless it is integral to the site (</w:t>
      </w:r>
      <w:r w:rsidR="00C9684A" w:rsidRPr="00B71C94">
        <w:rPr>
          <w:rFonts w:ascii="Arial" w:eastAsia="Calibri" w:hAnsi="Arial" w:cs="Arial"/>
          <w:sz w:val="22"/>
          <w:szCs w:val="22"/>
        </w:rPr>
        <w:t>i.e.,</w:t>
      </w:r>
      <w:r w:rsidRPr="00B71C94">
        <w:rPr>
          <w:rFonts w:ascii="Arial" w:eastAsia="Calibri" w:hAnsi="Arial" w:cs="Arial"/>
          <w:sz w:val="22"/>
          <w:szCs w:val="22"/>
        </w:rPr>
        <w:t xml:space="preserve"> surrounded by suitable development land within the site area). </w:t>
      </w:r>
    </w:p>
    <w:p w14:paraId="2072EEC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743E34E8" w14:textId="27127DE1"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The </w:t>
      </w:r>
      <w:r w:rsidRPr="00B71C94">
        <w:rPr>
          <w:rFonts w:ascii="Arial" w:eastAsia="Calibri" w:hAnsi="Arial" w:cs="Arial"/>
          <w:b/>
          <w:bCs/>
          <w:sz w:val="22"/>
          <w:szCs w:val="22"/>
        </w:rPr>
        <w:t xml:space="preserve">net </w:t>
      </w:r>
      <w:r w:rsidRPr="00B71C94">
        <w:rPr>
          <w:rFonts w:ascii="Arial" w:eastAsia="Calibri" w:hAnsi="Arial" w:cs="Arial"/>
          <w:sz w:val="22"/>
          <w:szCs w:val="22"/>
        </w:rPr>
        <w:t>developable area is taken to be the site area which remains for the delivery of housing / employment and ancillary development (</w:t>
      </w:r>
      <w:r w:rsidR="00C9684A" w:rsidRPr="00B71C94">
        <w:rPr>
          <w:rFonts w:ascii="Arial" w:eastAsia="Calibri" w:hAnsi="Arial" w:cs="Arial"/>
          <w:sz w:val="22"/>
          <w:szCs w:val="22"/>
        </w:rPr>
        <w:t>e.g.,</w:t>
      </w:r>
      <w:r w:rsidRPr="00B71C94">
        <w:rPr>
          <w:rFonts w:ascii="Arial" w:eastAsia="Calibri" w:hAnsi="Arial" w:cs="Arial"/>
          <w:sz w:val="22"/>
          <w:szCs w:val="22"/>
        </w:rPr>
        <w:t xml:space="preserve"> garages, gardens, driveways, amenity space, parking, amenity etc.), after subtracting other required land uses such as highways infrastructure, sports pitches, allotments, parks, Sustainable Urban Drainage Systems (SUDS), schools and other infrastructure requirements.</w:t>
      </w:r>
    </w:p>
    <w:p w14:paraId="11809D79"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0E25E1BC"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To reflect the realistic developable site area, indicative ‘gross to net ratios’ will be applied to all sites.  The ratios to be used are:</w:t>
      </w:r>
    </w:p>
    <w:p w14:paraId="5E51944E"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7AB35836"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b/>
          <w:sz w:val="22"/>
          <w:szCs w:val="22"/>
        </w:rPr>
        <w:t>Housing</w:t>
      </w:r>
    </w:p>
    <w:tbl>
      <w:tblPr>
        <w:tblStyle w:val="TableGrid1"/>
        <w:tblW w:w="0" w:type="auto"/>
        <w:tblLook w:val="04A0" w:firstRow="1" w:lastRow="0" w:firstColumn="1" w:lastColumn="0" w:noHBand="0" w:noVBand="1"/>
      </w:tblPr>
      <w:tblGrid>
        <w:gridCol w:w="2972"/>
        <w:gridCol w:w="2835"/>
      </w:tblGrid>
      <w:tr w:rsidR="00B71C94" w:rsidRPr="00B71C94" w14:paraId="15C9E5A7" w14:textId="77777777" w:rsidTr="00904AEE">
        <w:tc>
          <w:tcPr>
            <w:tcW w:w="2972" w:type="dxa"/>
          </w:tcPr>
          <w:p w14:paraId="4D4C14B0" w14:textId="77777777" w:rsidR="00B71C94" w:rsidRPr="00B71C94" w:rsidRDefault="00B71C94" w:rsidP="00B71C94">
            <w:pPr>
              <w:autoSpaceDE w:val="0"/>
              <w:autoSpaceDN w:val="0"/>
              <w:adjustRightInd w:val="0"/>
              <w:spacing w:line="240" w:lineRule="auto"/>
              <w:rPr>
                <w:rFonts w:ascii="Arial" w:hAnsi="Arial" w:cs="Arial"/>
                <w:b/>
                <w:sz w:val="22"/>
              </w:rPr>
            </w:pPr>
            <w:r w:rsidRPr="00B71C94">
              <w:rPr>
                <w:rFonts w:ascii="Arial" w:hAnsi="Arial" w:cs="Arial"/>
                <w:b/>
                <w:sz w:val="22"/>
              </w:rPr>
              <w:t>Site size</w:t>
            </w:r>
          </w:p>
        </w:tc>
        <w:tc>
          <w:tcPr>
            <w:tcW w:w="2835" w:type="dxa"/>
          </w:tcPr>
          <w:p w14:paraId="7AC2948D" w14:textId="77777777" w:rsidR="00B71C94" w:rsidRPr="00B71C94" w:rsidRDefault="00B71C94" w:rsidP="00B71C94">
            <w:pPr>
              <w:autoSpaceDE w:val="0"/>
              <w:autoSpaceDN w:val="0"/>
              <w:adjustRightInd w:val="0"/>
              <w:spacing w:line="240" w:lineRule="auto"/>
              <w:rPr>
                <w:rFonts w:ascii="Arial" w:hAnsi="Arial" w:cs="Arial"/>
                <w:b/>
                <w:sz w:val="22"/>
              </w:rPr>
            </w:pPr>
            <w:r w:rsidRPr="00B71C94">
              <w:rPr>
                <w:rFonts w:ascii="Arial" w:hAnsi="Arial" w:cs="Arial"/>
                <w:b/>
                <w:sz w:val="22"/>
              </w:rPr>
              <w:t>Gross to net ratio</w:t>
            </w:r>
          </w:p>
        </w:tc>
      </w:tr>
      <w:tr w:rsidR="00B71C94" w:rsidRPr="00B71C94" w14:paraId="19A4A345" w14:textId="77777777" w:rsidTr="00904AEE">
        <w:tc>
          <w:tcPr>
            <w:tcW w:w="2972" w:type="dxa"/>
          </w:tcPr>
          <w:p w14:paraId="7D7BF807"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Up to 0.4 hectare</w:t>
            </w:r>
          </w:p>
        </w:tc>
        <w:tc>
          <w:tcPr>
            <w:tcW w:w="2835" w:type="dxa"/>
          </w:tcPr>
          <w:p w14:paraId="17E725DF"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100%</w:t>
            </w:r>
          </w:p>
        </w:tc>
      </w:tr>
      <w:tr w:rsidR="00B71C94" w:rsidRPr="00B71C94" w14:paraId="6D376692" w14:textId="77777777" w:rsidTr="00904AEE">
        <w:tc>
          <w:tcPr>
            <w:tcW w:w="2972" w:type="dxa"/>
          </w:tcPr>
          <w:p w14:paraId="5C185DF0"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0.4 to 2 hectares</w:t>
            </w:r>
          </w:p>
        </w:tc>
        <w:tc>
          <w:tcPr>
            <w:tcW w:w="2835" w:type="dxa"/>
          </w:tcPr>
          <w:p w14:paraId="2DD8B228"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80%</w:t>
            </w:r>
          </w:p>
        </w:tc>
      </w:tr>
      <w:tr w:rsidR="00B71C94" w:rsidRPr="00B71C94" w14:paraId="76D4A419" w14:textId="77777777" w:rsidTr="00904AEE">
        <w:tc>
          <w:tcPr>
            <w:tcW w:w="2972" w:type="dxa"/>
          </w:tcPr>
          <w:p w14:paraId="0166D82B"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2 hectares and above</w:t>
            </w:r>
          </w:p>
        </w:tc>
        <w:tc>
          <w:tcPr>
            <w:tcW w:w="2835" w:type="dxa"/>
          </w:tcPr>
          <w:p w14:paraId="617F971A"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60%</w:t>
            </w:r>
          </w:p>
        </w:tc>
      </w:tr>
    </w:tbl>
    <w:p w14:paraId="56A84EB6"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11E0913C"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roofErr w:type="gramStart"/>
      <w:r w:rsidRPr="00B71C94">
        <w:rPr>
          <w:rFonts w:ascii="Arial" w:eastAsia="Calibri" w:hAnsi="Arial" w:cs="Arial"/>
          <w:sz w:val="22"/>
          <w:szCs w:val="22"/>
        </w:rPr>
        <w:t>In order to</w:t>
      </w:r>
      <w:proofErr w:type="gramEnd"/>
      <w:r w:rsidRPr="00B71C94">
        <w:rPr>
          <w:rFonts w:ascii="Arial" w:eastAsia="Calibri" w:hAnsi="Arial" w:cs="Arial"/>
          <w:sz w:val="22"/>
          <w:szCs w:val="22"/>
        </w:rPr>
        <w:t xml:space="preserve"> calculate the potential housing yield for each site, density assumptions will be applied to the net developable area:</w:t>
      </w:r>
    </w:p>
    <w:p w14:paraId="6F305A99"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tbl>
      <w:tblPr>
        <w:tblStyle w:val="TableGrid1"/>
        <w:tblW w:w="0" w:type="auto"/>
        <w:tblLook w:val="04A0" w:firstRow="1" w:lastRow="0" w:firstColumn="1" w:lastColumn="0" w:noHBand="0" w:noVBand="1"/>
      </w:tblPr>
      <w:tblGrid>
        <w:gridCol w:w="2972"/>
        <w:gridCol w:w="4253"/>
      </w:tblGrid>
      <w:tr w:rsidR="00B71C94" w:rsidRPr="00B71C94" w14:paraId="01FCA0A9" w14:textId="77777777" w:rsidTr="00904AEE">
        <w:tc>
          <w:tcPr>
            <w:tcW w:w="2972" w:type="dxa"/>
          </w:tcPr>
          <w:p w14:paraId="2D109B71" w14:textId="77777777" w:rsidR="00B71C94" w:rsidRPr="00B71C94" w:rsidRDefault="00B71C94" w:rsidP="00B71C94">
            <w:pPr>
              <w:autoSpaceDE w:val="0"/>
              <w:autoSpaceDN w:val="0"/>
              <w:adjustRightInd w:val="0"/>
              <w:spacing w:line="240" w:lineRule="auto"/>
              <w:rPr>
                <w:rFonts w:ascii="Arial" w:hAnsi="Arial" w:cs="Arial"/>
                <w:b/>
                <w:sz w:val="22"/>
              </w:rPr>
            </w:pPr>
            <w:r w:rsidRPr="00B71C94">
              <w:rPr>
                <w:rFonts w:ascii="Arial" w:hAnsi="Arial" w:cs="Arial"/>
                <w:b/>
                <w:sz w:val="22"/>
              </w:rPr>
              <w:t>Location</w:t>
            </w:r>
          </w:p>
        </w:tc>
        <w:tc>
          <w:tcPr>
            <w:tcW w:w="4253" w:type="dxa"/>
          </w:tcPr>
          <w:p w14:paraId="7127FB44" w14:textId="77777777" w:rsidR="00B71C94" w:rsidRPr="00B71C94" w:rsidRDefault="00B71C94" w:rsidP="00B71C94">
            <w:pPr>
              <w:autoSpaceDE w:val="0"/>
              <w:autoSpaceDN w:val="0"/>
              <w:adjustRightInd w:val="0"/>
              <w:spacing w:line="240" w:lineRule="auto"/>
              <w:rPr>
                <w:rFonts w:ascii="Arial" w:hAnsi="Arial" w:cs="Arial"/>
                <w:b/>
                <w:sz w:val="22"/>
              </w:rPr>
            </w:pPr>
            <w:r w:rsidRPr="00B71C94">
              <w:rPr>
                <w:rFonts w:ascii="Arial" w:hAnsi="Arial" w:cs="Arial"/>
                <w:b/>
                <w:sz w:val="22"/>
              </w:rPr>
              <w:t>Density (dwellings per hectare, net)</w:t>
            </w:r>
          </w:p>
          <w:p w14:paraId="25DF48E8" w14:textId="77777777" w:rsidR="00B71C94" w:rsidRPr="00B71C94" w:rsidRDefault="00B71C94" w:rsidP="00B71C94">
            <w:pPr>
              <w:autoSpaceDE w:val="0"/>
              <w:autoSpaceDN w:val="0"/>
              <w:adjustRightInd w:val="0"/>
              <w:spacing w:line="240" w:lineRule="auto"/>
              <w:rPr>
                <w:rFonts w:ascii="Arial" w:hAnsi="Arial" w:cs="Arial"/>
                <w:b/>
                <w:sz w:val="22"/>
              </w:rPr>
            </w:pPr>
          </w:p>
        </w:tc>
      </w:tr>
      <w:tr w:rsidR="00B71C94" w:rsidRPr="00B71C94" w14:paraId="2965C3D4" w14:textId="77777777" w:rsidTr="00904AEE">
        <w:tc>
          <w:tcPr>
            <w:tcW w:w="2972" w:type="dxa"/>
          </w:tcPr>
          <w:p w14:paraId="53AC2598" w14:textId="77777777" w:rsidR="00B71C94" w:rsidRPr="00B71C94" w:rsidRDefault="00B71C94" w:rsidP="00B71C94">
            <w:pPr>
              <w:autoSpaceDE w:val="0"/>
              <w:autoSpaceDN w:val="0"/>
              <w:adjustRightInd w:val="0"/>
              <w:spacing w:line="240" w:lineRule="auto"/>
              <w:rPr>
                <w:rFonts w:ascii="Arial" w:hAnsi="Arial" w:cs="Arial"/>
                <w:sz w:val="22"/>
              </w:rPr>
            </w:pPr>
          </w:p>
        </w:tc>
        <w:tc>
          <w:tcPr>
            <w:tcW w:w="4253" w:type="dxa"/>
          </w:tcPr>
          <w:p w14:paraId="0E2B2CE3" w14:textId="77777777" w:rsidR="00B71C94" w:rsidRPr="00B71C94" w:rsidRDefault="00B71C94" w:rsidP="00B71C94">
            <w:pPr>
              <w:autoSpaceDE w:val="0"/>
              <w:autoSpaceDN w:val="0"/>
              <w:adjustRightInd w:val="0"/>
              <w:spacing w:line="240" w:lineRule="auto"/>
              <w:rPr>
                <w:rFonts w:ascii="Arial" w:hAnsi="Arial" w:cs="Arial"/>
                <w:sz w:val="22"/>
              </w:rPr>
            </w:pPr>
          </w:p>
        </w:tc>
      </w:tr>
      <w:tr w:rsidR="00B71C94" w:rsidRPr="00B71C94" w14:paraId="7093724A" w14:textId="77777777" w:rsidTr="00904AEE">
        <w:tc>
          <w:tcPr>
            <w:tcW w:w="2972" w:type="dxa"/>
          </w:tcPr>
          <w:p w14:paraId="40165ACE"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Town centre</w:t>
            </w:r>
          </w:p>
        </w:tc>
        <w:tc>
          <w:tcPr>
            <w:tcW w:w="4253" w:type="dxa"/>
          </w:tcPr>
          <w:p w14:paraId="34A672EB"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51 to 100                 *75 mid</w:t>
            </w:r>
          </w:p>
        </w:tc>
      </w:tr>
      <w:tr w:rsidR="00B71C94" w:rsidRPr="00B71C94" w14:paraId="4E5C6B65" w14:textId="77777777" w:rsidTr="00904AEE">
        <w:tc>
          <w:tcPr>
            <w:tcW w:w="2972" w:type="dxa"/>
          </w:tcPr>
          <w:p w14:paraId="639487AD"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Planned urban extension</w:t>
            </w:r>
          </w:p>
        </w:tc>
        <w:tc>
          <w:tcPr>
            <w:tcW w:w="4253" w:type="dxa"/>
          </w:tcPr>
          <w:p w14:paraId="5425EF5B"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31 to 40                   *35 mid</w:t>
            </w:r>
          </w:p>
        </w:tc>
      </w:tr>
      <w:tr w:rsidR="00B71C94" w:rsidRPr="00B71C94" w14:paraId="595F7582" w14:textId="77777777" w:rsidTr="00904AEE">
        <w:tc>
          <w:tcPr>
            <w:tcW w:w="2972" w:type="dxa"/>
          </w:tcPr>
          <w:p w14:paraId="4A90ECC3" w14:textId="77777777" w:rsidR="00B71C94" w:rsidRPr="00B71C94" w:rsidRDefault="00B71C94" w:rsidP="00B71C94">
            <w:pPr>
              <w:autoSpaceDE w:val="0"/>
              <w:autoSpaceDN w:val="0"/>
              <w:adjustRightInd w:val="0"/>
              <w:spacing w:line="240" w:lineRule="auto"/>
              <w:rPr>
                <w:rFonts w:ascii="Arial" w:hAnsi="Arial" w:cs="Arial"/>
                <w:b/>
                <w:sz w:val="22"/>
              </w:rPr>
            </w:pPr>
            <w:r w:rsidRPr="00B71C94">
              <w:rPr>
                <w:rFonts w:ascii="Arial" w:hAnsi="Arial" w:cs="Arial"/>
                <w:sz w:val="22"/>
              </w:rPr>
              <w:t>Suburban / rural settlement</w:t>
            </w:r>
          </w:p>
        </w:tc>
        <w:tc>
          <w:tcPr>
            <w:tcW w:w="4253" w:type="dxa"/>
          </w:tcPr>
          <w:p w14:paraId="34D7E456" w14:textId="77777777" w:rsidR="00B71C94" w:rsidRPr="00B71C94" w:rsidRDefault="00B71C94" w:rsidP="00B71C94">
            <w:pPr>
              <w:autoSpaceDE w:val="0"/>
              <w:autoSpaceDN w:val="0"/>
              <w:adjustRightInd w:val="0"/>
              <w:spacing w:line="240" w:lineRule="auto"/>
              <w:rPr>
                <w:rFonts w:ascii="Arial" w:hAnsi="Arial" w:cs="Arial"/>
                <w:sz w:val="22"/>
              </w:rPr>
            </w:pPr>
            <w:r w:rsidRPr="00B71C94">
              <w:rPr>
                <w:rFonts w:ascii="Arial" w:hAnsi="Arial" w:cs="Arial"/>
                <w:sz w:val="22"/>
              </w:rPr>
              <w:t>20 to 30                   *25 mid</w:t>
            </w:r>
          </w:p>
        </w:tc>
      </w:tr>
      <w:tr w:rsidR="00B71C94" w:rsidRPr="00B71C94" w14:paraId="10FF2E65" w14:textId="77777777" w:rsidTr="00904AEE">
        <w:tc>
          <w:tcPr>
            <w:tcW w:w="2972" w:type="dxa"/>
          </w:tcPr>
          <w:p w14:paraId="3E2BD3E5" w14:textId="77777777" w:rsidR="00B71C94" w:rsidRPr="00B71C94" w:rsidRDefault="00B71C94" w:rsidP="00B71C94">
            <w:pPr>
              <w:autoSpaceDE w:val="0"/>
              <w:autoSpaceDN w:val="0"/>
              <w:adjustRightInd w:val="0"/>
              <w:spacing w:line="240" w:lineRule="auto"/>
              <w:rPr>
                <w:rFonts w:ascii="Arial" w:hAnsi="Arial" w:cs="Arial"/>
                <w:sz w:val="22"/>
              </w:rPr>
            </w:pPr>
          </w:p>
        </w:tc>
        <w:tc>
          <w:tcPr>
            <w:tcW w:w="4253" w:type="dxa"/>
          </w:tcPr>
          <w:p w14:paraId="326CBF99" w14:textId="77777777" w:rsidR="00B71C94" w:rsidRPr="00B71C94" w:rsidRDefault="00B71C94" w:rsidP="00B71C94">
            <w:pPr>
              <w:autoSpaceDE w:val="0"/>
              <w:autoSpaceDN w:val="0"/>
              <w:adjustRightInd w:val="0"/>
              <w:spacing w:line="240" w:lineRule="auto"/>
              <w:rPr>
                <w:rFonts w:ascii="Arial" w:hAnsi="Arial" w:cs="Arial"/>
                <w:sz w:val="22"/>
              </w:rPr>
            </w:pPr>
          </w:p>
        </w:tc>
      </w:tr>
    </w:tbl>
    <w:p w14:paraId="28A39C0E"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p>
    <w:p w14:paraId="27A683E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 xml:space="preserve">These densities will be taken as a starting point.  Different densities may be applied where these become apparent through site assessments.  </w:t>
      </w:r>
    </w:p>
    <w:p w14:paraId="3A1E0A75"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p>
    <w:p w14:paraId="2D83FB6E"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b/>
          <w:sz w:val="22"/>
          <w:szCs w:val="22"/>
        </w:rPr>
        <w:t>Stage B assessment criteria</w:t>
      </w:r>
    </w:p>
    <w:p w14:paraId="3B516508"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p>
    <w:p w14:paraId="3C9DB4FB"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Potential for impact on:</w:t>
      </w:r>
    </w:p>
    <w:p w14:paraId="0934C93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91725A1"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Air quality</w:t>
      </w:r>
    </w:p>
    <w:p w14:paraId="180B809C" w14:textId="77777777" w:rsidR="00B71C94" w:rsidRPr="00B71C94" w:rsidRDefault="00B71C94" w:rsidP="00B71C94">
      <w:pPr>
        <w:autoSpaceDE w:val="0"/>
        <w:autoSpaceDN w:val="0"/>
        <w:adjustRightInd w:val="0"/>
        <w:spacing w:after="0" w:line="240" w:lineRule="auto"/>
        <w:ind w:left="720"/>
        <w:contextualSpacing/>
        <w:rPr>
          <w:rFonts w:ascii="Arial" w:eastAsia="Calibri" w:hAnsi="Arial" w:cs="Arial"/>
          <w:sz w:val="22"/>
          <w:szCs w:val="22"/>
        </w:rPr>
      </w:pPr>
    </w:p>
    <w:p w14:paraId="0C51A276"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Biodiversity, the historic, cultural &amp; built environment</w:t>
      </w:r>
    </w:p>
    <w:p w14:paraId="32D24EC7"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924EDD4"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Employment land</w:t>
      </w:r>
    </w:p>
    <w:p w14:paraId="28C4A713"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1B4A3B34"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Landscape - including setting of AONB and Undeveloped Coast</w:t>
      </w:r>
    </w:p>
    <w:p w14:paraId="09CDEF5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3C62BD75"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Marine Conservation Zones</w:t>
      </w:r>
    </w:p>
    <w:p w14:paraId="330B12D6"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ADE73B5"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Mineral resources</w:t>
      </w:r>
    </w:p>
    <w:p w14:paraId="5309CA08"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39988899"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Open space and recreation facilities</w:t>
      </w:r>
    </w:p>
    <w:p w14:paraId="2BBD1A71"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10AC381F" w14:textId="77777777" w:rsidR="00B71C94" w:rsidRPr="00B71C94" w:rsidRDefault="00B71C94" w:rsidP="00B71C94">
      <w:pPr>
        <w:numPr>
          <w:ilvl w:val="0"/>
          <w:numId w:val="20"/>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Water Source Protection Zones</w:t>
      </w:r>
    </w:p>
    <w:p w14:paraId="39F1B349"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0877CFF0"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b/>
          <w:sz w:val="22"/>
          <w:szCs w:val="22"/>
        </w:rPr>
        <w:t>Other considerations:</w:t>
      </w:r>
    </w:p>
    <w:p w14:paraId="7770EA8C"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1E2FE30" w14:textId="687AFD07" w:rsidR="00B71C94" w:rsidRPr="00B71C94" w:rsidRDefault="00B71C94" w:rsidP="00B71C94">
      <w:pPr>
        <w:numPr>
          <w:ilvl w:val="0"/>
          <w:numId w:val="21"/>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Access to public transport, </w:t>
      </w:r>
      <w:r w:rsidR="00BE3B3F" w:rsidRPr="00B71C94">
        <w:rPr>
          <w:rFonts w:ascii="Arial" w:eastAsia="Calibri" w:hAnsi="Arial" w:cs="Arial"/>
          <w:sz w:val="22"/>
          <w:szCs w:val="22"/>
        </w:rPr>
        <w:t>services,</w:t>
      </w:r>
      <w:r w:rsidRPr="00B71C94">
        <w:rPr>
          <w:rFonts w:ascii="Arial" w:eastAsia="Calibri" w:hAnsi="Arial" w:cs="Arial"/>
          <w:sz w:val="22"/>
          <w:szCs w:val="22"/>
        </w:rPr>
        <w:t xml:space="preserve"> and facilities</w:t>
      </w:r>
    </w:p>
    <w:p w14:paraId="3C3E3EB2" w14:textId="77777777" w:rsidR="00B71C94" w:rsidRPr="00B71C94" w:rsidRDefault="00B71C94" w:rsidP="00B71C94">
      <w:pPr>
        <w:autoSpaceDE w:val="0"/>
        <w:autoSpaceDN w:val="0"/>
        <w:adjustRightInd w:val="0"/>
        <w:spacing w:after="0" w:line="240" w:lineRule="auto"/>
        <w:ind w:left="720"/>
        <w:contextualSpacing/>
        <w:rPr>
          <w:rFonts w:ascii="Arial" w:eastAsia="Calibri" w:hAnsi="Arial" w:cs="Arial"/>
          <w:sz w:val="22"/>
          <w:szCs w:val="22"/>
        </w:rPr>
      </w:pPr>
    </w:p>
    <w:p w14:paraId="3AF8028A" w14:textId="77777777" w:rsidR="00B71C94" w:rsidRPr="00B71C94" w:rsidRDefault="00B71C94" w:rsidP="00B71C94">
      <w:pPr>
        <w:numPr>
          <w:ilvl w:val="0"/>
          <w:numId w:val="21"/>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Compatibility with existing and / or proposed surrounding uses, including Waste Consultation Zones</w:t>
      </w:r>
    </w:p>
    <w:p w14:paraId="578633BC"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527B97B3" w14:textId="77777777" w:rsidR="00B71C94" w:rsidRPr="00B71C94" w:rsidRDefault="00B71C94" w:rsidP="00B71C94">
      <w:pPr>
        <w:numPr>
          <w:ilvl w:val="0"/>
          <w:numId w:val="21"/>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Constraints to delivery, including flood risk</w:t>
      </w:r>
    </w:p>
    <w:p w14:paraId="6A779726"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08EE86F1" w14:textId="07E92A83" w:rsidR="00B71C94" w:rsidRPr="00B71C94" w:rsidRDefault="00B71C94" w:rsidP="00B71C94">
      <w:pPr>
        <w:numPr>
          <w:ilvl w:val="0"/>
          <w:numId w:val="21"/>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 xml:space="preserve">Highway access, </w:t>
      </w:r>
      <w:r w:rsidR="00BE3B3F" w:rsidRPr="00B71C94">
        <w:rPr>
          <w:rFonts w:ascii="Arial" w:eastAsia="Calibri" w:hAnsi="Arial" w:cs="Arial"/>
          <w:sz w:val="22"/>
          <w:szCs w:val="22"/>
        </w:rPr>
        <w:t>pedestrian,</w:t>
      </w:r>
      <w:r w:rsidRPr="00B71C94">
        <w:rPr>
          <w:rFonts w:ascii="Arial" w:eastAsia="Calibri" w:hAnsi="Arial" w:cs="Arial"/>
          <w:sz w:val="22"/>
          <w:szCs w:val="22"/>
        </w:rPr>
        <w:t xml:space="preserve"> and cycle links</w:t>
      </w:r>
    </w:p>
    <w:p w14:paraId="41BB81E0"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51723C4D" w14:textId="77777777" w:rsidR="00B71C94" w:rsidRPr="00B71C94" w:rsidRDefault="00B71C94" w:rsidP="00B71C94">
      <w:pPr>
        <w:numPr>
          <w:ilvl w:val="0"/>
          <w:numId w:val="21"/>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Infrastructure capacity</w:t>
      </w:r>
    </w:p>
    <w:p w14:paraId="26802C38"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1E2D1672" w14:textId="77777777" w:rsidR="00B71C94" w:rsidRPr="00B71C94" w:rsidRDefault="00B71C94" w:rsidP="00B71C94">
      <w:pPr>
        <w:numPr>
          <w:ilvl w:val="0"/>
          <w:numId w:val="21"/>
        </w:numPr>
        <w:autoSpaceDE w:val="0"/>
        <w:autoSpaceDN w:val="0"/>
        <w:adjustRightInd w:val="0"/>
        <w:spacing w:after="0" w:line="240" w:lineRule="auto"/>
        <w:contextualSpacing/>
        <w:rPr>
          <w:rFonts w:ascii="Arial" w:eastAsia="Calibri" w:hAnsi="Arial" w:cs="Arial"/>
          <w:sz w:val="22"/>
          <w:szCs w:val="22"/>
        </w:rPr>
      </w:pPr>
      <w:r w:rsidRPr="00B71C94">
        <w:rPr>
          <w:rFonts w:ascii="Arial" w:eastAsia="Calibri" w:hAnsi="Arial" w:cs="Arial"/>
          <w:sz w:val="22"/>
          <w:szCs w:val="22"/>
        </w:rPr>
        <w:t>Land status</w:t>
      </w:r>
    </w:p>
    <w:p w14:paraId="42C2CC6F" w14:textId="77777777" w:rsidR="00B71C94" w:rsidRPr="00B71C94" w:rsidRDefault="00B71C94" w:rsidP="00B71C94">
      <w:pPr>
        <w:spacing w:after="160" w:line="259" w:lineRule="auto"/>
        <w:ind w:left="720"/>
        <w:contextualSpacing/>
        <w:rPr>
          <w:rFonts w:ascii="Arial" w:eastAsia="Calibri" w:hAnsi="Arial" w:cs="Arial"/>
          <w:sz w:val="22"/>
          <w:szCs w:val="22"/>
        </w:rPr>
      </w:pPr>
    </w:p>
    <w:p w14:paraId="4629A0EE"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460FA5CC" w14:textId="77777777" w:rsidR="00B71C94" w:rsidRPr="00B71C94" w:rsidRDefault="00B71C94" w:rsidP="00B71C94">
      <w:pPr>
        <w:autoSpaceDE w:val="0"/>
        <w:autoSpaceDN w:val="0"/>
        <w:adjustRightInd w:val="0"/>
        <w:spacing w:after="0" w:line="240" w:lineRule="auto"/>
        <w:rPr>
          <w:rFonts w:ascii="Arial" w:eastAsia="Calibri" w:hAnsi="Arial" w:cs="Arial"/>
          <w:b/>
          <w:sz w:val="22"/>
          <w:szCs w:val="22"/>
        </w:rPr>
      </w:pPr>
      <w:r w:rsidRPr="00B71C94">
        <w:rPr>
          <w:rFonts w:ascii="Arial" w:eastAsia="Calibri" w:hAnsi="Arial" w:cs="Arial"/>
          <w:b/>
          <w:sz w:val="22"/>
          <w:szCs w:val="22"/>
        </w:rPr>
        <w:t xml:space="preserve">Target Dates </w:t>
      </w:r>
    </w:p>
    <w:p w14:paraId="61586D0E"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185CAC26"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A call for sites took place in 2020</w:t>
      </w:r>
    </w:p>
    <w:p w14:paraId="3644DD29"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0AE53FF2"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A further “call for evidence” will take place in March 2021.</w:t>
      </w:r>
    </w:p>
    <w:p w14:paraId="17D2D66C"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p w14:paraId="0E78A6DC" w14:textId="723CB092" w:rsidR="00B71C94" w:rsidRPr="00B71C94" w:rsidRDefault="00B71C94" w:rsidP="00B71C94">
      <w:pPr>
        <w:autoSpaceDE w:val="0"/>
        <w:autoSpaceDN w:val="0"/>
        <w:adjustRightInd w:val="0"/>
        <w:spacing w:after="0" w:line="240" w:lineRule="auto"/>
        <w:rPr>
          <w:rFonts w:ascii="Arial" w:eastAsia="Calibri" w:hAnsi="Arial" w:cs="Arial"/>
          <w:sz w:val="22"/>
          <w:szCs w:val="22"/>
        </w:rPr>
      </w:pPr>
      <w:r w:rsidRPr="00B71C94">
        <w:rPr>
          <w:rFonts w:ascii="Arial" w:eastAsia="Calibri" w:hAnsi="Arial" w:cs="Arial"/>
          <w:sz w:val="22"/>
          <w:szCs w:val="22"/>
        </w:rPr>
        <w:t>HELAA panel</w:t>
      </w:r>
      <w:r w:rsidR="000B22B9">
        <w:rPr>
          <w:rFonts w:ascii="Arial" w:eastAsia="Calibri" w:hAnsi="Arial" w:cs="Arial"/>
          <w:sz w:val="22"/>
          <w:szCs w:val="22"/>
        </w:rPr>
        <w:t xml:space="preserve">s considered </w:t>
      </w:r>
      <w:r w:rsidR="008A0281">
        <w:rPr>
          <w:rFonts w:ascii="Arial" w:eastAsia="Calibri" w:hAnsi="Arial" w:cs="Arial"/>
          <w:sz w:val="22"/>
          <w:szCs w:val="22"/>
        </w:rPr>
        <w:t>draft</w:t>
      </w:r>
      <w:r w:rsidR="0041533F">
        <w:rPr>
          <w:rFonts w:ascii="Arial" w:eastAsia="Calibri" w:hAnsi="Arial" w:cs="Arial"/>
          <w:sz w:val="22"/>
          <w:szCs w:val="22"/>
        </w:rPr>
        <w:t xml:space="preserve"> sites in July 2021.  The HELAA being finalised</w:t>
      </w:r>
      <w:r w:rsidR="00FD4CDE">
        <w:rPr>
          <w:rFonts w:ascii="Arial" w:eastAsia="Calibri" w:hAnsi="Arial" w:cs="Arial"/>
          <w:sz w:val="22"/>
          <w:szCs w:val="22"/>
        </w:rPr>
        <w:t xml:space="preserve"> and used to develop Local Plan Growth Options </w:t>
      </w:r>
      <w:r w:rsidR="0073068B">
        <w:rPr>
          <w:rFonts w:ascii="Arial" w:eastAsia="Calibri" w:hAnsi="Arial" w:cs="Arial"/>
          <w:sz w:val="22"/>
          <w:szCs w:val="22"/>
        </w:rPr>
        <w:t>in the second half of 2021.</w:t>
      </w:r>
    </w:p>
    <w:p w14:paraId="36A2CD49" w14:textId="74BAFDE3" w:rsidR="00B71C94" w:rsidRPr="00B71C94" w:rsidRDefault="009841B4" w:rsidP="00634067">
      <w:pPr>
        <w:spacing w:before="100" w:beforeAutospacing="1" w:after="100" w:afterAutospacing="1" w:line="240" w:lineRule="auto"/>
        <w:rPr>
          <w:rFonts w:ascii="Arial" w:eastAsia="Times New Roman" w:hAnsi="Arial" w:cs="Arial"/>
          <w:sz w:val="22"/>
          <w:szCs w:val="22"/>
          <w:lang w:val="en" w:eastAsia="en-GB"/>
        </w:rPr>
      </w:pPr>
      <w:r>
        <w:rPr>
          <w:rFonts w:ascii="Arial" w:eastAsia="Times New Roman" w:hAnsi="Arial" w:cs="Arial"/>
          <w:sz w:val="22"/>
          <w:szCs w:val="22"/>
          <w:lang w:val="en" w:eastAsia="en-GB"/>
        </w:rPr>
        <w:t xml:space="preserve">The HELAA Panels contained developers, land agents, Neighbourhood Forum and Parish Council members </w:t>
      </w:r>
      <w:r w:rsidR="00562095">
        <w:rPr>
          <w:rFonts w:ascii="Arial" w:eastAsia="Times New Roman" w:hAnsi="Arial" w:cs="Arial"/>
          <w:sz w:val="22"/>
          <w:szCs w:val="22"/>
          <w:lang w:val="en" w:eastAsia="en-GB"/>
        </w:rPr>
        <w:t xml:space="preserve">as well as other stakeholders from the </w:t>
      </w:r>
      <w:r w:rsidR="00634067">
        <w:rPr>
          <w:rFonts w:ascii="Arial" w:eastAsia="Times New Roman" w:hAnsi="Arial" w:cs="Arial"/>
          <w:sz w:val="22"/>
          <w:szCs w:val="22"/>
          <w:lang w:val="en" w:eastAsia="en-GB"/>
        </w:rPr>
        <w:t>Housing Board and TDA</w:t>
      </w:r>
      <w:r w:rsidR="008A0281">
        <w:rPr>
          <w:rFonts w:ascii="Arial" w:eastAsia="Times New Roman" w:hAnsi="Arial" w:cs="Arial"/>
          <w:sz w:val="22"/>
          <w:szCs w:val="22"/>
          <w:lang w:val="en" w:eastAsia="en-GB"/>
        </w:rPr>
        <w:t>.:</w:t>
      </w:r>
      <w:r w:rsidR="00B71C94" w:rsidRPr="00B71C94">
        <w:rPr>
          <w:rFonts w:ascii="Arial" w:eastAsia="Times New Roman" w:hAnsi="Arial" w:cs="Arial"/>
          <w:sz w:val="22"/>
          <w:szCs w:val="22"/>
          <w:lang w:val="en" w:eastAsia="en-GB"/>
        </w:rPr>
        <w:t xml:space="preserve"> </w:t>
      </w:r>
      <w:r w:rsidR="00B71C94" w:rsidRPr="00B71C94">
        <w:rPr>
          <w:rFonts w:ascii="Arial" w:eastAsia="Times New Roman" w:hAnsi="Arial" w:cs="Arial"/>
          <w:sz w:val="22"/>
          <w:szCs w:val="22"/>
          <w:lang w:val="en" w:eastAsia="en-GB"/>
        </w:rPr>
        <w:br w:type="page"/>
      </w:r>
    </w:p>
    <w:p w14:paraId="1EAA3D84" w14:textId="6C93D429" w:rsidR="00B71C94" w:rsidRPr="00B71C94" w:rsidRDefault="00B71C94" w:rsidP="00B71C94">
      <w:pPr>
        <w:spacing w:before="100" w:beforeAutospacing="1" w:after="100" w:afterAutospacing="1" w:line="240" w:lineRule="auto"/>
        <w:rPr>
          <w:rFonts w:ascii="Arial" w:eastAsia="Times New Roman" w:hAnsi="Arial" w:cs="Arial"/>
          <w:sz w:val="22"/>
          <w:szCs w:val="22"/>
          <w:lang w:val="en" w:eastAsia="en-GB"/>
        </w:rPr>
      </w:pPr>
      <w:r w:rsidRPr="00B71C94">
        <w:rPr>
          <w:rFonts w:ascii="Arial" w:eastAsia="Times New Roman" w:hAnsi="Arial" w:cs="Arial"/>
          <w:b/>
          <w:sz w:val="22"/>
          <w:szCs w:val="22"/>
          <w:lang w:val="en" w:eastAsia="en-GB"/>
        </w:rPr>
        <w:t xml:space="preserve">Site Assessment Templates.   </w:t>
      </w:r>
      <w:r w:rsidRPr="00B71C94">
        <w:rPr>
          <w:rFonts w:ascii="Arial" w:eastAsia="Times New Roman" w:hAnsi="Arial" w:cs="Arial"/>
          <w:sz w:val="22"/>
          <w:szCs w:val="22"/>
          <w:lang w:val="en" w:eastAsia="en-GB"/>
        </w:rPr>
        <w:t xml:space="preserve">(Reference to the development plan, NPPF etc. are added in accordance with PPG </w:t>
      </w:r>
      <w:r w:rsidRPr="00B71C94">
        <w:rPr>
          <w:rFonts w:ascii="Arial" w:eastAsia="Calibri" w:hAnsi="Arial" w:cs="Arial"/>
          <w:sz w:val="22"/>
          <w:szCs w:val="22"/>
          <w:lang w:val="en"/>
        </w:rPr>
        <w:t xml:space="preserve">3-015-20190722.  Reference to “Strategic Policy” has been removed from the GESP template, as this is considered more appropriate as a “stage B” consideration. Reference to development plan policies is included as part of the stage B assessment. </w:t>
      </w:r>
    </w:p>
    <w:p w14:paraId="0406BC2F" w14:textId="25392CBC" w:rsidR="00B71C94" w:rsidRPr="00B71C94" w:rsidRDefault="00B71C94" w:rsidP="00B71C94">
      <w:pPr>
        <w:autoSpaceDE w:val="0"/>
        <w:autoSpaceDN w:val="0"/>
        <w:adjustRightInd w:val="0"/>
        <w:spacing w:after="0" w:line="240" w:lineRule="auto"/>
        <w:rPr>
          <w:rFonts w:ascii="Arial" w:eastAsia="Calibri" w:hAnsi="Arial" w:cs="Arial"/>
          <w:szCs w:val="24"/>
        </w:rPr>
      </w:pPr>
      <w:r w:rsidRPr="00B71C94">
        <w:rPr>
          <w:rFonts w:ascii="Arial" w:eastAsia="Calibri" w:hAnsi="Arial" w:cs="Arial"/>
          <w:szCs w:val="24"/>
        </w:rPr>
        <w:t>HELAA – Example of Site Assessment</w:t>
      </w:r>
      <w:r w:rsidR="00634067">
        <w:rPr>
          <w:rFonts w:ascii="Arial" w:eastAsia="Calibri" w:hAnsi="Arial" w:cs="Arial"/>
          <w:szCs w:val="24"/>
        </w:rPr>
        <w:t xml:space="preserve">.  In practice some variations were made to </w:t>
      </w:r>
      <w:r w:rsidR="00BF4E0F">
        <w:rPr>
          <w:rFonts w:ascii="Arial" w:eastAsia="Calibri" w:hAnsi="Arial" w:cs="Arial"/>
          <w:szCs w:val="24"/>
        </w:rPr>
        <w:t xml:space="preserve">some proformas. For </w:t>
      </w:r>
      <w:r w:rsidR="008A0281">
        <w:rPr>
          <w:rFonts w:ascii="Arial" w:eastAsia="Calibri" w:hAnsi="Arial" w:cs="Arial"/>
          <w:szCs w:val="24"/>
        </w:rPr>
        <w:t>example,</w:t>
      </w:r>
      <w:r w:rsidR="00BF4E0F">
        <w:rPr>
          <w:rFonts w:ascii="Arial" w:eastAsia="Calibri" w:hAnsi="Arial" w:cs="Arial"/>
          <w:szCs w:val="24"/>
        </w:rPr>
        <w:t xml:space="preserve"> </w:t>
      </w:r>
      <w:r w:rsidR="00856F8F">
        <w:rPr>
          <w:rFonts w:ascii="Arial" w:eastAsia="Calibri" w:hAnsi="Arial" w:cs="Arial"/>
          <w:szCs w:val="24"/>
        </w:rPr>
        <w:t xml:space="preserve">less detail is required for sites </w:t>
      </w:r>
      <w:r w:rsidR="008A119E">
        <w:rPr>
          <w:rFonts w:ascii="Arial" w:eastAsia="Calibri" w:hAnsi="Arial" w:cs="Arial"/>
          <w:szCs w:val="24"/>
        </w:rPr>
        <w:t>where the principle of development has been established through allocation in the development plan or the grant of plann</w:t>
      </w:r>
      <w:r w:rsidR="000C69AA">
        <w:rPr>
          <w:rFonts w:ascii="Arial" w:eastAsia="Calibri" w:hAnsi="Arial" w:cs="Arial"/>
          <w:szCs w:val="24"/>
        </w:rPr>
        <w:t xml:space="preserve">ing permission.  </w:t>
      </w:r>
    </w:p>
    <w:p w14:paraId="116E18A4" w14:textId="77777777" w:rsidR="00B71C94" w:rsidRPr="00B71C94" w:rsidRDefault="00B71C94" w:rsidP="00B71C94">
      <w:pPr>
        <w:autoSpaceDE w:val="0"/>
        <w:autoSpaceDN w:val="0"/>
        <w:adjustRightInd w:val="0"/>
        <w:spacing w:after="0" w:line="240" w:lineRule="auto"/>
        <w:rPr>
          <w:rFonts w:ascii="Arial" w:eastAsia="Calibri" w:hAnsi="Arial" w:cs="Arial"/>
          <w:sz w:val="22"/>
          <w:szCs w:val="22"/>
        </w:rPr>
      </w:pPr>
    </w:p>
    <w:tbl>
      <w:tblPr>
        <w:tblStyle w:val="TableGrid1"/>
        <w:tblW w:w="0" w:type="auto"/>
        <w:tblLook w:val="04A0" w:firstRow="1" w:lastRow="0" w:firstColumn="1" w:lastColumn="0" w:noHBand="0" w:noVBand="1"/>
      </w:tblPr>
      <w:tblGrid>
        <w:gridCol w:w="1980"/>
        <w:gridCol w:w="7036"/>
      </w:tblGrid>
      <w:tr w:rsidR="00B71C94" w:rsidRPr="00B71C94" w14:paraId="4FA7D02F" w14:textId="77777777" w:rsidTr="00904AEE">
        <w:tc>
          <w:tcPr>
            <w:tcW w:w="9016" w:type="dxa"/>
            <w:gridSpan w:val="2"/>
          </w:tcPr>
          <w:p w14:paraId="47B3FC95" w14:textId="77777777" w:rsidR="00B71C94" w:rsidRPr="00B71C94" w:rsidRDefault="00B71C94" w:rsidP="00B71C94">
            <w:pPr>
              <w:spacing w:line="240" w:lineRule="auto"/>
              <w:rPr>
                <w:rFonts w:ascii="Calibri" w:hAnsi="Calibri" w:cs="Times New Roman"/>
                <w:b/>
                <w:sz w:val="22"/>
              </w:rPr>
            </w:pPr>
          </w:p>
          <w:p w14:paraId="5EEDB206"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SITE OVERVIEW</w:t>
            </w:r>
          </w:p>
          <w:p w14:paraId="5FD37E79" w14:textId="77777777" w:rsidR="00B71C94" w:rsidRPr="00B71C94" w:rsidRDefault="00B71C94" w:rsidP="00B71C94">
            <w:pPr>
              <w:spacing w:line="240" w:lineRule="auto"/>
              <w:rPr>
                <w:rFonts w:ascii="Calibri" w:hAnsi="Calibri" w:cs="Times New Roman"/>
                <w:sz w:val="22"/>
              </w:rPr>
            </w:pPr>
          </w:p>
        </w:tc>
      </w:tr>
      <w:tr w:rsidR="00B71C94" w:rsidRPr="00B71C94" w14:paraId="383B8B97" w14:textId="77777777" w:rsidTr="00904AEE">
        <w:tc>
          <w:tcPr>
            <w:tcW w:w="1980" w:type="dxa"/>
          </w:tcPr>
          <w:p w14:paraId="73EA67F3"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HELAA Reference no.</w:t>
            </w:r>
          </w:p>
        </w:tc>
        <w:tc>
          <w:tcPr>
            <w:tcW w:w="7036" w:type="dxa"/>
          </w:tcPr>
          <w:p w14:paraId="02A2BD0F" w14:textId="77777777" w:rsidR="00B71C94" w:rsidRPr="00B71C94" w:rsidRDefault="00B71C94" w:rsidP="00B71C94">
            <w:pPr>
              <w:spacing w:line="240" w:lineRule="auto"/>
              <w:outlineLvl w:val="0"/>
              <w:rPr>
                <w:rFonts w:ascii="Calibri" w:hAnsi="Calibri" w:cs="Times New Roman"/>
                <w:b/>
                <w:noProof/>
                <w:sz w:val="22"/>
              </w:rPr>
            </w:pPr>
          </w:p>
        </w:tc>
      </w:tr>
      <w:tr w:rsidR="00B71C94" w:rsidRPr="00B71C94" w14:paraId="55F59B52" w14:textId="77777777" w:rsidTr="00904AEE">
        <w:tc>
          <w:tcPr>
            <w:tcW w:w="1980" w:type="dxa"/>
          </w:tcPr>
          <w:p w14:paraId="5F6700F7"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Customer Reference no.</w:t>
            </w:r>
          </w:p>
        </w:tc>
        <w:tc>
          <w:tcPr>
            <w:tcW w:w="7036" w:type="dxa"/>
          </w:tcPr>
          <w:p w14:paraId="0D9CDDCC" w14:textId="77777777" w:rsidR="00B71C94" w:rsidRPr="00B71C94" w:rsidRDefault="00B71C94" w:rsidP="00B71C94">
            <w:pPr>
              <w:spacing w:line="240" w:lineRule="auto"/>
              <w:rPr>
                <w:rFonts w:ascii="Calibri" w:hAnsi="Calibri" w:cs="Times New Roman"/>
                <w:b/>
                <w:sz w:val="22"/>
              </w:rPr>
            </w:pPr>
          </w:p>
        </w:tc>
      </w:tr>
      <w:tr w:rsidR="00B71C94" w:rsidRPr="00B71C94" w14:paraId="19AD7701" w14:textId="77777777" w:rsidTr="00904AEE">
        <w:tc>
          <w:tcPr>
            <w:tcW w:w="1980" w:type="dxa"/>
          </w:tcPr>
          <w:p w14:paraId="4A548C2E"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 xml:space="preserve">Source of Site (call for sites, Local Plan allocation etc.).  </w:t>
            </w:r>
          </w:p>
        </w:tc>
        <w:tc>
          <w:tcPr>
            <w:tcW w:w="7036" w:type="dxa"/>
          </w:tcPr>
          <w:p w14:paraId="28929010" w14:textId="77777777" w:rsidR="00B71C94" w:rsidRPr="00B71C94" w:rsidRDefault="00B71C94" w:rsidP="00B71C94">
            <w:pPr>
              <w:spacing w:line="240" w:lineRule="auto"/>
              <w:rPr>
                <w:rFonts w:ascii="Calibri" w:hAnsi="Calibri" w:cs="Times New Roman"/>
                <w:b/>
                <w:sz w:val="22"/>
              </w:rPr>
            </w:pPr>
          </w:p>
        </w:tc>
      </w:tr>
      <w:tr w:rsidR="00B71C94" w:rsidRPr="00B71C94" w14:paraId="6C5D6F26" w14:textId="77777777" w:rsidTr="00904AEE">
        <w:tc>
          <w:tcPr>
            <w:tcW w:w="1980" w:type="dxa"/>
          </w:tcPr>
          <w:p w14:paraId="2EBB15E4"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Group HELAA Map</w:t>
            </w:r>
          </w:p>
        </w:tc>
        <w:tc>
          <w:tcPr>
            <w:tcW w:w="7036" w:type="dxa"/>
          </w:tcPr>
          <w:p w14:paraId="5A438BF7" w14:textId="77777777" w:rsidR="00B71C94" w:rsidRPr="00B71C94" w:rsidRDefault="00B71C94" w:rsidP="00B71C94">
            <w:pPr>
              <w:spacing w:line="240" w:lineRule="auto"/>
              <w:rPr>
                <w:rFonts w:ascii="Calibri" w:hAnsi="Calibri" w:cs="Times New Roman"/>
                <w:b/>
                <w:noProof/>
                <w:sz w:val="22"/>
              </w:rPr>
            </w:pPr>
            <w:r w:rsidRPr="00B71C94">
              <w:rPr>
                <w:rFonts w:ascii="Calibri" w:hAnsi="Calibri" w:cs="Times New Roman"/>
                <w:b/>
                <w:noProof/>
                <w:sz w:val="22"/>
              </w:rPr>
              <w:t xml:space="preserve">Map </w:t>
            </w:r>
          </w:p>
        </w:tc>
      </w:tr>
      <w:tr w:rsidR="00B71C94" w:rsidRPr="00B71C94" w14:paraId="3A9B8C7B" w14:textId="77777777" w:rsidTr="00904AEE">
        <w:tc>
          <w:tcPr>
            <w:tcW w:w="1980" w:type="dxa"/>
          </w:tcPr>
          <w:p w14:paraId="577DFEA3"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Site name</w:t>
            </w:r>
          </w:p>
        </w:tc>
        <w:tc>
          <w:tcPr>
            <w:tcW w:w="7036" w:type="dxa"/>
          </w:tcPr>
          <w:p w14:paraId="179E9A8B" w14:textId="77777777" w:rsidR="00B71C94" w:rsidRPr="00B71C94" w:rsidRDefault="00B71C94" w:rsidP="00B71C94">
            <w:pPr>
              <w:spacing w:line="240" w:lineRule="auto"/>
              <w:rPr>
                <w:rFonts w:ascii="Calibri" w:hAnsi="Calibri" w:cs="Times New Roman"/>
                <w:i/>
                <w:sz w:val="22"/>
              </w:rPr>
            </w:pPr>
          </w:p>
        </w:tc>
      </w:tr>
      <w:tr w:rsidR="00B71C94" w:rsidRPr="00B71C94" w14:paraId="555D878C" w14:textId="77777777" w:rsidTr="00904AEE">
        <w:tc>
          <w:tcPr>
            <w:tcW w:w="1980" w:type="dxa"/>
          </w:tcPr>
          <w:p w14:paraId="7C69172F"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Current use</w:t>
            </w:r>
          </w:p>
        </w:tc>
        <w:tc>
          <w:tcPr>
            <w:tcW w:w="7036" w:type="dxa"/>
          </w:tcPr>
          <w:p w14:paraId="66AB515F" w14:textId="77777777" w:rsidR="00B71C94" w:rsidRPr="00B71C94" w:rsidRDefault="00B71C94" w:rsidP="00B71C94">
            <w:pPr>
              <w:spacing w:line="240" w:lineRule="auto"/>
              <w:rPr>
                <w:rFonts w:ascii="Calibri" w:hAnsi="Calibri" w:cs="Times New Roman"/>
                <w:i/>
                <w:sz w:val="22"/>
              </w:rPr>
            </w:pPr>
          </w:p>
        </w:tc>
      </w:tr>
      <w:tr w:rsidR="00B71C94" w:rsidRPr="00B71C94" w14:paraId="437EA7B7" w14:textId="77777777" w:rsidTr="00904AEE">
        <w:tc>
          <w:tcPr>
            <w:tcW w:w="1980" w:type="dxa"/>
          </w:tcPr>
          <w:p w14:paraId="0025DE21"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Site descriptions</w:t>
            </w:r>
          </w:p>
        </w:tc>
        <w:tc>
          <w:tcPr>
            <w:tcW w:w="7036" w:type="dxa"/>
          </w:tcPr>
          <w:p w14:paraId="47C74A6A" w14:textId="77777777" w:rsidR="00B71C94" w:rsidRPr="00B71C94" w:rsidRDefault="00B71C94" w:rsidP="00B71C94">
            <w:pPr>
              <w:spacing w:line="240" w:lineRule="auto"/>
              <w:rPr>
                <w:rFonts w:ascii="Calibri" w:hAnsi="Calibri" w:cs="Times New Roman"/>
                <w:i/>
                <w:sz w:val="22"/>
              </w:rPr>
            </w:pPr>
          </w:p>
        </w:tc>
      </w:tr>
      <w:tr w:rsidR="00B71C94" w:rsidRPr="00B71C94" w14:paraId="13C96FD8" w14:textId="77777777" w:rsidTr="00904AEE">
        <w:tc>
          <w:tcPr>
            <w:tcW w:w="1980" w:type="dxa"/>
          </w:tcPr>
          <w:p w14:paraId="6CF4EC39"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Total site area (ha)</w:t>
            </w:r>
          </w:p>
        </w:tc>
        <w:tc>
          <w:tcPr>
            <w:tcW w:w="7036" w:type="dxa"/>
          </w:tcPr>
          <w:p w14:paraId="0B173142" w14:textId="77777777" w:rsidR="00B71C94" w:rsidRPr="00B71C94" w:rsidRDefault="00B71C94" w:rsidP="00B71C94">
            <w:pPr>
              <w:spacing w:line="240" w:lineRule="auto"/>
              <w:rPr>
                <w:rFonts w:ascii="Calibri" w:hAnsi="Calibri" w:cs="Times New Roman"/>
                <w:i/>
                <w:sz w:val="22"/>
              </w:rPr>
            </w:pPr>
          </w:p>
        </w:tc>
      </w:tr>
      <w:tr w:rsidR="00B71C94" w:rsidRPr="00B71C94" w14:paraId="408270B0" w14:textId="77777777" w:rsidTr="00904AEE">
        <w:tc>
          <w:tcPr>
            <w:tcW w:w="1980" w:type="dxa"/>
          </w:tcPr>
          <w:p w14:paraId="31D47428"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Gross site area (ha)</w:t>
            </w:r>
          </w:p>
        </w:tc>
        <w:tc>
          <w:tcPr>
            <w:tcW w:w="7036" w:type="dxa"/>
          </w:tcPr>
          <w:p w14:paraId="3E78EF55" w14:textId="77777777" w:rsidR="00B71C94" w:rsidRPr="00B71C94" w:rsidRDefault="00B71C94" w:rsidP="00B71C94">
            <w:pPr>
              <w:spacing w:line="240" w:lineRule="auto"/>
              <w:rPr>
                <w:rFonts w:ascii="Calibri" w:hAnsi="Calibri" w:cs="Times New Roman"/>
                <w:i/>
                <w:sz w:val="22"/>
              </w:rPr>
            </w:pPr>
          </w:p>
        </w:tc>
      </w:tr>
      <w:tr w:rsidR="00B71C94" w:rsidRPr="00B71C94" w14:paraId="70B22F0C" w14:textId="77777777" w:rsidTr="00904AEE">
        <w:tc>
          <w:tcPr>
            <w:tcW w:w="1980" w:type="dxa"/>
          </w:tcPr>
          <w:p w14:paraId="6729DD7C"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Min/Mid/Max yield</w:t>
            </w:r>
          </w:p>
        </w:tc>
        <w:tc>
          <w:tcPr>
            <w:tcW w:w="7036" w:type="dxa"/>
          </w:tcPr>
          <w:p w14:paraId="4C22DE2D" w14:textId="77777777" w:rsidR="00B71C94" w:rsidRPr="00B71C94" w:rsidRDefault="00B71C94" w:rsidP="00B71C94">
            <w:pPr>
              <w:spacing w:line="240" w:lineRule="auto"/>
              <w:rPr>
                <w:rFonts w:ascii="Calibri" w:hAnsi="Calibri" w:cs="Times New Roman"/>
                <w:i/>
                <w:sz w:val="22"/>
              </w:rPr>
            </w:pPr>
            <w:r w:rsidRPr="00B71C94">
              <w:rPr>
                <w:rFonts w:ascii="Calibri" w:hAnsi="Calibri" w:cs="Times New Roman"/>
                <w:i/>
                <w:noProof/>
                <w:sz w:val="22"/>
              </w:rPr>
              <w:t>DPH / 0 ha employment</w:t>
            </w:r>
          </w:p>
        </w:tc>
      </w:tr>
      <w:tr w:rsidR="00B71C94" w:rsidRPr="00B71C94" w14:paraId="76AB12AC" w14:textId="77777777" w:rsidTr="00904AEE">
        <w:tc>
          <w:tcPr>
            <w:tcW w:w="9016" w:type="dxa"/>
            <w:gridSpan w:val="2"/>
          </w:tcPr>
          <w:p w14:paraId="7EC3E33B" w14:textId="77777777" w:rsidR="00B71C94" w:rsidRPr="00B71C94" w:rsidRDefault="00B71C94" w:rsidP="00B71C94">
            <w:pPr>
              <w:spacing w:line="240" w:lineRule="auto"/>
              <w:rPr>
                <w:rFonts w:ascii="Calibri" w:hAnsi="Calibri" w:cs="Times New Roman"/>
                <w:i/>
                <w:noProof/>
                <w:sz w:val="22"/>
                <w:lang w:eastAsia="en-GB"/>
              </w:rPr>
            </w:pPr>
          </w:p>
          <w:p w14:paraId="3BF142A6" w14:textId="77777777" w:rsidR="00B71C94" w:rsidRPr="00B71C94" w:rsidRDefault="00B71C94" w:rsidP="00B71C94">
            <w:pPr>
              <w:spacing w:line="240" w:lineRule="auto"/>
              <w:rPr>
                <w:rFonts w:ascii="Calibri" w:hAnsi="Calibri" w:cs="Times New Roman"/>
                <w:i/>
                <w:noProof/>
                <w:sz w:val="22"/>
                <w:lang w:eastAsia="en-GB"/>
              </w:rPr>
            </w:pPr>
            <w:r w:rsidRPr="00B71C94">
              <w:rPr>
                <w:rFonts w:ascii="Calibri" w:hAnsi="Calibri" w:cs="Times New Roman"/>
                <w:i/>
                <w:noProof/>
                <w:sz w:val="22"/>
                <w:lang w:eastAsia="en-GB"/>
              </w:rPr>
              <w:t>Map</w:t>
            </w:r>
          </w:p>
          <w:p w14:paraId="3196A9A8" w14:textId="77777777" w:rsidR="00B71C94" w:rsidRPr="00B71C94" w:rsidRDefault="00B71C94" w:rsidP="00B71C94">
            <w:pPr>
              <w:spacing w:line="240" w:lineRule="auto"/>
              <w:rPr>
                <w:rFonts w:ascii="Calibri" w:hAnsi="Calibri" w:cs="Times New Roman"/>
                <w:i/>
                <w:noProof/>
                <w:sz w:val="22"/>
                <w:lang w:eastAsia="en-GB"/>
              </w:rPr>
            </w:pPr>
          </w:p>
          <w:p w14:paraId="7BF75337" w14:textId="77777777" w:rsidR="00B71C94" w:rsidRPr="00B71C94" w:rsidRDefault="00B71C94" w:rsidP="00B71C94">
            <w:pPr>
              <w:spacing w:line="240" w:lineRule="auto"/>
              <w:rPr>
                <w:rFonts w:ascii="Calibri" w:hAnsi="Calibri" w:cs="Times New Roman"/>
                <w:i/>
                <w:noProof/>
                <w:sz w:val="22"/>
                <w:lang w:eastAsia="en-GB"/>
              </w:rPr>
            </w:pPr>
          </w:p>
          <w:p w14:paraId="5A40663B" w14:textId="77777777" w:rsidR="00B71C94" w:rsidRPr="00B71C94" w:rsidRDefault="00B71C94" w:rsidP="00B71C94">
            <w:pPr>
              <w:spacing w:line="240" w:lineRule="auto"/>
              <w:rPr>
                <w:rFonts w:ascii="Calibri" w:hAnsi="Calibri" w:cs="Times New Roman"/>
                <w:i/>
                <w:noProof/>
                <w:sz w:val="22"/>
                <w:lang w:eastAsia="en-GB"/>
              </w:rPr>
            </w:pPr>
          </w:p>
          <w:p w14:paraId="739ECC02" w14:textId="77777777" w:rsidR="00B71C94" w:rsidRPr="00B71C94" w:rsidRDefault="00B71C94" w:rsidP="00B71C94">
            <w:pPr>
              <w:spacing w:line="240" w:lineRule="auto"/>
              <w:rPr>
                <w:rFonts w:ascii="Calibri" w:hAnsi="Calibri" w:cs="Times New Roman"/>
                <w:i/>
                <w:noProof/>
                <w:sz w:val="22"/>
                <w:lang w:eastAsia="en-GB"/>
              </w:rPr>
            </w:pPr>
          </w:p>
          <w:p w14:paraId="2E055C1E" w14:textId="77777777" w:rsidR="00B71C94" w:rsidRPr="00B71C94" w:rsidRDefault="00B71C94" w:rsidP="00B71C94">
            <w:pPr>
              <w:spacing w:line="240" w:lineRule="auto"/>
              <w:rPr>
                <w:rFonts w:ascii="Calibri" w:hAnsi="Calibri" w:cs="Times New Roman"/>
                <w:i/>
                <w:noProof/>
                <w:sz w:val="22"/>
                <w:lang w:eastAsia="en-GB"/>
              </w:rPr>
            </w:pPr>
          </w:p>
          <w:p w14:paraId="1EABBA40" w14:textId="77777777" w:rsidR="00B71C94" w:rsidRPr="00B71C94" w:rsidRDefault="00B71C94" w:rsidP="00B71C94">
            <w:pPr>
              <w:spacing w:line="240" w:lineRule="auto"/>
              <w:rPr>
                <w:rFonts w:ascii="Calibri" w:hAnsi="Calibri" w:cs="Times New Roman"/>
                <w:i/>
                <w:noProof/>
                <w:sz w:val="22"/>
                <w:lang w:eastAsia="en-GB"/>
              </w:rPr>
            </w:pPr>
          </w:p>
          <w:p w14:paraId="3D14EA70" w14:textId="77777777" w:rsidR="00B71C94" w:rsidRPr="00B71C94" w:rsidRDefault="00B71C94" w:rsidP="00B71C94">
            <w:pPr>
              <w:spacing w:line="240" w:lineRule="auto"/>
              <w:rPr>
                <w:rFonts w:ascii="Calibri" w:hAnsi="Calibri" w:cs="Times New Roman"/>
                <w:i/>
                <w:noProof/>
                <w:sz w:val="22"/>
                <w:lang w:eastAsia="en-GB"/>
              </w:rPr>
            </w:pPr>
          </w:p>
          <w:p w14:paraId="6672A593" w14:textId="77777777" w:rsidR="00B71C94" w:rsidRPr="00B71C94" w:rsidRDefault="00B71C94" w:rsidP="00B71C94">
            <w:pPr>
              <w:spacing w:line="240" w:lineRule="auto"/>
              <w:rPr>
                <w:rFonts w:ascii="Calibri" w:hAnsi="Calibri" w:cs="Times New Roman"/>
                <w:i/>
                <w:noProof/>
                <w:sz w:val="22"/>
                <w:lang w:eastAsia="en-GB"/>
              </w:rPr>
            </w:pPr>
          </w:p>
          <w:p w14:paraId="5746DEE7" w14:textId="77777777" w:rsidR="00B71C94" w:rsidRPr="00B71C94" w:rsidRDefault="00B71C94" w:rsidP="00B71C94">
            <w:pPr>
              <w:spacing w:line="240" w:lineRule="auto"/>
              <w:rPr>
                <w:rFonts w:ascii="Calibri" w:hAnsi="Calibri" w:cs="Times New Roman"/>
                <w:i/>
                <w:noProof/>
                <w:sz w:val="22"/>
                <w:lang w:eastAsia="en-GB"/>
              </w:rPr>
            </w:pPr>
          </w:p>
          <w:p w14:paraId="54E23057" w14:textId="77777777" w:rsidR="00B71C94" w:rsidRPr="00B71C94" w:rsidRDefault="00B71C94" w:rsidP="00B71C94">
            <w:pPr>
              <w:spacing w:line="240" w:lineRule="auto"/>
              <w:rPr>
                <w:rFonts w:ascii="Calibri" w:hAnsi="Calibri" w:cs="Times New Roman"/>
                <w:i/>
                <w:noProof/>
                <w:sz w:val="22"/>
                <w:lang w:eastAsia="en-GB"/>
              </w:rPr>
            </w:pPr>
          </w:p>
          <w:p w14:paraId="04654D14" w14:textId="77777777" w:rsidR="00B71C94" w:rsidRPr="00B71C94" w:rsidRDefault="00B71C94" w:rsidP="00B71C94">
            <w:pPr>
              <w:spacing w:line="240" w:lineRule="auto"/>
              <w:rPr>
                <w:rFonts w:ascii="Calibri" w:hAnsi="Calibri" w:cs="Times New Roman"/>
                <w:i/>
                <w:noProof/>
                <w:sz w:val="22"/>
                <w:lang w:eastAsia="en-GB"/>
              </w:rPr>
            </w:pPr>
          </w:p>
          <w:p w14:paraId="3D4AB914" w14:textId="77777777" w:rsidR="00B71C94" w:rsidRPr="00B71C94" w:rsidRDefault="00B71C94" w:rsidP="00B71C94">
            <w:pPr>
              <w:spacing w:line="240" w:lineRule="auto"/>
              <w:rPr>
                <w:rFonts w:ascii="Calibri" w:hAnsi="Calibri" w:cs="Times New Roman"/>
                <w:i/>
                <w:sz w:val="22"/>
              </w:rPr>
            </w:pPr>
          </w:p>
        </w:tc>
      </w:tr>
      <w:tr w:rsidR="00B71C94" w:rsidRPr="00B71C94" w14:paraId="30216B24" w14:textId="77777777" w:rsidTr="00904AEE">
        <w:tc>
          <w:tcPr>
            <w:tcW w:w="9016" w:type="dxa"/>
            <w:gridSpan w:val="2"/>
          </w:tcPr>
          <w:p w14:paraId="1BF84B98" w14:textId="77777777" w:rsidR="00B71C94" w:rsidRPr="00B71C94" w:rsidRDefault="00B71C94" w:rsidP="00B71C94">
            <w:pPr>
              <w:spacing w:line="240" w:lineRule="auto"/>
              <w:rPr>
                <w:rFonts w:ascii="Calibri" w:hAnsi="Calibri" w:cs="Times New Roman"/>
                <w:sz w:val="22"/>
              </w:rPr>
            </w:pPr>
          </w:p>
          <w:p w14:paraId="1F78CA7B"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SUITABILITY ASSESSMENT: STAGE A</w:t>
            </w:r>
          </w:p>
          <w:p w14:paraId="77FC965D" w14:textId="77777777" w:rsidR="00B71C94" w:rsidRPr="00B71C94" w:rsidRDefault="00B71C94" w:rsidP="00B71C94">
            <w:pPr>
              <w:spacing w:line="240" w:lineRule="auto"/>
              <w:rPr>
                <w:rFonts w:ascii="Calibri" w:hAnsi="Calibri" w:cs="Times New Roman"/>
                <w:b/>
                <w:sz w:val="22"/>
              </w:rPr>
            </w:pPr>
          </w:p>
        </w:tc>
      </w:tr>
      <w:tr w:rsidR="00B71C94" w:rsidRPr="00B71C94" w14:paraId="7099D98B" w14:textId="77777777" w:rsidTr="00904AEE">
        <w:tc>
          <w:tcPr>
            <w:tcW w:w="9016" w:type="dxa"/>
            <w:gridSpan w:val="2"/>
          </w:tcPr>
          <w:p w14:paraId="0D181993"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 xml:space="preserve">Strategic potential: </w:t>
            </w:r>
          </w:p>
        </w:tc>
      </w:tr>
      <w:tr w:rsidR="00B71C94" w:rsidRPr="00B71C94" w14:paraId="3F805D06" w14:textId="77777777" w:rsidTr="00904AEE">
        <w:tc>
          <w:tcPr>
            <w:tcW w:w="1980" w:type="dxa"/>
          </w:tcPr>
          <w:p w14:paraId="593B8BBA"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Housing?</w:t>
            </w:r>
          </w:p>
        </w:tc>
        <w:tc>
          <w:tcPr>
            <w:tcW w:w="7036" w:type="dxa"/>
          </w:tcPr>
          <w:p w14:paraId="5C6C3D81" w14:textId="77777777" w:rsidR="00B71C94" w:rsidRPr="00B71C94" w:rsidRDefault="00B71C94" w:rsidP="00B71C94">
            <w:pPr>
              <w:spacing w:line="240" w:lineRule="auto"/>
              <w:rPr>
                <w:rFonts w:ascii="Calibri" w:hAnsi="Calibri" w:cs="Times New Roman"/>
                <w:sz w:val="22"/>
              </w:rPr>
            </w:pPr>
          </w:p>
        </w:tc>
      </w:tr>
      <w:tr w:rsidR="00B71C94" w:rsidRPr="00B71C94" w14:paraId="7BB9D082" w14:textId="77777777" w:rsidTr="00904AEE">
        <w:tc>
          <w:tcPr>
            <w:tcW w:w="1980" w:type="dxa"/>
          </w:tcPr>
          <w:p w14:paraId="3A7D7CE2"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Employment?</w:t>
            </w:r>
          </w:p>
        </w:tc>
        <w:tc>
          <w:tcPr>
            <w:tcW w:w="7036" w:type="dxa"/>
          </w:tcPr>
          <w:p w14:paraId="7B2CAB70" w14:textId="77777777" w:rsidR="00B71C94" w:rsidRPr="00B71C94" w:rsidRDefault="00B71C94" w:rsidP="00B71C94">
            <w:pPr>
              <w:spacing w:line="240" w:lineRule="auto"/>
              <w:rPr>
                <w:rFonts w:ascii="Calibri" w:hAnsi="Calibri" w:cs="Times New Roman"/>
                <w:sz w:val="22"/>
              </w:rPr>
            </w:pPr>
          </w:p>
        </w:tc>
      </w:tr>
      <w:tr w:rsidR="00B71C94" w:rsidRPr="00B71C94" w14:paraId="382C6D8D" w14:textId="77777777" w:rsidTr="00904AEE">
        <w:trPr>
          <w:trHeight w:val="570"/>
        </w:trPr>
        <w:tc>
          <w:tcPr>
            <w:tcW w:w="1980" w:type="dxa"/>
          </w:tcPr>
          <w:p w14:paraId="22810FED"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Biodiversity- Within SAC/SSSI</w:t>
            </w:r>
          </w:p>
        </w:tc>
        <w:tc>
          <w:tcPr>
            <w:tcW w:w="7036" w:type="dxa"/>
          </w:tcPr>
          <w:p w14:paraId="4C4CC4F3" w14:textId="77777777" w:rsidR="00B71C94" w:rsidRPr="00B71C94" w:rsidRDefault="00B71C94" w:rsidP="00B71C94">
            <w:pPr>
              <w:spacing w:line="240" w:lineRule="auto"/>
              <w:rPr>
                <w:rFonts w:ascii="Calibri" w:hAnsi="Calibri" w:cs="Times New Roman"/>
                <w:sz w:val="22"/>
              </w:rPr>
            </w:pPr>
          </w:p>
        </w:tc>
      </w:tr>
      <w:tr w:rsidR="00B71C94" w:rsidRPr="00B71C94" w14:paraId="4494D799" w14:textId="77777777" w:rsidTr="00904AEE">
        <w:tc>
          <w:tcPr>
            <w:tcW w:w="1980" w:type="dxa"/>
          </w:tcPr>
          <w:p w14:paraId="1B739ACF"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Flood Zone 3b</w:t>
            </w:r>
          </w:p>
        </w:tc>
        <w:tc>
          <w:tcPr>
            <w:tcW w:w="7036" w:type="dxa"/>
          </w:tcPr>
          <w:p w14:paraId="3D06AFD8" w14:textId="77777777" w:rsidR="00B71C94" w:rsidRPr="00B71C94" w:rsidRDefault="00B71C94" w:rsidP="00B71C94">
            <w:pPr>
              <w:spacing w:line="240" w:lineRule="auto"/>
              <w:rPr>
                <w:rFonts w:ascii="Calibri" w:hAnsi="Calibri" w:cs="Times New Roman"/>
                <w:sz w:val="22"/>
              </w:rPr>
            </w:pPr>
          </w:p>
        </w:tc>
      </w:tr>
      <w:tr w:rsidR="00B71C94" w:rsidRPr="00B71C94" w14:paraId="4EEB4D65" w14:textId="77777777" w:rsidTr="00904AEE">
        <w:tc>
          <w:tcPr>
            <w:tcW w:w="1980" w:type="dxa"/>
          </w:tcPr>
          <w:p w14:paraId="1D1FD22A"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Other NPPF Showstoppers (not policy constraints)</w:t>
            </w:r>
          </w:p>
        </w:tc>
        <w:tc>
          <w:tcPr>
            <w:tcW w:w="7036" w:type="dxa"/>
          </w:tcPr>
          <w:p w14:paraId="68CE56F8" w14:textId="77777777" w:rsidR="00B71C94" w:rsidRPr="00B71C94" w:rsidRDefault="00B71C94" w:rsidP="00B71C94">
            <w:pPr>
              <w:spacing w:line="240" w:lineRule="auto"/>
              <w:rPr>
                <w:rFonts w:ascii="Calibri" w:hAnsi="Calibri" w:cs="Times New Roman"/>
                <w:sz w:val="22"/>
              </w:rPr>
            </w:pPr>
          </w:p>
        </w:tc>
      </w:tr>
      <w:tr w:rsidR="00B71C94" w:rsidRPr="00B71C94" w14:paraId="30E12C4B" w14:textId="77777777" w:rsidTr="00904AEE">
        <w:tc>
          <w:tcPr>
            <w:tcW w:w="1980" w:type="dxa"/>
          </w:tcPr>
          <w:p w14:paraId="34050BB6"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Conclusion</w:t>
            </w:r>
          </w:p>
        </w:tc>
        <w:tc>
          <w:tcPr>
            <w:tcW w:w="7036" w:type="dxa"/>
          </w:tcPr>
          <w:p w14:paraId="409F0DCC" w14:textId="77777777" w:rsidR="00B71C94" w:rsidRPr="00B71C94" w:rsidRDefault="00B71C94" w:rsidP="00B71C94">
            <w:pPr>
              <w:spacing w:line="240" w:lineRule="auto"/>
              <w:rPr>
                <w:rFonts w:ascii="Calibri" w:hAnsi="Calibri" w:cs="Times New Roman"/>
                <w:sz w:val="22"/>
              </w:rPr>
            </w:pPr>
          </w:p>
        </w:tc>
      </w:tr>
      <w:tr w:rsidR="00B71C94" w:rsidRPr="00B71C94" w14:paraId="4AF08038" w14:textId="77777777" w:rsidTr="00904AEE">
        <w:tc>
          <w:tcPr>
            <w:tcW w:w="1980" w:type="dxa"/>
          </w:tcPr>
          <w:p w14:paraId="496D0346" w14:textId="77777777" w:rsidR="00B71C94" w:rsidRPr="00B71C94" w:rsidRDefault="00B71C94" w:rsidP="00B71C94">
            <w:pPr>
              <w:spacing w:line="240" w:lineRule="auto"/>
              <w:rPr>
                <w:rFonts w:ascii="Calibri" w:hAnsi="Calibri" w:cs="Times New Roman"/>
                <w:b/>
                <w:sz w:val="22"/>
              </w:rPr>
            </w:pPr>
          </w:p>
        </w:tc>
        <w:tc>
          <w:tcPr>
            <w:tcW w:w="7036" w:type="dxa"/>
          </w:tcPr>
          <w:p w14:paraId="76237FF3" w14:textId="77777777" w:rsidR="00B71C94" w:rsidRPr="00B71C94" w:rsidRDefault="00B71C94" w:rsidP="00B71C94">
            <w:pPr>
              <w:spacing w:line="240" w:lineRule="auto"/>
              <w:rPr>
                <w:rFonts w:ascii="Calibri" w:hAnsi="Calibri" w:cs="Times New Roman"/>
                <w:sz w:val="22"/>
              </w:rPr>
            </w:pPr>
          </w:p>
        </w:tc>
      </w:tr>
    </w:tbl>
    <w:p w14:paraId="0773B066" w14:textId="77777777" w:rsidR="00B71C94" w:rsidRPr="00B71C94" w:rsidRDefault="00B71C94" w:rsidP="00B71C94">
      <w:pPr>
        <w:autoSpaceDE w:val="0"/>
        <w:autoSpaceDN w:val="0"/>
        <w:adjustRightInd w:val="0"/>
        <w:spacing w:after="0" w:line="240" w:lineRule="auto"/>
        <w:ind w:left="720"/>
        <w:contextualSpacing/>
        <w:rPr>
          <w:rFonts w:ascii="Arial" w:eastAsia="Calibri" w:hAnsi="Arial" w:cs="Arial"/>
          <w:sz w:val="22"/>
          <w:szCs w:val="22"/>
        </w:rPr>
      </w:pPr>
    </w:p>
    <w:tbl>
      <w:tblPr>
        <w:tblStyle w:val="TableGrid1"/>
        <w:tblW w:w="0" w:type="auto"/>
        <w:tblLook w:val="04A0" w:firstRow="1" w:lastRow="0" w:firstColumn="1" w:lastColumn="0" w:noHBand="0" w:noVBand="1"/>
      </w:tblPr>
      <w:tblGrid>
        <w:gridCol w:w="1980"/>
        <w:gridCol w:w="7036"/>
      </w:tblGrid>
      <w:tr w:rsidR="00B71C94" w:rsidRPr="00B71C94" w14:paraId="491F900B" w14:textId="77777777" w:rsidTr="00904AEE">
        <w:tc>
          <w:tcPr>
            <w:tcW w:w="9016" w:type="dxa"/>
            <w:gridSpan w:val="2"/>
          </w:tcPr>
          <w:p w14:paraId="7C42FA8A" w14:textId="77777777" w:rsidR="00B71C94" w:rsidRPr="00B71C94" w:rsidRDefault="00B71C94" w:rsidP="00B71C94">
            <w:pPr>
              <w:spacing w:line="240" w:lineRule="auto"/>
              <w:rPr>
                <w:rFonts w:ascii="Calibri" w:hAnsi="Calibri" w:cs="Times New Roman"/>
                <w:sz w:val="22"/>
              </w:rPr>
            </w:pPr>
          </w:p>
          <w:p w14:paraId="309276E5" w14:textId="77777777" w:rsidR="00B71C94" w:rsidRPr="00B71C94" w:rsidRDefault="00B71C94" w:rsidP="00B71C94">
            <w:pPr>
              <w:spacing w:line="240" w:lineRule="auto"/>
              <w:rPr>
                <w:rFonts w:ascii="Calibri" w:hAnsi="Calibri" w:cs="Times New Roman"/>
                <w:i/>
                <w:sz w:val="22"/>
              </w:rPr>
            </w:pPr>
            <w:r w:rsidRPr="00B71C94">
              <w:rPr>
                <w:rFonts w:ascii="Calibri" w:hAnsi="Calibri" w:cs="Times New Roman"/>
                <w:b/>
                <w:sz w:val="22"/>
              </w:rPr>
              <w:t xml:space="preserve">SUITABILITY ASSESSMENT: STAGE B </w:t>
            </w:r>
          </w:p>
          <w:p w14:paraId="7DE80548" w14:textId="77777777" w:rsidR="00B71C94" w:rsidRPr="00B71C94" w:rsidRDefault="00B71C94" w:rsidP="00B71C94">
            <w:pPr>
              <w:spacing w:line="240" w:lineRule="auto"/>
              <w:rPr>
                <w:rFonts w:ascii="Calibri" w:hAnsi="Calibri" w:cs="Times New Roman"/>
                <w:sz w:val="22"/>
              </w:rPr>
            </w:pPr>
          </w:p>
        </w:tc>
      </w:tr>
      <w:tr w:rsidR="00B71C94" w:rsidRPr="00B71C94" w14:paraId="5FFBD5C7" w14:textId="77777777" w:rsidTr="00904AEE">
        <w:trPr>
          <w:trHeight w:val="906"/>
        </w:trPr>
        <w:tc>
          <w:tcPr>
            <w:tcW w:w="1980" w:type="dxa"/>
          </w:tcPr>
          <w:p w14:paraId="5AE5DD9F"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Access</w:t>
            </w:r>
          </w:p>
        </w:tc>
        <w:tc>
          <w:tcPr>
            <w:tcW w:w="7036" w:type="dxa"/>
          </w:tcPr>
          <w:p w14:paraId="3F73FE9E" w14:textId="77777777" w:rsidR="00B71C94" w:rsidRPr="00B71C94" w:rsidRDefault="00B71C94" w:rsidP="00B71C94">
            <w:pPr>
              <w:spacing w:line="240" w:lineRule="auto"/>
              <w:rPr>
                <w:rFonts w:ascii="Calibri" w:hAnsi="Calibri" w:cs="Times New Roman"/>
                <w:sz w:val="22"/>
              </w:rPr>
            </w:pPr>
          </w:p>
        </w:tc>
      </w:tr>
      <w:tr w:rsidR="00B71C94" w:rsidRPr="00B71C94" w14:paraId="6BB29CE8" w14:textId="77777777" w:rsidTr="00904AEE">
        <w:tc>
          <w:tcPr>
            <w:tcW w:w="1980" w:type="dxa"/>
          </w:tcPr>
          <w:p w14:paraId="5B452016"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Flood risk, water quality and drainage</w:t>
            </w:r>
          </w:p>
        </w:tc>
        <w:tc>
          <w:tcPr>
            <w:tcW w:w="7036" w:type="dxa"/>
          </w:tcPr>
          <w:p w14:paraId="05ECE24F" w14:textId="77777777" w:rsidR="00B71C94" w:rsidRPr="00B71C94" w:rsidRDefault="00B71C94" w:rsidP="00B71C94">
            <w:pPr>
              <w:spacing w:line="240" w:lineRule="auto"/>
              <w:rPr>
                <w:rFonts w:ascii="Calibri" w:hAnsi="Calibri" w:cs="Times New Roman"/>
                <w:sz w:val="22"/>
              </w:rPr>
            </w:pPr>
          </w:p>
        </w:tc>
      </w:tr>
      <w:tr w:rsidR="00B71C94" w:rsidRPr="00B71C94" w14:paraId="2E1D14AF" w14:textId="77777777" w:rsidTr="00904AEE">
        <w:tc>
          <w:tcPr>
            <w:tcW w:w="1980" w:type="dxa"/>
          </w:tcPr>
          <w:p w14:paraId="3E3A5091"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Heritage and Archaeology</w:t>
            </w:r>
          </w:p>
        </w:tc>
        <w:tc>
          <w:tcPr>
            <w:tcW w:w="7036" w:type="dxa"/>
          </w:tcPr>
          <w:p w14:paraId="5E318DE3" w14:textId="77777777" w:rsidR="00B71C94" w:rsidRPr="00B71C94" w:rsidRDefault="00B71C94" w:rsidP="00B71C94">
            <w:pPr>
              <w:spacing w:line="240" w:lineRule="auto"/>
              <w:rPr>
                <w:rFonts w:ascii="Calibri" w:hAnsi="Calibri" w:cs="Times New Roman"/>
                <w:sz w:val="22"/>
              </w:rPr>
            </w:pPr>
          </w:p>
        </w:tc>
      </w:tr>
      <w:tr w:rsidR="00B71C94" w:rsidRPr="00B71C94" w14:paraId="2A70AA7E" w14:textId="77777777" w:rsidTr="00904AEE">
        <w:tc>
          <w:tcPr>
            <w:tcW w:w="1980" w:type="dxa"/>
          </w:tcPr>
          <w:p w14:paraId="2CAF4189"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Infrastructure</w:t>
            </w:r>
          </w:p>
        </w:tc>
        <w:tc>
          <w:tcPr>
            <w:tcW w:w="7036" w:type="dxa"/>
          </w:tcPr>
          <w:p w14:paraId="5A71F4F1" w14:textId="77777777" w:rsidR="00B71C94" w:rsidRPr="00B71C94" w:rsidRDefault="00B71C94" w:rsidP="00B71C94">
            <w:pPr>
              <w:spacing w:line="240" w:lineRule="auto"/>
              <w:rPr>
                <w:rFonts w:ascii="Calibri" w:hAnsi="Calibri" w:cs="Times New Roman"/>
                <w:noProof/>
                <w:sz w:val="22"/>
              </w:rPr>
            </w:pPr>
            <w:r w:rsidRPr="00B71C94">
              <w:rPr>
                <w:rFonts w:ascii="Calibri" w:hAnsi="Calibri" w:cs="Times New Roman"/>
                <w:noProof/>
                <w:sz w:val="22"/>
              </w:rPr>
              <w:t>Highways:</w:t>
            </w:r>
          </w:p>
          <w:p w14:paraId="60CEA906" w14:textId="77777777" w:rsidR="00B71C94" w:rsidRPr="00B71C94" w:rsidRDefault="00B71C94" w:rsidP="00B71C94">
            <w:pPr>
              <w:spacing w:line="240" w:lineRule="auto"/>
              <w:rPr>
                <w:rFonts w:ascii="Calibri" w:hAnsi="Calibri" w:cs="Times New Roman"/>
                <w:noProof/>
                <w:sz w:val="22"/>
              </w:rPr>
            </w:pPr>
            <w:r w:rsidRPr="00B71C94">
              <w:rPr>
                <w:rFonts w:ascii="Calibri" w:hAnsi="Calibri" w:cs="Times New Roman"/>
                <w:noProof/>
                <w:sz w:val="22"/>
              </w:rPr>
              <w:t>Education:</w:t>
            </w:r>
          </w:p>
          <w:p w14:paraId="73374576" w14:textId="77777777" w:rsidR="00B71C94" w:rsidRPr="00B71C94" w:rsidRDefault="00B71C94" w:rsidP="00B71C94">
            <w:pPr>
              <w:spacing w:line="240" w:lineRule="auto"/>
              <w:rPr>
                <w:rFonts w:ascii="Calibri" w:hAnsi="Calibri" w:cs="Times New Roman"/>
                <w:sz w:val="22"/>
              </w:rPr>
            </w:pPr>
          </w:p>
        </w:tc>
      </w:tr>
      <w:tr w:rsidR="00B71C94" w:rsidRPr="00B71C94" w14:paraId="1FB13B73" w14:textId="77777777" w:rsidTr="00904AEE">
        <w:tc>
          <w:tcPr>
            <w:tcW w:w="1980" w:type="dxa"/>
          </w:tcPr>
          <w:p w14:paraId="3F496988"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Landscape</w:t>
            </w:r>
          </w:p>
        </w:tc>
        <w:tc>
          <w:tcPr>
            <w:tcW w:w="7036" w:type="dxa"/>
          </w:tcPr>
          <w:p w14:paraId="7E62645D" w14:textId="77777777" w:rsidR="00B71C94" w:rsidRPr="00B71C94" w:rsidRDefault="00B71C94" w:rsidP="00B71C94">
            <w:pPr>
              <w:spacing w:line="240" w:lineRule="auto"/>
              <w:rPr>
                <w:rFonts w:ascii="Calibri" w:hAnsi="Calibri" w:cs="Times New Roman"/>
                <w:sz w:val="22"/>
              </w:rPr>
            </w:pPr>
            <w:r w:rsidRPr="00B71C94">
              <w:rPr>
                <w:rFonts w:ascii="Calibri" w:hAnsi="Calibri" w:cs="Times New Roman"/>
                <w:noProof/>
                <w:sz w:val="22"/>
              </w:rPr>
              <w:t xml:space="preserve">Landscape Sensitivity Level </w:t>
            </w:r>
          </w:p>
        </w:tc>
      </w:tr>
      <w:tr w:rsidR="00B71C94" w:rsidRPr="00B71C94" w14:paraId="4D92EA51" w14:textId="77777777" w:rsidTr="00904AEE">
        <w:tc>
          <w:tcPr>
            <w:tcW w:w="1980" w:type="dxa"/>
          </w:tcPr>
          <w:p w14:paraId="6D426166"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Ecology</w:t>
            </w:r>
          </w:p>
        </w:tc>
        <w:tc>
          <w:tcPr>
            <w:tcW w:w="7036" w:type="dxa"/>
          </w:tcPr>
          <w:p w14:paraId="269F6FDB" w14:textId="77777777" w:rsidR="00B71C94" w:rsidRPr="00B71C94" w:rsidRDefault="00B71C94" w:rsidP="00B71C94">
            <w:pPr>
              <w:spacing w:line="240" w:lineRule="auto"/>
              <w:rPr>
                <w:rFonts w:ascii="Calibri" w:hAnsi="Calibri" w:cs="Times New Roman"/>
                <w:noProof/>
                <w:sz w:val="22"/>
              </w:rPr>
            </w:pPr>
          </w:p>
        </w:tc>
      </w:tr>
      <w:tr w:rsidR="00B71C94" w:rsidRPr="00B71C94" w14:paraId="32F9ED41" w14:textId="77777777" w:rsidTr="00904AEE">
        <w:tc>
          <w:tcPr>
            <w:tcW w:w="1980" w:type="dxa"/>
          </w:tcPr>
          <w:p w14:paraId="18340363"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Safety related constraints</w:t>
            </w:r>
          </w:p>
        </w:tc>
        <w:tc>
          <w:tcPr>
            <w:tcW w:w="7036" w:type="dxa"/>
          </w:tcPr>
          <w:p w14:paraId="1E72BE44" w14:textId="77777777" w:rsidR="00B71C94" w:rsidRPr="00B71C94" w:rsidRDefault="00B71C94" w:rsidP="00B71C94">
            <w:pPr>
              <w:spacing w:line="240" w:lineRule="auto"/>
              <w:rPr>
                <w:rFonts w:ascii="Calibri" w:hAnsi="Calibri" w:cs="Times New Roman"/>
                <w:sz w:val="22"/>
              </w:rPr>
            </w:pPr>
            <w:r w:rsidRPr="00B71C94">
              <w:rPr>
                <w:rFonts w:ascii="Calibri" w:hAnsi="Calibri" w:cs="Times New Roman"/>
                <w:noProof/>
                <w:sz w:val="22"/>
              </w:rPr>
              <w:t>None.</w:t>
            </w:r>
          </w:p>
        </w:tc>
      </w:tr>
      <w:tr w:rsidR="00B71C94" w:rsidRPr="00B71C94" w14:paraId="472596D0" w14:textId="77777777" w:rsidTr="00904AEE">
        <w:trPr>
          <w:trHeight w:val="984"/>
        </w:trPr>
        <w:tc>
          <w:tcPr>
            <w:tcW w:w="1980" w:type="dxa"/>
          </w:tcPr>
          <w:p w14:paraId="390F9315" w14:textId="5277AD57" w:rsidR="00B71C94" w:rsidRPr="00B71C94" w:rsidRDefault="0066462A" w:rsidP="00B71C94">
            <w:pPr>
              <w:spacing w:line="240" w:lineRule="auto"/>
              <w:rPr>
                <w:rFonts w:ascii="Calibri" w:hAnsi="Calibri" w:cs="Times New Roman"/>
                <w:b/>
                <w:sz w:val="22"/>
              </w:rPr>
            </w:pPr>
            <w:r w:rsidRPr="00B71C94">
              <w:rPr>
                <w:rFonts w:ascii="Calibri" w:hAnsi="Calibri" w:cs="Times New Roman"/>
                <w:b/>
                <w:sz w:val="22"/>
              </w:rPr>
              <w:t>Soils (</w:t>
            </w:r>
            <w:r w:rsidR="00B71C94" w:rsidRPr="00B71C94">
              <w:rPr>
                <w:rFonts w:ascii="Calibri" w:hAnsi="Calibri" w:cs="Times New Roman"/>
                <w:b/>
                <w:noProof/>
                <w:sz w:val="22"/>
              </w:rPr>
              <w:t>Agricultural Land classification)</w:t>
            </w:r>
            <w:r w:rsidR="00B71C94" w:rsidRPr="00B71C94">
              <w:rPr>
                <w:rFonts w:ascii="Calibri" w:hAnsi="Calibri" w:cs="Times New Roman"/>
                <w:b/>
                <w:sz w:val="22"/>
              </w:rPr>
              <w:t xml:space="preserve"> and contamination</w:t>
            </w:r>
          </w:p>
        </w:tc>
        <w:tc>
          <w:tcPr>
            <w:tcW w:w="7036" w:type="dxa"/>
          </w:tcPr>
          <w:p w14:paraId="258A5683" w14:textId="77777777" w:rsidR="00B71C94" w:rsidRPr="00B71C94" w:rsidRDefault="00B71C94" w:rsidP="00B71C94">
            <w:pPr>
              <w:spacing w:line="240" w:lineRule="auto"/>
              <w:rPr>
                <w:rFonts w:ascii="Calibri" w:hAnsi="Calibri" w:cs="Times New Roman"/>
                <w:sz w:val="22"/>
              </w:rPr>
            </w:pPr>
            <w:r w:rsidRPr="00B71C94">
              <w:rPr>
                <w:rFonts w:ascii="Calibri" w:hAnsi="Calibri" w:cs="Times New Roman"/>
                <w:noProof/>
                <w:sz w:val="22"/>
              </w:rPr>
              <w:t>.</w:t>
            </w:r>
          </w:p>
        </w:tc>
      </w:tr>
      <w:tr w:rsidR="00B71C94" w:rsidRPr="00B71C94" w14:paraId="3CB90D12" w14:textId="77777777" w:rsidTr="00904AEE">
        <w:tc>
          <w:tcPr>
            <w:tcW w:w="1980" w:type="dxa"/>
          </w:tcPr>
          <w:p w14:paraId="08177E63"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 xml:space="preserve">Local Plan </w:t>
            </w:r>
          </w:p>
        </w:tc>
        <w:tc>
          <w:tcPr>
            <w:tcW w:w="7036" w:type="dxa"/>
          </w:tcPr>
          <w:p w14:paraId="085840C2" w14:textId="77777777" w:rsidR="00B71C94" w:rsidRPr="00B71C94" w:rsidRDefault="00B71C94" w:rsidP="00B71C94">
            <w:pPr>
              <w:spacing w:line="240" w:lineRule="auto"/>
              <w:rPr>
                <w:rFonts w:ascii="Calibri" w:hAnsi="Calibri" w:cs="Times New Roman"/>
                <w:noProof/>
                <w:sz w:val="22"/>
              </w:rPr>
            </w:pPr>
          </w:p>
        </w:tc>
      </w:tr>
      <w:tr w:rsidR="00B71C94" w:rsidRPr="00B71C94" w14:paraId="23DEBCA1" w14:textId="77777777" w:rsidTr="00904AEE">
        <w:tc>
          <w:tcPr>
            <w:tcW w:w="1980" w:type="dxa"/>
          </w:tcPr>
          <w:p w14:paraId="22374707"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 xml:space="preserve">Neighbourhood Plan </w:t>
            </w:r>
          </w:p>
        </w:tc>
        <w:tc>
          <w:tcPr>
            <w:tcW w:w="7036" w:type="dxa"/>
          </w:tcPr>
          <w:p w14:paraId="3DACA911" w14:textId="77777777" w:rsidR="00B71C94" w:rsidRPr="00B71C94" w:rsidRDefault="00B71C94" w:rsidP="00B71C94">
            <w:pPr>
              <w:spacing w:line="240" w:lineRule="auto"/>
              <w:rPr>
                <w:rFonts w:ascii="Calibri" w:hAnsi="Calibri" w:cs="Times New Roman"/>
                <w:noProof/>
                <w:sz w:val="22"/>
              </w:rPr>
            </w:pPr>
          </w:p>
        </w:tc>
      </w:tr>
      <w:tr w:rsidR="00B71C94" w:rsidRPr="00B71C94" w14:paraId="23322BC0" w14:textId="77777777" w:rsidTr="00904AEE">
        <w:tc>
          <w:tcPr>
            <w:tcW w:w="1980" w:type="dxa"/>
          </w:tcPr>
          <w:p w14:paraId="32F742F5"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Development progress (where relevant)</w:t>
            </w:r>
          </w:p>
        </w:tc>
        <w:tc>
          <w:tcPr>
            <w:tcW w:w="7036" w:type="dxa"/>
          </w:tcPr>
          <w:p w14:paraId="52D07C02" w14:textId="77777777" w:rsidR="00B71C94" w:rsidRPr="00B71C94" w:rsidRDefault="00B71C94" w:rsidP="00B71C94">
            <w:pPr>
              <w:spacing w:line="240" w:lineRule="auto"/>
              <w:rPr>
                <w:rFonts w:ascii="Calibri" w:hAnsi="Calibri" w:cs="Times New Roman"/>
                <w:noProof/>
                <w:sz w:val="22"/>
              </w:rPr>
            </w:pPr>
          </w:p>
        </w:tc>
      </w:tr>
      <w:tr w:rsidR="00B71C94" w:rsidRPr="00B71C94" w14:paraId="0B0BFDFC" w14:textId="77777777" w:rsidTr="00904AEE">
        <w:tc>
          <w:tcPr>
            <w:tcW w:w="1980" w:type="dxa"/>
          </w:tcPr>
          <w:p w14:paraId="56C5221D"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Other</w:t>
            </w:r>
          </w:p>
        </w:tc>
        <w:tc>
          <w:tcPr>
            <w:tcW w:w="7036" w:type="dxa"/>
          </w:tcPr>
          <w:p w14:paraId="63BAA9AB" w14:textId="77777777" w:rsidR="00B71C94" w:rsidRPr="00B71C94" w:rsidRDefault="00B71C94" w:rsidP="00B71C94">
            <w:pPr>
              <w:spacing w:line="240" w:lineRule="auto"/>
              <w:rPr>
                <w:rFonts w:ascii="Calibri" w:hAnsi="Calibri" w:cs="Times New Roman"/>
                <w:sz w:val="22"/>
              </w:rPr>
            </w:pPr>
          </w:p>
        </w:tc>
      </w:tr>
      <w:tr w:rsidR="00B71C94" w:rsidRPr="00B71C94" w14:paraId="75C47A59" w14:textId="77777777" w:rsidTr="00904AEE">
        <w:tc>
          <w:tcPr>
            <w:tcW w:w="1980" w:type="dxa"/>
          </w:tcPr>
          <w:p w14:paraId="661B5F7F" w14:textId="77777777" w:rsidR="00B71C94" w:rsidRPr="00B71C94" w:rsidRDefault="00B71C94" w:rsidP="00B71C94">
            <w:pPr>
              <w:spacing w:line="240" w:lineRule="auto"/>
              <w:rPr>
                <w:rFonts w:ascii="Calibri" w:hAnsi="Calibri" w:cs="Times New Roman"/>
                <w:b/>
                <w:sz w:val="22"/>
              </w:rPr>
            </w:pPr>
            <w:r w:rsidRPr="00B71C94">
              <w:rPr>
                <w:rFonts w:ascii="Calibri" w:hAnsi="Calibri" w:cs="Times New Roman"/>
                <w:b/>
                <w:sz w:val="22"/>
              </w:rPr>
              <w:t>Site potential</w:t>
            </w:r>
          </w:p>
        </w:tc>
        <w:tc>
          <w:tcPr>
            <w:tcW w:w="7036" w:type="dxa"/>
          </w:tcPr>
          <w:p w14:paraId="432B78C2" w14:textId="77777777" w:rsidR="00B71C94" w:rsidRPr="00B71C94" w:rsidRDefault="00B71C94" w:rsidP="00B71C94">
            <w:pPr>
              <w:spacing w:line="240" w:lineRule="auto"/>
              <w:rPr>
                <w:rFonts w:ascii="Calibri" w:hAnsi="Calibri" w:cs="Times New Roman"/>
                <w:sz w:val="22"/>
              </w:rPr>
            </w:pPr>
          </w:p>
        </w:tc>
      </w:tr>
    </w:tbl>
    <w:p w14:paraId="0D969A4D" w14:textId="77777777" w:rsidR="00B71C94" w:rsidRPr="00B71C94" w:rsidRDefault="00B71C94" w:rsidP="00B71C94">
      <w:pPr>
        <w:autoSpaceDE w:val="0"/>
        <w:autoSpaceDN w:val="0"/>
        <w:adjustRightInd w:val="0"/>
        <w:spacing w:after="0" w:line="240" w:lineRule="auto"/>
        <w:ind w:left="720"/>
        <w:contextualSpacing/>
        <w:rPr>
          <w:rFonts w:ascii="Arial" w:eastAsia="Calibri" w:hAnsi="Arial" w:cs="Arial"/>
          <w:sz w:val="22"/>
          <w:szCs w:val="22"/>
        </w:rPr>
      </w:pPr>
    </w:p>
    <w:tbl>
      <w:tblPr>
        <w:tblStyle w:val="TableGrid1"/>
        <w:tblW w:w="0" w:type="auto"/>
        <w:tblLook w:val="04A0" w:firstRow="1" w:lastRow="0" w:firstColumn="1" w:lastColumn="0" w:noHBand="0" w:noVBand="1"/>
      </w:tblPr>
      <w:tblGrid>
        <w:gridCol w:w="2263"/>
        <w:gridCol w:w="6753"/>
      </w:tblGrid>
      <w:tr w:rsidR="00B71C94" w:rsidRPr="00B71C94" w14:paraId="3673C6FC" w14:textId="77777777" w:rsidTr="00904AEE">
        <w:tc>
          <w:tcPr>
            <w:tcW w:w="9016" w:type="dxa"/>
            <w:gridSpan w:val="2"/>
          </w:tcPr>
          <w:p w14:paraId="65AA3A16" w14:textId="77777777" w:rsidR="00B71C94" w:rsidRPr="00B71C94" w:rsidRDefault="00B71C94" w:rsidP="00B71C94">
            <w:pPr>
              <w:spacing w:line="240" w:lineRule="auto"/>
              <w:rPr>
                <w:rFonts w:ascii="Calibri" w:hAnsi="Calibri" w:cs="Times New Roman"/>
                <w:sz w:val="22"/>
              </w:rPr>
            </w:pPr>
          </w:p>
          <w:p w14:paraId="4E834E16" w14:textId="77777777" w:rsidR="00B71C94" w:rsidRPr="00B71C94" w:rsidRDefault="00B71C94" w:rsidP="00B71C94">
            <w:pPr>
              <w:spacing w:line="240" w:lineRule="auto"/>
              <w:rPr>
                <w:rFonts w:ascii="Calibri" w:hAnsi="Calibri" w:cs="Times New Roman"/>
                <w:i/>
                <w:sz w:val="22"/>
              </w:rPr>
            </w:pPr>
            <w:r w:rsidRPr="00B71C94">
              <w:rPr>
                <w:rFonts w:ascii="Calibri" w:hAnsi="Calibri" w:cs="Times New Roman"/>
                <w:b/>
                <w:sz w:val="22"/>
              </w:rPr>
              <w:t xml:space="preserve">AVAILABILITY ASSESSMENT </w:t>
            </w:r>
          </w:p>
          <w:p w14:paraId="1E5771A5" w14:textId="77777777" w:rsidR="00B71C94" w:rsidRPr="00B71C94" w:rsidRDefault="00B71C94" w:rsidP="00B71C94">
            <w:pPr>
              <w:spacing w:line="240" w:lineRule="auto"/>
              <w:rPr>
                <w:rFonts w:ascii="Calibri" w:hAnsi="Calibri" w:cs="Times New Roman"/>
                <w:sz w:val="22"/>
              </w:rPr>
            </w:pPr>
          </w:p>
          <w:p w14:paraId="1BAF7DA4" w14:textId="77777777" w:rsidR="00B71C94" w:rsidRPr="00B71C94" w:rsidRDefault="00B71C94" w:rsidP="00B71C94">
            <w:pPr>
              <w:spacing w:line="240" w:lineRule="auto"/>
              <w:rPr>
                <w:rFonts w:ascii="Calibri" w:hAnsi="Calibri" w:cs="Times New Roman"/>
                <w:sz w:val="22"/>
              </w:rPr>
            </w:pPr>
            <w:r w:rsidRPr="00B71C94">
              <w:rPr>
                <w:rFonts w:ascii="Calibri" w:hAnsi="Calibri" w:cs="Times New Roman"/>
                <w:sz w:val="22"/>
              </w:rPr>
              <w:t>The site promoter(s) has confirmed that the site will be available for development within:</w:t>
            </w:r>
          </w:p>
        </w:tc>
      </w:tr>
      <w:tr w:rsidR="00B71C94" w:rsidRPr="00B71C94" w14:paraId="7CBC79EB" w14:textId="77777777" w:rsidTr="00904AEE">
        <w:tc>
          <w:tcPr>
            <w:tcW w:w="2263" w:type="dxa"/>
          </w:tcPr>
          <w:p w14:paraId="12A57330" w14:textId="77777777" w:rsidR="00B71C94" w:rsidRPr="00B71C94" w:rsidRDefault="00B71C94" w:rsidP="00B71C94">
            <w:pPr>
              <w:spacing w:line="240" w:lineRule="auto"/>
              <w:rPr>
                <w:rFonts w:ascii="Calibri" w:hAnsi="Calibri" w:cs="Times New Roman"/>
                <w:sz w:val="22"/>
              </w:rPr>
            </w:pPr>
            <w:r w:rsidRPr="00B71C94">
              <w:rPr>
                <w:rFonts w:ascii="Calibri" w:hAnsi="Calibri" w:cs="Times New Roman"/>
                <w:sz w:val="22"/>
              </w:rPr>
              <w:t>The next 5 years</w:t>
            </w:r>
          </w:p>
        </w:tc>
        <w:tc>
          <w:tcPr>
            <w:tcW w:w="6753" w:type="dxa"/>
          </w:tcPr>
          <w:p w14:paraId="7040B068" w14:textId="77777777" w:rsidR="00B71C94" w:rsidRPr="00B71C94" w:rsidRDefault="00B71C94" w:rsidP="00B71C94">
            <w:pPr>
              <w:spacing w:line="240" w:lineRule="auto"/>
              <w:rPr>
                <w:rFonts w:ascii="Calibri" w:hAnsi="Calibri" w:cs="Times New Roman"/>
                <w:sz w:val="22"/>
              </w:rPr>
            </w:pPr>
            <w:r w:rsidRPr="00B71C94">
              <w:rPr>
                <w:rFonts w:ascii="Calibri" w:hAnsi="Calibri" w:cs="Times New Roman"/>
                <w:noProof/>
                <w:sz w:val="22"/>
              </w:rPr>
              <w:t>Yes</w:t>
            </w:r>
          </w:p>
        </w:tc>
      </w:tr>
      <w:tr w:rsidR="00B71C94" w:rsidRPr="00B71C94" w14:paraId="16CDFC88" w14:textId="77777777" w:rsidTr="00904AEE">
        <w:tc>
          <w:tcPr>
            <w:tcW w:w="2263" w:type="dxa"/>
          </w:tcPr>
          <w:p w14:paraId="659E1B30" w14:textId="77777777" w:rsidR="00B71C94" w:rsidRPr="00B71C94" w:rsidRDefault="00B71C94" w:rsidP="00B71C94">
            <w:pPr>
              <w:spacing w:line="240" w:lineRule="auto"/>
              <w:rPr>
                <w:rFonts w:ascii="Calibri" w:hAnsi="Calibri" w:cs="Times New Roman"/>
                <w:sz w:val="22"/>
              </w:rPr>
            </w:pPr>
            <w:r w:rsidRPr="00B71C94">
              <w:rPr>
                <w:rFonts w:ascii="Calibri" w:hAnsi="Calibri" w:cs="Times New Roman"/>
                <w:sz w:val="22"/>
              </w:rPr>
              <w:t>A 6-10 year period</w:t>
            </w:r>
          </w:p>
        </w:tc>
        <w:tc>
          <w:tcPr>
            <w:tcW w:w="6753" w:type="dxa"/>
          </w:tcPr>
          <w:p w14:paraId="7D85F326" w14:textId="77777777" w:rsidR="00B71C94" w:rsidRPr="00B71C94" w:rsidRDefault="00B71C94" w:rsidP="00B71C94">
            <w:pPr>
              <w:spacing w:line="240" w:lineRule="auto"/>
              <w:rPr>
                <w:rFonts w:ascii="Calibri" w:hAnsi="Calibri" w:cs="Times New Roman"/>
                <w:sz w:val="22"/>
              </w:rPr>
            </w:pPr>
          </w:p>
        </w:tc>
      </w:tr>
      <w:tr w:rsidR="00B71C94" w:rsidRPr="00B71C94" w14:paraId="7EF23619" w14:textId="77777777" w:rsidTr="00904AEE">
        <w:tc>
          <w:tcPr>
            <w:tcW w:w="2263" w:type="dxa"/>
          </w:tcPr>
          <w:p w14:paraId="775DAD78" w14:textId="77777777" w:rsidR="00B71C94" w:rsidRPr="00B71C94" w:rsidRDefault="00B71C94" w:rsidP="00B71C94">
            <w:pPr>
              <w:spacing w:line="240" w:lineRule="auto"/>
              <w:rPr>
                <w:rFonts w:ascii="Calibri" w:hAnsi="Calibri" w:cs="Times New Roman"/>
                <w:sz w:val="22"/>
              </w:rPr>
            </w:pPr>
            <w:r w:rsidRPr="00B71C94">
              <w:rPr>
                <w:rFonts w:ascii="Calibri" w:hAnsi="Calibri" w:cs="Times New Roman"/>
                <w:sz w:val="22"/>
              </w:rPr>
              <w:t>An 11-15 year period</w:t>
            </w:r>
          </w:p>
        </w:tc>
        <w:tc>
          <w:tcPr>
            <w:tcW w:w="6753" w:type="dxa"/>
          </w:tcPr>
          <w:p w14:paraId="5FD4BA0C" w14:textId="77777777" w:rsidR="00B71C94" w:rsidRPr="00B71C94" w:rsidRDefault="00B71C94" w:rsidP="00B71C94">
            <w:pPr>
              <w:spacing w:line="240" w:lineRule="auto"/>
              <w:rPr>
                <w:rFonts w:ascii="Calibri" w:hAnsi="Calibri" w:cs="Times New Roman"/>
                <w:sz w:val="22"/>
              </w:rPr>
            </w:pPr>
          </w:p>
        </w:tc>
      </w:tr>
      <w:tr w:rsidR="00B71C94" w:rsidRPr="00B71C94" w14:paraId="668626A8" w14:textId="77777777" w:rsidTr="00904AEE">
        <w:tc>
          <w:tcPr>
            <w:tcW w:w="2263" w:type="dxa"/>
          </w:tcPr>
          <w:p w14:paraId="2D1251D2" w14:textId="77777777" w:rsidR="00B71C94" w:rsidRPr="00B71C94" w:rsidRDefault="00B71C94" w:rsidP="00B71C94">
            <w:pPr>
              <w:spacing w:line="240" w:lineRule="auto"/>
              <w:rPr>
                <w:rFonts w:ascii="Calibri" w:hAnsi="Calibri" w:cs="Times New Roman"/>
                <w:sz w:val="22"/>
              </w:rPr>
            </w:pPr>
            <w:r w:rsidRPr="00B71C94">
              <w:rPr>
                <w:rFonts w:ascii="Calibri" w:hAnsi="Calibri" w:cs="Times New Roman"/>
                <w:sz w:val="22"/>
              </w:rPr>
              <w:t>Later than 15 years</w:t>
            </w:r>
          </w:p>
        </w:tc>
        <w:tc>
          <w:tcPr>
            <w:tcW w:w="6753" w:type="dxa"/>
          </w:tcPr>
          <w:p w14:paraId="32D9BF21" w14:textId="77777777" w:rsidR="00B71C94" w:rsidRPr="00B71C94" w:rsidRDefault="00B71C94" w:rsidP="00B71C94">
            <w:pPr>
              <w:spacing w:line="240" w:lineRule="auto"/>
              <w:rPr>
                <w:rFonts w:ascii="Calibri" w:hAnsi="Calibri" w:cs="Times New Roman"/>
                <w:sz w:val="22"/>
              </w:rPr>
            </w:pPr>
          </w:p>
        </w:tc>
      </w:tr>
    </w:tbl>
    <w:p w14:paraId="4385FAC9" w14:textId="77777777" w:rsidR="00B71C94" w:rsidRPr="00B71C94" w:rsidRDefault="00B71C94" w:rsidP="00B71C94">
      <w:pPr>
        <w:autoSpaceDE w:val="0"/>
        <w:autoSpaceDN w:val="0"/>
        <w:adjustRightInd w:val="0"/>
        <w:spacing w:after="0" w:line="240" w:lineRule="auto"/>
        <w:ind w:left="720"/>
        <w:contextualSpacing/>
        <w:rPr>
          <w:rFonts w:ascii="Arial" w:eastAsia="Calibri" w:hAnsi="Arial" w:cs="Arial"/>
          <w:sz w:val="22"/>
          <w:szCs w:val="22"/>
        </w:rPr>
      </w:pPr>
    </w:p>
    <w:p w14:paraId="05F2BF40" w14:textId="1CF8055D" w:rsidR="00A20EBF" w:rsidRDefault="00A20EBF">
      <w:pPr>
        <w:spacing w:line="264" w:lineRule="auto"/>
        <w:rPr>
          <w:rFonts w:ascii="Arial" w:eastAsia="Calibri" w:hAnsi="Arial" w:cs="Arial"/>
          <w:sz w:val="22"/>
          <w:szCs w:val="22"/>
        </w:rPr>
      </w:pPr>
      <w:r>
        <w:rPr>
          <w:rFonts w:ascii="Arial" w:eastAsia="Calibri" w:hAnsi="Arial" w:cs="Arial"/>
          <w:sz w:val="22"/>
          <w:szCs w:val="22"/>
        </w:rPr>
        <w:br w:type="page"/>
      </w:r>
    </w:p>
    <w:p w14:paraId="71F280C5" w14:textId="7F430A69" w:rsidR="00B71C94" w:rsidRDefault="00B71C94" w:rsidP="00B71C94">
      <w:pPr>
        <w:autoSpaceDE w:val="0"/>
        <w:autoSpaceDN w:val="0"/>
        <w:adjustRightInd w:val="0"/>
        <w:spacing w:after="0" w:line="240" w:lineRule="auto"/>
        <w:rPr>
          <w:rFonts w:ascii="Arial" w:eastAsia="Calibri" w:hAnsi="Arial" w:cs="Arial"/>
          <w:sz w:val="22"/>
          <w:szCs w:val="22"/>
        </w:rPr>
      </w:pPr>
    </w:p>
    <w:p w14:paraId="18C20AB8" w14:textId="057ECCFA" w:rsidR="00A20EBF" w:rsidRPr="00A20EBF" w:rsidRDefault="00684A4C" w:rsidP="00A20EBF">
      <w:pPr>
        <w:rPr>
          <w:rFonts w:cstheme="minorHAnsi"/>
          <w:b/>
          <w:bCs/>
          <w:sz w:val="28"/>
          <w:szCs w:val="22"/>
          <w:u w:val="single"/>
        </w:rPr>
      </w:pPr>
      <w:r>
        <w:rPr>
          <w:rFonts w:cstheme="minorHAnsi"/>
          <w:b/>
          <w:bCs/>
          <w:sz w:val="28"/>
          <w:szCs w:val="22"/>
          <w:u w:val="single"/>
        </w:rPr>
        <w:t>Appendix 2</w:t>
      </w:r>
      <w:r w:rsidR="00574C00">
        <w:rPr>
          <w:rFonts w:cstheme="minorHAnsi"/>
          <w:b/>
          <w:bCs/>
          <w:sz w:val="28"/>
          <w:szCs w:val="22"/>
          <w:u w:val="single"/>
        </w:rPr>
        <w:t>.</w:t>
      </w:r>
      <w:r>
        <w:rPr>
          <w:rFonts w:cstheme="minorHAnsi"/>
          <w:b/>
          <w:bCs/>
          <w:sz w:val="28"/>
          <w:szCs w:val="22"/>
          <w:u w:val="single"/>
        </w:rPr>
        <w:t xml:space="preserve"> </w:t>
      </w:r>
      <w:r w:rsidR="00A20EBF" w:rsidRPr="00A20EBF">
        <w:rPr>
          <w:rFonts w:cstheme="minorHAnsi"/>
          <w:b/>
          <w:bCs/>
          <w:sz w:val="28"/>
          <w:szCs w:val="22"/>
          <w:u w:val="single"/>
        </w:rPr>
        <w:t xml:space="preserve">HELAA Panel </w:t>
      </w:r>
      <w:r w:rsidR="00F864AE" w:rsidRPr="00F864AE">
        <w:rPr>
          <w:rFonts w:cstheme="minorHAnsi"/>
          <w:b/>
          <w:bCs/>
          <w:sz w:val="28"/>
          <w:szCs w:val="22"/>
          <w:u w:val="single"/>
        </w:rPr>
        <w:t>Summary of findings</w:t>
      </w:r>
    </w:p>
    <w:p w14:paraId="1D052A81" w14:textId="722A2244" w:rsidR="00A20EBF" w:rsidRPr="00A20EBF" w:rsidRDefault="00A20EBF" w:rsidP="00A20EBF">
      <w:pPr>
        <w:spacing w:after="240"/>
        <w:rPr>
          <w:rFonts w:cstheme="minorHAnsi"/>
          <w:szCs w:val="24"/>
        </w:rPr>
      </w:pPr>
      <w:r w:rsidRPr="00A20EBF">
        <w:rPr>
          <w:rFonts w:cstheme="minorHAnsi"/>
          <w:szCs w:val="24"/>
        </w:rPr>
        <w:t xml:space="preserve">A total of 18 participants across 3 days </w:t>
      </w:r>
      <w:r w:rsidR="0071003F">
        <w:rPr>
          <w:rFonts w:cstheme="minorHAnsi"/>
          <w:szCs w:val="24"/>
        </w:rPr>
        <w:t xml:space="preserve">in July 2021 </w:t>
      </w:r>
      <w:r w:rsidRPr="00A20EBF">
        <w:rPr>
          <w:rFonts w:cstheme="minorHAnsi"/>
          <w:szCs w:val="24"/>
        </w:rPr>
        <w:t xml:space="preserve">representing the house building industry, Torbay strategic housing board, agents, neighbouring local </w:t>
      </w:r>
      <w:r w:rsidR="007C3ED1" w:rsidRPr="00A20EBF">
        <w:rPr>
          <w:rFonts w:cstheme="minorHAnsi"/>
          <w:szCs w:val="24"/>
        </w:rPr>
        <w:t>authorities,</w:t>
      </w:r>
      <w:r w:rsidRPr="00A20EBF">
        <w:rPr>
          <w:rFonts w:cstheme="minorHAnsi"/>
          <w:szCs w:val="24"/>
        </w:rPr>
        <w:t xml:space="preserve"> and neighbourhood planning bodies.</w:t>
      </w:r>
      <w:r w:rsidR="00A76A43">
        <w:rPr>
          <w:rFonts w:cstheme="minorHAnsi"/>
          <w:szCs w:val="24"/>
        </w:rPr>
        <w:t xml:space="preserve"> The meeting was held virtually due to Covid. </w:t>
      </w:r>
    </w:p>
    <w:p w14:paraId="6A3C5427" w14:textId="77777777" w:rsidR="00A20EBF" w:rsidRPr="00A20EBF" w:rsidRDefault="00A20EBF" w:rsidP="00A20EBF">
      <w:pPr>
        <w:spacing w:after="240"/>
        <w:rPr>
          <w:rFonts w:cstheme="minorHAnsi"/>
          <w:szCs w:val="24"/>
        </w:rPr>
      </w:pPr>
      <w:r w:rsidRPr="00A20EBF">
        <w:rPr>
          <w:rFonts w:cstheme="minorHAnsi"/>
          <w:szCs w:val="24"/>
        </w:rPr>
        <w:t xml:space="preserve">The following themes were raised during discussions: </w:t>
      </w:r>
    </w:p>
    <w:p w14:paraId="27754C56"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Strong demand for houses in Torbay - the building industry confirmed that they could sell houses. </w:t>
      </w:r>
    </w:p>
    <w:p w14:paraId="59FE55DC"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A key issue is not the demand for housing, but whether Torbay’s environment can withstand the required level of delivery. </w:t>
      </w:r>
    </w:p>
    <w:p w14:paraId="0D30B1DD"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Much weaker demand for flats unless in highly popular locations/with sea views.  Flats would be predominantly for the private rental market. </w:t>
      </w:r>
    </w:p>
    <w:p w14:paraId="20243611"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Viability problems with developments of more than four stories. Only developments for apartments in best locations i.e., with sea views likely to attractive to developers.</w:t>
      </w:r>
    </w:p>
    <w:p w14:paraId="283AE84B"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Many of the HELAA sites are tricky and have constraints – very few “easy” development sites left in Torbay. </w:t>
      </w:r>
    </w:p>
    <w:p w14:paraId="76EE4EF9"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Industrial areas were not considered appropriate for housing allocations. </w:t>
      </w:r>
    </w:p>
    <w:p w14:paraId="2F589C78"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Large sites with topography greater than 1/6 tend to be un-viable for larger schemes that need to deliver affordable housing and community gain elements. Smaller/private developments can be viable on sloping sites. </w:t>
      </w:r>
    </w:p>
    <w:p w14:paraId="757784BA"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Protection of AONB and landscape viewed as very important, and allocations should be carefully scrutinised to avoid landscape impacts. However, it was raised that the AONB was designated some time ago and some of the sites within the AONB area could be less sensitive than other sites located outside of it. </w:t>
      </w:r>
    </w:p>
    <w:p w14:paraId="052BCB4F"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Open spaces with footpaths which are important to the community were not popular with developers as they are considered a challenge to deliver.</w:t>
      </w:r>
    </w:p>
    <w:p w14:paraId="7C23535D"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The importance of ensuring that sites are available before allocation was raised several times. </w:t>
      </w:r>
    </w:p>
    <w:p w14:paraId="7242036E"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It is difficult and costly to create a viable scheme for the re-development of car parks where parking provision is retained. </w:t>
      </w:r>
    </w:p>
    <w:p w14:paraId="698A7B7C"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Where nothing has happened on an allocated site for </w:t>
      </w:r>
      <w:proofErr w:type="gramStart"/>
      <w:r w:rsidRPr="00A20EBF">
        <w:rPr>
          <w:rFonts w:cstheme="minorHAnsi"/>
          <w:szCs w:val="24"/>
        </w:rPr>
        <w:t>a number of</w:t>
      </w:r>
      <w:proofErr w:type="gramEnd"/>
      <w:r w:rsidRPr="00A20EBF">
        <w:rPr>
          <w:rFonts w:cstheme="minorHAnsi"/>
          <w:szCs w:val="24"/>
        </w:rPr>
        <w:t xml:space="preserve"> years, a proposal to de-allocate the site could be used to unlock it or to remove it from the housing supply if it is un-deliverable due to viability. </w:t>
      </w:r>
    </w:p>
    <w:p w14:paraId="00B02CE0" w14:textId="77777777" w:rsidR="00A20EBF" w:rsidRPr="00A20EBF" w:rsidRDefault="00A20EBF" w:rsidP="00A20EBF">
      <w:pPr>
        <w:pStyle w:val="ListParagraph"/>
        <w:numPr>
          <w:ilvl w:val="0"/>
          <w:numId w:val="25"/>
        </w:numPr>
        <w:spacing w:after="240"/>
        <w:ind w:left="714" w:hanging="357"/>
        <w:rPr>
          <w:rFonts w:cstheme="minorHAnsi"/>
          <w:szCs w:val="24"/>
        </w:rPr>
      </w:pPr>
      <w:r w:rsidRPr="00A20EBF">
        <w:rPr>
          <w:rFonts w:cstheme="minorHAnsi"/>
          <w:szCs w:val="24"/>
        </w:rPr>
        <w:t xml:space="preserve">Assessments of the capacity of sites should consider land required to deliver biodiversity net gain. </w:t>
      </w:r>
    </w:p>
    <w:p w14:paraId="49F3604B" w14:textId="77777777" w:rsidR="00A20EBF" w:rsidRPr="00A20EBF" w:rsidRDefault="00A20EBF" w:rsidP="00B71C94">
      <w:pPr>
        <w:autoSpaceDE w:val="0"/>
        <w:autoSpaceDN w:val="0"/>
        <w:adjustRightInd w:val="0"/>
        <w:spacing w:after="0" w:line="240" w:lineRule="auto"/>
        <w:rPr>
          <w:rFonts w:eastAsia="Calibri" w:cstheme="minorHAnsi"/>
          <w:sz w:val="22"/>
          <w:szCs w:val="22"/>
        </w:rPr>
      </w:pPr>
    </w:p>
    <w:sectPr w:rsidR="00A20EBF" w:rsidRPr="00A20EBF" w:rsidSect="00417F67">
      <w:footerReference w:type="default" r:id="rId24"/>
      <w:pgSz w:w="11906" w:h="16838" w:code="9"/>
      <w:pgMar w:top="720" w:right="991" w:bottom="720" w:left="720"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D458" w14:textId="77777777" w:rsidR="00246C30" w:rsidRDefault="00246C30" w:rsidP="008952DF">
      <w:r>
        <w:separator/>
      </w:r>
    </w:p>
    <w:p w14:paraId="4223F8D4" w14:textId="77777777" w:rsidR="00246C30" w:rsidRDefault="00246C30"/>
  </w:endnote>
  <w:endnote w:type="continuationSeparator" w:id="0">
    <w:p w14:paraId="1DC26605" w14:textId="77777777" w:rsidR="00246C30" w:rsidRDefault="00246C30" w:rsidP="008952DF">
      <w:r>
        <w:continuationSeparator/>
      </w:r>
    </w:p>
    <w:p w14:paraId="45D07FF2" w14:textId="77777777" w:rsidR="00246C30" w:rsidRDefault="00246C30"/>
  </w:endnote>
  <w:endnote w:type="continuationNotice" w:id="1">
    <w:p w14:paraId="42FFFDBB" w14:textId="77777777" w:rsidR="00246C30" w:rsidRDefault="00246C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6BFB" w14:textId="77777777" w:rsidR="003E72CE" w:rsidRDefault="003E72CE">
    <w:pPr>
      <w:spacing w:after="0" w:line="240" w:lineRule="auto"/>
    </w:pPr>
  </w:p>
  <w:p w14:paraId="7E5A6335" w14:textId="77777777" w:rsidR="003E72CE" w:rsidRDefault="003E72CE"/>
  <w:p w14:paraId="6C9CF617" w14:textId="77777777" w:rsidR="003E72CE" w:rsidRDefault="003E72CE"/>
  <w:p w14:paraId="5C99CAB6" w14:textId="77777777" w:rsidR="003E72CE" w:rsidRDefault="003E72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7C8C" w14:textId="0D326ED0" w:rsidR="004C04FB" w:rsidRDefault="004C04FB">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293090"/>
      <w:docPartObj>
        <w:docPartGallery w:val="Page Numbers (Bottom of Page)"/>
        <w:docPartUnique/>
      </w:docPartObj>
    </w:sdtPr>
    <w:sdtEndPr>
      <w:rPr>
        <w:noProof/>
      </w:rPr>
    </w:sdtEndPr>
    <w:sdtContent>
      <w:p w14:paraId="5C7BCDDD" w14:textId="77777777" w:rsidR="00206976" w:rsidRDefault="00206976" w:rsidP="00206976">
        <w:pPr>
          <w:pStyle w:val="Footer"/>
          <w:pBdr>
            <w:top w:val="single" w:sz="24" w:space="4" w:color="800080"/>
          </w:pBdr>
          <w:jc w:val="center"/>
        </w:pPr>
        <w:r>
          <w:fldChar w:fldCharType="begin"/>
        </w:r>
        <w:r>
          <w:instrText xml:space="preserve"> PAGE   \* MERGEFORMAT </w:instrText>
        </w:r>
        <w:r>
          <w:fldChar w:fldCharType="separate"/>
        </w:r>
        <w:r w:rsidR="00B4639B">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DD632" w14:textId="77777777" w:rsidR="00246C30" w:rsidRDefault="00246C30" w:rsidP="008952DF">
      <w:r>
        <w:separator/>
      </w:r>
    </w:p>
    <w:p w14:paraId="443F2B95" w14:textId="77777777" w:rsidR="00246C30" w:rsidRDefault="00246C30"/>
  </w:footnote>
  <w:footnote w:type="continuationSeparator" w:id="0">
    <w:p w14:paraId="7D91B12B" w14:textId="77777777" w:rsidR="00246C30" w:rsidRDefault="00246C30" w:rsidP="008952DF">
      <w:r>
        <w:continuationSeparator/>
      </w:r>
    </w:p>
    <w:p w14:paraId="5946AC04" w14:textId="77777777" w:rsidR="00246C30" w:rsidRDefault="00246C30"/>
  </w:footnote>
  <w:footnote w:type="continuationNotice" w:id="1">
    <w:p w14:paraId="08A554FD" w14:textId="77777777" w:rsidR="00246C30" w:rsidRDefault="00246C30">
      <w:pPr>
        <w:spacing w:after="0" w:line="240" w:lineRule="auto"/>
      </w:pPr>
    </w:p>
  </w:footnote>
  <w:footnote w:id="2">
    <w:p w14:paraId="62EA7D44" w14:textId="67D364EB" w:rsidR="0054043C" w:rsidRPr="00CB7FE8" w:rsidRDefault="0054043C">
      <w:pPr>
        <w:rPr>
          <w:sz w:val="20"/>
          <w:szCs w:val="20"/>
        </w:rPr>
      </w:pPr>
      <w:r w:rsidRPr="00770FB6">
        <w:rPr>
          <w:sz w:val="20"/>
          <w:szCs w:val="20"/>
          <w:vertAlign w:val="superscript"/>
        </w:rPr>
        <w:footnoteRef/>
      </w:r>
      <w:r w:rsidRPr="00CB7FE8">
        <w:rPr>
          <w:sz w:val="20"/>
          <w:szCs w:val="20"/>
        </w:rPr>
        <w:t xml:space="preserve"> At 2021 the Standard Method </w:t>
      </w:r>
      <w:r w:rsidR="00B00567" w:rsidRPr="00CB7FE8">
        <w:rPr>
          <w:sz w:val="20"/>
          <w:szCs w:val="20"/>
        </w:rPr>
        <w:t xml:space="preserve">local housing need figure stands at 559 dwellings per year. </w:t>
      </w:r>
    </w:p>
  </w:footnote>
  <w:footnote w:id="3">
    <w:p w14:paraId="71C9888D" w14:textId="72702499" w:rsidR="20CCEC74" w:rsidRDefault="20CCEC74" w:rsidP="20CCEC74">
      <w:pPr>
        <w:pStyle w:val="FootnoteText"/>
      </w:pPr>
      <w:r w:rsidRPr="20CCEC74">
        <w:rPr>
          <w:rStyle w:val="FootnoteReference"/>
        </w:rPr>
        <w:footnoteRef/>
      </w:r>
      <w:r w:rsidRPr="20CCEC74">
        <w:t xml:space="preserve"> NPPF paragraph 160.</w:t>
      </w:r>
    </w:p>
  </w:footnote>
  <w:footnote w:id="4">
    <w:p w14:paraId="32E11109" w14:textId="76D84487" w:rsidR="005E1ECD" w:rsidRDefault="005E1ECD">
      <w:pPr>
        <w:pStyle w:val="FootnoteText"/>
      </w:pPr>
      <w:r>
        <w:rPr>
          <w:rStyle w:val="FootnoteReference"/>
        </w:rPr>
        <w:footnoteRef/>
      </w:r>
      <w:r>
        <w:t xml:space="preserve"> NPPF</w:t>
      </w:r>
      <w:r w:rsidR="00F257A2">
        <w:t xml:space="preserve"> </w:t>
      </w:r>
      <w:r>
        <w:t xml:space="preserve">paragraph </w:t>
      </w:r>
      <w:r w:rsidR="00F257A2">
        <w:t>163</w:t>
      </w:r>
    </w:p>
  </w:footnote>
  <w:footnote w:id="5">
    <w:p w14:paraId="1E197F6B" w14:textId="3F5FADE6" w:rsidR="006B753E" w:rsidRDefault="006B753E">
      <w:pPr>
        <w:pStyle w:val="FootnoteText"/>
      </w:pPr>
      <w:r>
        <w:rPr>
          <w:rStyle w:val="FootnoteReference"/>
        </w:rPr>
        <w:footnoteRef/>
      </w:r>
      <w:r>
        <w:t xml:space="preserve"> It is noted that </w:t>
      </w:r>
      <w:r w:rsidR="0095783F">
        <w:t>neighbouring authorities used a windfall threshold of 5 dwellings (</w:t>
      </w:r>
      <w:r w:rsidR="00A1043C">
        <w:t>i.e.,</w:t>
      </w:r>
      <w:r w:rsidR="0095783F">
        <w:t xml:space="preserve"> sites of 1-4</w:t>
      </w:r>
      <w:r w:rsidR="008A700E">
        <w:t xml:space="preserve"> are windfalls)</w:t>
      </w:r>
      <w:r w:rsidR="00A1043C">
        <w:t xml:space="preserve">.  Whilst </w:t>
      </w:r>
      <w:r w:rsidR="000E6094">
        <w:t>using</w:t>
      </w:r>
      <w:r w:rsidR="0065635F">
        <w:t xml:space="preserve"> a 5 dwelling</w:t>
      </w:r>
      <w:r w:rsidR="000E6094">
        <w:t xml:space="preserve"> threshold was considered, </w:t>
      </w:r>
      <w:r w:rsidR="00FA14A5">
        <w:t>this would be a change from the 2013 SHLAA and the basis for Torba</w:t>
      </w:r>
      <w:r w:rsidR="0065635F">
        <w:t>y</w:t>
      </w:r>
      <w:r w:rsidR="00FA14A5">
        <w:t>’s hou</w:t>
      </w:r>
      <w:r w:rsidR="0065635F">
        <w:t>s</w:t>
      </w:r>
      <w:r w:rsidR="00FA14A5">
        <w:t>ing monitoring and 5 year supply assessment</w:t>
      </w:r>
      <w:r w:rsidR="008B0E74">
        <w:t xml:space="preserve">s.  On this basis a threshold of 6 net new dwellings </w:t>
      </w:r>
      <w:r w:rsidR="008A700E">
        <w:t xml:space="preserve"> </w:t>
      </w:r>
      <w:r w:rsidR="0065635F">
        <w:t xml:space="preserve">has been used.  </w:t>
      </w:r>
    </w:p>
  </w:footnote>
  <w:footnote w:id="6">
    <w:p w14:paraId="623BE06F" w14:textId="073C35F6" w:rsidR="00A27D60" w:rsidRDefault="00A27D60">
      <w:pPr>
        <w:pStyle w:val="FootnoteText"/>
      </w:pPr>
      <w:r>
        <w:rPr>
          <w:rStyle w:val="FootnoteReference"/>
        </w:rPr>
        <w:footnoteRef/>
      </w:r>
      <w:r>
        <w:t xml:space="preserve"> </w:t>
      </w:r>
      <w:r w:rsidR="00813651">
        <w:t xml:space="preserve"> </w:t>
      </w:r>
      <w:r w:rsidR="00813651" w:rsidRPr="004F4BEE">
        <w:t>More detailed advice</w:t>
      </w:r>
      <w:r w:rsidR="004F4BEE" w:rsidRPr="004F4BEE">
        <w:t xml:space="preserve"> </w:t>
      </w:r>
      <w:r w:rsidR="00813651" w:rsidRPr="004F4BEE">
        <w:t xml:space="preserve">on suitability, availability and achievability is contained in the </w:t>
      </w:r>
      <w:r w:rsidR="000C2FCF" w:rsidRPr="004F4BEE">
        <w:t xml:space="preserve">online Planning </w:t>
      </w:r>
      <w:r w:rsidR="00B72A7E">
        <w:t>P</w:t>
      </w:r>
      <w:r w:rsidR="000C2FCF" w:rsidRPr="004F4BEE">
        <w:t xml:space="preserve">ractice Guidance </w:t>
      </w:r>
      <w:r w:rsidR="004F4BEE" w:rsidRPr="004F4BEE">
        <w:t xml:space="preserve">at </w:t>
      </w:r>
      <w:hyperlink w:history="1">
        <w:r w:rsidR="004F4BEE" w:rsidRPr="004F4BEE">
          <w:rPr>
            <w:rStyle w:val="Hyperlink"/>
          </w:rPr>
          <w:t>Housing and economic land availability assessment - GOV.UK (www.gov.uk)</w:t>
        </w:r>
      </w:hyperlink>
    </w:p>
  </w:footnote>
  <w:footnote w:id="7">
    <w:p w14:paraId="1EC42A35" w14:textId="77777777" w:rsidR="002108C2" w:rsidRPr="00A2433D" w:rsidRDefault="002108C2" w:rsidP="002108C2">
      <w:pPr>
        <w:pStyle w:val="FootnoteText"/>
      </w:pPr>
      <w:r>
        <w:rPr>
          <w:rStyle w:val="FootnoteReference"/>
        </w:rPr>
        <w:footnoteRef/>
      </w:r>
      <w:r>
        <w:t xml:space="preserve"> ‘Holiday accommodation’ is used here as an umbrella term referring to hotels, guest houses, B&amp;Bs, and holiday apartments. Holiday parks (including caravan parks and camp sites) are excluded as they are considered separately in the next section of the HELAA.</w:t>
      </w:r>
    </w:p>
  </w:footnote>
  <w:footnote w:id="8">
    <w:p w14:paraId="19F98BCD" w14:textId="4EE66C9D" w:rsidR="00386249" w:rsidRDefault="00386249">
      <w:pPr>
        <w:pStyle w:val="FootnoteText"/>
      </w:pPr>
      <w:r>
        <w:rPr>
          <w:rStyle w:val="FootnoteReference"/>
        </w:rPr>
        <w:footnoteRef/>
      </w:r>
      <w:r>
        <w:t xml:space="preserve"> Planning (Listed Buildings and Conservation Areas) Act 1990  </w:t>
      </w:r>
    </w:p>
  </w:footnote>
  <w:footnote w:id="9">
    <w:p w14:paraId="5849BF26" w14:textId="6EED78E4" w:rsidR="00D7293A" w:rsidRDefault="00D7293A">
      <w:pPr>
        <w:pStyle w:val="FootnoteText"/>
      </w:pPr>
      <w:r>
        <w:rPr>
          <w:rStyle w:val="FootnoteReference"/>
        </w:rPr>
        <w:footnoteRef/>
      </w:r>
      <w:r>
        <w:t xml:space="preserve"> </w:t>
      </w:r>
      <w:r w:rsidR="00420AF8">
        <w:t>Planning applications</w:t>
      </w:r>
      <w:r>
        <w:t xml:space="preserve"> </w:t>
      </w:r>
      <w:r w:rsidR="002265FF">
        <w:t xml:space="preserve">P/2015/0961 and </w:t>
      </w:r>
      <w:r w:rsidR="007B71C6">
        <w:t>P/2015/</w:t>
      </w:r>
      <w:r w:rsidR="002265FF">
        <w:t xml:space="preserve">0962.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C26C3" w14:textId="77777777" w:rsidR="003E72CE" w:rsidRDefault="003E72CE">
    <w:pPr>
      <w:spacing w:after="0" w:line="240" w:lineRule="auto"/>
    </w:pPr>
  </w:p>
  <w:p w14:paraId="1BE7CABA" w14:textId="77777777" w:rsidR="003E72CE" w:rsidRDefault="003E72CE"/>
  <w:p w14:paraId="26590AC7" w14:textId="77777777" w:rsidR="003E72CE" w:rsidRDefault="003E72CE"/>
  <w:p w14:paraId="40FF3987" w14:textId="77777777" w:rsidR="003E72CE" w:rsidRDefault="003E7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130EF" w14:textId="77777777" w:rsidR="003E72CE" w:rsidRDefault="003E72CE">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FF06FF"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713C39"/>
    <w:multiLevelType w:val="hybridMultilevel"/>
    <w:tmpl w:val="1836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3AC395F"/>
    <w:multiLevelType w:val="hybridMultilevel"/>
    <w:tmpl w:val="4D8A0112"/>
    <w:lvl w:ilvl="0" w:tplc="6A640C50">
      <w:start w:val="1"/>
      <w:numFmt w:val="bullet"/>
      <w:lvlText w:val="•"/>
      <w:lvlJc w:val="left"/>
      <w:pPr>
        <w:tabs>
          <w:tab w:val="num" w:pos="720"/>
        </w:tabs>
        <w:ind w:left="720" w:hanging="360"/>
      </w:pPr>
      <w:rPr>
        <w:rFonts w:ascii="Arial" w:hAnsi="Arial" w:hint="default"/>
      </w:rPr>
    </w:lvl>
    <w:lvl w:ilvl="1" w:tplc="C33EA57A" w:tentative="1">
      <w:start w:val="1"/>
      <w:numFmt w:val="bullet"/>
      <w:lvlText w:val="•"/>
      <w:lvlJc w:val="left"/>
      <w:pPr>
        <w:tabs>
          <w:tab w:val="num" w:pos="1440"/>
        </w:tabs>
        <w:ind w:left="1440" w:hanging="360"/>
      </w:pPr>
      <w:rPr>
        <w:rFonts w:ascii="Arial" w:hAnsi="Arial" w:hint="default"/>
      </w:rPr>
    </w:lvl>
    <w:lvl w:ilvl="2" w:tplc="E76A7188" w:tentative="1">
      <w:start w:val="1"/>
      <w:numFmt w:val="bullet"/>
      <w:lvlText w:val="•"/>
      <w:lvlJc w:val="left"/>
      <w:pPr>
        <w:tabs>
          <w:tab w:val="num" w:pos="2160"/>
        </w:tabs>
        <w:ind w:left="2160" w:hanging="360"/>
      </w:pPr>
      <w:rPr>
        <w:rFonts w:ascii="Arial" w:hAnsi="Arial" w:hint="default"/>
      </w:rPr>
    </w:lvl>
    <w:lvl w:ilvl="3" w:tplc="C742B7B8" w:tentative="1">
      <w:start w:val="1"/>
      <w:numFmt w:val="bullet"/>
      <w:lvlText w:val="•"/>
      <w:lvlJc w:val="left"/>
      <w:pPr>
        <w:tabs>
          <w:tab w:val="num" w:pos="2880"/>
        </w:tabs>
        <w:ind w:left="2880" w:hanging="360"/>
      </w:pPr>
      <w:rPr>
        <w:rFonts w:ascii="Arial" w:hAnsi="Arial" w:hint="default"/>
      </w:rPr>
    </w:lvl>
    <w:lvl w:ilvl="4" w:tplc="92B2573C" w:tentative="1">
      <w:start w:val="1"/>
      <w:numFmt w:val="bullet"/>
      <w:lvlText w:val="•"/>
      <w:lvlJc w:val="left"/>
      <w:pPr>
        <w:tabs>
          <w:tab w:val="num" w:pos="3600"/>
        </w:tabs>
        <w:ind w:left="3600" w:hanging="360"/>
      </w:pPr>
      <w:rPr>
        <w:rFonts w:ascii="Arial" w:hAnsi="Arial" w:hint="default"/>
      </w:rPr>
    </w:lvl>
    <w:lvl w:ilvl="5" w:tplc="F042D9C6" w:tentative="1">
      <w:start w:val="1"/>
      <w:numFmt w:val="bullet"/>
      <w:lvlText w:val="•"/>
      <w:lvlJc w:val="left"/>
      <w:pPr>
        <w:tabs>
          <w:tab w:val="num" w:pos="4320"/>
        </w:tabs>
        <w:ind w:left="4320" w:hanging="360"/>
      </w:pPr>
      <w:rPr>
        <w:rFonts w:ascii="Arial" w:hAnsi="Arial" w:hint="default"/>
      </w:rPr>
    </w:lvl>
    <w:lvl w:ilvl="6" w:tplc="20EC63BE" w:tentative="1">
      <w:start w:val="1"/>
      <w:numFmt w:val="bullet"/>
      <w:lvlText w:val="•"/>
      <w:lvlJc w:val="left"/>
      <w:pPr>
        <w:tabs>
          <w:tab w:val="num" w:pos="5040"/>
        </w:tabs>
        <w:ind w:left="5040" w:hanging="360"/>
      </w:pPr>
      <w:rPr>
        <w:rFonts w:ascii="Arial" w:hAnsi="Arial" w:hint="default"/>
      </w:rPr>
    </w:lvl>
    <w:lvl w:ilvl="7" w:tplc="EAC64518" w:tentative="1">
      <w:start w:val="1"/>
      <w:numFmt w:val="bullet"/>
      <w:lvlText w:val="•"/>
      <w:lvlJc w:val="left"/>
      <w:pPr>
        <w:tabs>
          <w:tab w:val="num" w:pos="5760"/>
        </w:tabs>
        <w:ind w:left="5760" w:hanging="360"/>
      </w:pPr>
      <w:rPr>
        <w:rFonts w:ascii="Arial" w:hAnsi="Arial" w:hint="default"/>
      </w:rPr>
    </w:lvl>
    <w:lvl w:ilvl="8" w:tplc="1818A03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2A4BDF"/>
    <w:multiLevelType w:val="hybridMultilevel"/>
    <w:tmpl w:val="DCF408FC"/>
    <w:lvl w:ilvl="0" w:tplc="2D661CF4">
      <w:start w:val="1"/>
      <w:numFmt w:val="bullet"/>
      <w:pStyle w:val="squarebullets"/>
      <w:lvlText w:val=""/>
      <w:lvlJc w:val="left"/>
      <w:pPr>
        <w:ind w:left="360" w:hanging="360"/>
      </w:pPr>
      <w:rPr>
        <w:rFonts w:ascii="Wingdings" w:hAnsi="Wingdings" w:hint="default"/>
        <w:color w:val="800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A411DA"/>
    <w:multiLevelType w:val="hybridMultilevel"/>
    <w:tmpl w:val="DB2601D2"/>
    <w:lvl w:ilvl="0" w:tplc="0CF46830">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DD548C"/>
    <w:multiLevelType w:val="hybridMultilevel"/>
    <w:tmpl w:val="A4A6FAB6"/>
    <w:lvl w:ilvl="0" w:tplc="B1187F50">
      <w:start w:val="28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A0E83"/>
    <w:multiLevelType w:val="hybridMultilevel"/>
    <w:tmpl w:val="CBB0A866"/>
    <w:lvl w:ilvl="0" w:tplc="DD0A89A6">
      <w:start w:val="1"/>
      <w:numFmt w:val="bullet"/>
      <w:lvlText w:val="•"/>
      <w:lvlJc w:val="left"/>
      <w:pPr>
        <w:tabs>
          <w:tab w:val="num" w:pos="720"/>
        </w:tabs>
        <w:ind w:left="720" w:hanging="360"/>
      </w:pPr>
      <w:rPr>
        <w:rFonts w:ascii="Arial" w:hAnsi="Arial" w:hint="default"/>
      </w:rPr>
    </w:lvl>
    <w:lvl w:ilvl="1" w:tplc="14AA25E8" w:tentative="1">
      <w:start w:val="1"/>
      <w:numFmt w:val="bullet"/>
      <w:lvlText w:val="•"/>
      <w:lvlJc w:val="left"/>
      <w:pPr>
        <w:tabs>
          <w:tab w:val="num" w:pos="1440"/>
        </w:tabs>
        <w:ind w:left="1440" w:hanging="360"/>
      </w:pPr>
      <w:rPr>
        <w:rFonts w:ascii="Arial" w:hAnsi="Arial" w:hint="default"/>
      </w:rPr>
    </w:lvl>
    <w:lvl w:ilvl="2" w:tplc="8B6427B4" w:tentative="1">
      <w:start w:val="1"/>
      <w:numFmt w:val="bullet"/>
      <w:lvlText w:val="•"/>
      <w:lvlJc w:val="left"/>
      <w:pPr>
        <w:tabs>
          <w:tab w:val="num" w:pos="2160"/>
        </w:tabs>
        <w:ind w:left="2160" w:hanging="360"/>
      </w:pPr>
      <w:rPr>
        <w:rFonts w:ascii="Arial" w:hAnsi="Arial" w:hint="default"/>
      </w:rPr>
    </w:lvl>
    <w:lvl w:ilvl="3" w:tplc="AAFE5B84" w:tentative="1">
      <w:start w:val="1"/>
      <w:numFmt w:val="bullet"/>
      <w:lvlText w:val="•"/>
      <w:lvlJc w:val="left"/>
      <w:pPr>
        <w:tabs>
          <w:tab w:val="num" w:pos="2880"/>
        </w:tabs>
        <w:ind w:left="2880" w:hanging="360"/>
      </w:pPr>
      <w:rPr>
        <w:rFonts w:ascii="Arial" w:hAnsi="Arial" w:hint="default"/>
      </w:rPr>
    </w:lvl>
    <w:lvl w:ilvl="4" w:tplc="739A6868">
      <w:numFmt w:val="bullet"/>
      <w:lvlText w:val="•"/>
      <w:lvlJc w:val="left"/>
      <w:pPr>
        <w:tabs>
          <w:tab w:val="num" w:pos="3600"/>
        </w:tabs>
        <w:ind w:left="3600" w:hanging="360"/>
      </w:pPr>
      <w:rPr>
        <w:rFonts w:ascii="Arial" w:hAnsi="Arial" w:hint="default"/>
      </w:rPr>
    </w:lvl>
    <w:lvl w:ilvl="5" w:tplc="F27AB774" w:tentative="1">
      <w:start w:val="1"/>
      <w:numFmt w:val="bullet"/>
      <w:lvlText w:val="•"/>
      <w:lvlJc w:val="left"/>
      <w:pPr>
        <w:tabs>
          <w:tab w:val="num" w:pos="4320"/>
        </w:tabs>
        <w:ind w:left="4320" w:hanging="360"/>
      </w:pPr>
      <w:rPr>
        <w:rFonts w:ascii="Arial" w:hAnsi="Arial" w:hint="default"/>
      </w:rPr>
    </w:lvl>
    <w:lvl w:ilvl="6" w:tplc="71E25626" w:tentative="1">
      <w:start w:val="1"/>
      <w:numFmt w:val="bullet"/>
      <w:lvlText w:val="•"/>
      <w:lvlJc w:val="left"/>
      <w:pPr>
        <w:tabs>
          <w:tab w:val="num" w:pos="5040"/>
        </w:tabs>
        <w:ind w:left="5040" w:hanging="360"/>
      </w:pPr>
      <w:rPr>
        <w:rFonts w:ascii="Arial" w:hAnsi="Arial" w:hint="default"/>
      </w:rPr>
    </w:lvl>
    <w:lvl w:ilvl="7" w:tplc="8314F836" w:tentative="1">
      <w:start w:val="1"/>
      <w:numFmt w:val="bullet"/>
      <w:lvlText w:val="•"/>
      <w:lvlJc w:val="left"/>
      <w:pPr>
        <w:tabs>
          <w:tab w:val="num" w:pos="5760"/>
        </w:tabs>
        <w:ind w:left="5760" w:hanging="360"/>
      </w:pPr>
      <w:rPr>
        <w:rFonts w:ascii="Arial" w:hAnsi="Arial" w:hint="default"/>
      </w:rPr>
    </w:lvl>
    <w:lvl w:ilvl="8" w:tplc="E4C869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8C272E8"/>
    <w:multiLevelType w:val="hybridMultilevel"/>
    <w:tmpl w:val="08CC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14" w15:restartNumberingAfterBreak="0">
    <w:nsid w:val="54075467"/>
    <w:multiLevelType w:val="multilevel"/>
    <w:tmpl w:val="68AAA5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6C61B1"/>
    <w:multiLevelType w:val="hybridMultilevel"/>
    <w:tmpl w:val="2228DEA0"/>
    <w:lvl w:ilvl="0" w:tplc="4C3AB286">
      <w:start w:val="1"/>
      <w:numFmt w:val="bullet"/>
      <w:lvlText w:val="•"/>
      <w:lvlJc w:val="left"/>
      <w:pPr>
        <w:tabs>
          <w:tab w:val="num" w:pos="720"/>
        </w:tabs>
        <w:ind w:left="720" w:hanging="360"/>
      </w:pPr>
      <w:rPr>
        <w:rFonts w:ascii="Arial" w:hAnsi="Arial" w:hint="default"/>
      </w:rPr>
    </w:lvl>
    <w:lvl w:ilvl="1" w:tplc="5D783440">
      <w:numFmt w:val="bullet"/>
      <w:lvlText w:val="•"/>
      <w:lvlJc w:val="left"/>
      <w:pPr>
        <w:tabs>
          <w:tab w:val="num" w:pos="1440"/>
        </w:tabs>
        <w:ind w:left="1440" w:hanging="360"/>
      </w:pPr>
      <w:rPr>
        <w:rFonts w:ascii="Arial" w:hAnsi="Arial" w:hint="default"/>
      </w:rPr>
    </w:lvl>
    <w:lvl w:ilvl="2" w:tplc="CCA6861E" w:tentative="1">
      <w:start w:val="1"/>
      <w:numFmt w:val="bullet"/>
      <w:lvlText w:val="•"/>
      <w:lvlJc w:val="left"/>
      <w:pPr>
        <w:tabs>
          <w:tab w:val="num" w:pos="2160"/>
        </w:tabs>
        <w:ind w:left="2160" w:hanging="360"/>
      </w:pPr>
      <w:rPr>
        <w:rFonts w:ascii="Arial" w:hAnsi="Arial" w:hint="default"/>
      </w:rPr>
    </w:lvl>
    <w:lvl w:ilvl="3" w:tplc="C120A192" w:tentative="1">
      <w:start w:val="1"/>
      <w:numFmt w:val="bullet"/>
      <w:lvlText w:val="•"/>
      <w:lvlJc w:val="left"/>
      <w:pPr>
        <w:tabs>
          <w:tab w:val="num" w:pos="2880"/>
        </w:tabs>
        <w:ind w:left="2880" w:hanging="360"/>
      </w:pPr>
      <w:rPr>
        <w:rFonts w:ascii="Arial" w:hAnsi="Arial" w:hint="default"/>
      </w:rPr>
    </w:lvl>
    <w:lvl w:ilvl="4" w:tplc="CDE4410C" w:tentative="1">
      <w:start w:val="1"/>
      <w:numFmt w:val="bullet"/>
      <w:lvlText w:val="•"/>
      <w:lvlJc w:val="left"/>
      <w:pPr>
        <w:tabs>
          <w:tab w:val="num" w:pos="3600"/>
        </w:tabs>
        <w:ind w:left="3600" w:hanging="360"/>
      </w:pPr>
      <w:rPr>
        <w:rFonts w:ascii="Arial" w:hAnsi="Arial" w:hint="default"/>
      </w:rPr>
    </w:lvl>
    <w:lvl w:ilvl="5" w:tplc="BB22A356" w:tentative="1">
      <w:start w:val="1"/>
      <w:numFmt w:val="bullet"/>
      <w:lvlText w:val="•"/>
      <w:lvlJc w:val="left"/>
      <w:pPr>
        <w:tabs>
          <w:tab w:val="num" w:pos="4320"/>
        </w:tabs>
        <w:ind w:left="4320" w:hanging="360"/>
      </w:pPr>
      <w:rPr>
        <w:rFonts w:ascii="Arial" w:hAnsi="Arial" w:hint="default"/>
      </w:rPr>
    </w:lvl>
    <w:lvl w:ilvl="6" w:tplc="ADF89D0E" w:tentative="1">
      <w:start w:val="1"/>
      <w:numFmt w:val="bullet"/>
      <w:lvlText w:val="•"/>
      <w:lvlJc w:val="left"/>
      <w:pPr>
        <w:tabs>
          <w:tab w:val="num" w:pos="5040"/>
        </w:tabs>
        <w:ind w:left="5040" w:hanging="360"/>
      </w:pPr>
      <w:rPr>
        <w:rFonts w:ascii="Arial" w:hAnsi="Arial" w:hint="default"/>
      </w:rPr>
    </w:lvl>
    <w:lvl w:ilvl="7" w:tplc="B172F33E" w:tentative="1">
      <w:start w:val="1"/>
      <w:numFmt w:val="bullet"/>
      <w:lvlText w:val="•"/>
      <w:lvlJc w:val="left"/>
      <w:pPr>
        <w:tabs>
          <w:tab w:val="num" w:pos="5760"/>
        </w:tabs>
        <w:ind w:left="5760" w:hanging="360"/>
      </w:pPr>
      <w:rPr>
        <w:rFonts w:ascii="Arial" w:hAnsi="Arial" w:hint="default"/>
      </w:rPr>
    </w:lvl>
    <w:lvl w:ilvl="8" w:tplc="5D3EAA8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A3576F9"/>
    <w:multiLevelType w:val="hybridMultilevel"/>
    <w:tmpl w:val="C01C9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20" w15:restartNumberingAfterBreak="0">
    <w:nsid w:val="66F513A4"/>
    <w:multiLevelType w:val="hybridMultilevel"/>
    <w:tmpl w:val="5B46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0D119F"/>
    <w:multiLevelType w:val="hybridMultilevel"/>
    <w:tmpl w:val="76F64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103E1B"/>
    <w:multiLevelType w:val="hybridMultilevel"/>
    <w:tmpl w:val="A3B8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
  </w:num>
  <w:num w:numId="3">
    <w:abstractNumId w:val="23"/>
  </w:num>
  <w:num w:numId="4">
    <w:abstractNumId w:val="8"/>
  </w:num>
  <w:num w:numId="5">
    <w:abstractNumId w:val="17"/>
  </w:num>
  <w:num w:numId="6">
    <w:abstractNumId w:val="4"/>
  </w:num>
  <w:num w:numId="7">
    <w:abstractNumId w:val="19"/>
  </w:num>
  <w:num w:numId="8">
    <w:abstractNumId w:val="13"/>
  </w:num>
  <w:num w:numId="9">
    <w:abstractNumId w:val="0"/>
  </w:num>
  <w:num w:numId="10">
    <w:abstractNumId w:val="7"/>
  </w:num>
  <w:num w:numId="11">
    <w:abstractNumId w:val="2"/>
  </w:num>
  <w:num w:numId="12">
    <w:abstractNumId w:val="6"/>
  </w:num>
  <w:num w:numId="13">
    <w:abstractNumId w:val="14"/>
  </w:num>
  <w:num w:numId="14">
    <w:abstractNumId w:val="4"/>
  </w:num>
  <w:num w:numId="15">
    <w:abstractNumId w:val="23"/>
  </w:num>
  <w:num w:numId="16">
    <w:abstractNumId w:val="9"/>
  </w:num>
  <w:num w:numId="17">
    <w:abstractNumId w:val="5"/>
  </w:num>
  <w:num w:numId="18">
    <w:abstractNumId w:val="15"/>
  </w:num>
  <w:num w:numId="19">
    <w:abstractNumId w:val="11"/>
  </w:num>
  <w:num w:numId="20">
    <w:abstractNumId w:val="16"/>
  </w:num>
  <w:num w:numId="21">
    <w:abstractNumId w:val="12"/>
  </w:num>
  <w:num w:numId="22">
    <w:abstractNumId w:val="20"/>
  </w:num>
  <w:num w:numId="23">
    <w:abstractNumId w:val="22"/>
  </w:num>
  <w:num w:numId="24">
    <w:abstractNumId w:val="21"/>
  </w:num>
  <w:num w:numId="25">
    <w:abstractNumId w:val="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9A7"/>
    <w:rsid w:val="00001B6C"/>
    <w:rsid w:val="00004D05"/>
    <w:rsid w:val="00004FB9"/>
    <w:rsid w:val="00006877"/>
    <w:rsid w:val="00010BAA"/>
    <w:rsid w:val="00010F69"/>
    <w:rsid w:val="0001327D"/>
    <w:rsid w:val="0001556C"/>
    <w:rsid w:val="0002399E"/>
    <w:rsid w:val="0002446C"/>
    <w:rsid w:val="00024A0E"/>
    <w:rsid w:val="00024B1B"/>
    <w:rsid w:val="000331D7"/>
    <w:rsid w:val="000334E9"/>
    <w:rsid w:val="00037193"/>
    <w:rsid w:val="00037ABE"/>
    <w:rsid w:val="00040E9B"/>
    <w:rsid w:val="0004288D"/>
    <w:rsid w:val="000448E2"/>
    <w:rsid w:val="000467FA"/>
    <w:rsid w:val="000470CD"/>
    <w:rsid w:val="00050589"/>
    <w:rsid w:val="00052162"/>
    <w:rsid w:val="000533C5"/>
    <w:rsid w:val="00054014"/>
    <w:rsid w:val="000540EF"/>
    <w:rsid w:val="000616B2"/>
    <w:rsid w:val="00061B89"/>
    <w:rsid w:val="000629E5"/>
    <w:rsid w:val="0006314B"/>
    <w:rsid w:val="0006465F"/>
    <w:rsid w:val="00064EA8"/>
    <w:rsid w:val="00065323"/>
    <w:rsid w:val="00070535"/>
    <w:rsid w:val="00071787"/>
    <w:rsid w:val="0007178E"/>
    <w:rsid w:val="000719DE"/>
    <w:rsid w:val="0007377C"/>
    <w:rsid w:val="00076F63"/>
    <w:rsid w:val="00082CFE"/>
    <w:rsid w:val="000839F7"/>
    <w:rsid w:val="00084756"/>
    <w:rsid w:val="00085728"/>
    <w:rsid w:val="00085E41"/>
    <w:rsid w:val="00086C19"/>
    <w:rsid w:val="0009018C"/>
    <w:rsid w:val="000908D9"/>
    <w:rsid w:val="000912BE"/>
    <w:rsid w:val="000917AA"/>
    <w:rsid w:val="00091DEC"/>
    <w:rsid w:val="00095CB8"/>
    <w:rsid w:val="00095F29"/>
    <w:rsid w:val="00095FA1"/>
    <w:rsid w:val="0009611E"/>
    <w:rsid w:val="00097171"/>
    <w:rsid w:val="000A08EA"/>
    <w:rsid w:val="000A1F5F"/>
    <w:rsid w:val="000A2A79"/>
    <w:rsid w:val="000A55ED"/>
    <w:rsid w:val="000A63F3"/>
    <w:rsid w:val="000B22B9"/>
    <w:rsid w:val="000B74D1"/>
    <w:rsid w:val="000C2FCF"/>
    <w:rsid w:val="000C3EC2"/>
    <w:rsid w:val="000C43CD"/>
    <w:rsid w:val="000C4616"/>
    <w:rsid w:val="000C5415"/>
    <w:rsid w:val="000C5766"/>
    <w:rsid w:val="000C69AA"/>
    <w:rsid w:val="000C7803"/>
    <w:rsid w:val="000D0095"/>
    <w:rsid w:val="000D1F36"/>
    <w:rsid w:val="000D77AD"/>
    <w:rsid w:val="000D7F64"/>
    <w:rsid w:val="000D7FB7"/>
    <w:rsid w:val="000E1A14"/>
    <w:rsid w:val="000E1E59"/>
    <w:rsid w:val="000E4674"/>
    <w:rsid w:val="000E6094"/>
    <w:rsid w:val="000E6CB0"/>
    <w:rsid w:val="000E79C0"/>
    <w:rsid w:val="000F348C"/>
    <w:rsid w:val="000F4212"/>
    <w:rsid w:val="000F57A9"/>
    <w:rsid w:val="000F65A6"/>
    <w:rsid w:val="000F782C"/>
    <w:rsid w:val="00100175"/>
    <w:rsid w:val="0010035E"/>
    <w:rsid w:val="00103B7C"/>
    <w:rsid w:val="001040A2"/>
    <w:rsid w:val="00106CFE"/>
    <w:rsid w:val="00107F17"/>
    <w:rsid w:val="00111072"/>
    <w:rsid w:val="00111392"/>
    <w:rsid w:val="00112152"/>
    <w:rsid w:val="00116F03"/>
    <w:rsid w:val="00121855"/>
    <w:rsid w:val="0012519A"/>
    <w:rsid w:val="00125778"/>
    <w:rsid w:val="00131883"/>
    <w:rsid w:val="00133431"/>
    <w:rsid w:val="001338AB"/>
    <w:rsid w:val="00140296"/>
    <w:rsid w:val="00141642"/>
    <w:rsid w:val="001450AB"/>
    <w:rsid w:val="00150382"/>
    <w:rsid w:val="00151C88"/>
    <w:rsid w:val="00156233"/>
    <w:rsid w:val="0015770B"/>
    <w:rsid w:val="001608E8"/>
    <w:rsid w:val="001737E1"/>
    <w:rsid w:val="00174534"/>
    <w:rsid w:val="001764E5"/>
    <w:rsid w:val="001820EB"/>
    <w:rsid w:val="0018298D"/>
    <w:rsid w:val="00184A46"/>
    <w:rsid w:val="001878BE"/>
    <w:rsid w:val="0019076E"/>
    <w:rsid w:val="0019175B"/>
    <w:rsid w:val="00191895"/>
    <w:rsid w:val="0019204B"/>
    <w:rsid w:val="00194133"/>
    <w:rsid w:val="00196D61"/>
    <w:rsid w:val="001A3424"/>
    <w:rsid w:val="001A3F79"/>
    <w:rsid w:val="001A58B6"/>
    <w:rsid w:val="001A764A"/>
    <w:rsid w:val="001A7E46"/>
    <w:rsid w:val="001B3935"/>
    <w:rsid w:val="001B6DD7"/>
    <w:rsid w:val="001C15BE"/>
    <w:rsid w:val="001C1E0B"/>
    <w:rsid w:val="001C4094"/>
    <w:rsid w:val="001C7653"/>
    <w:rsid w:val="001D08DF"/>
    <w:rsid w:val="001D2598"/>
    <w:rsid w:val="001D2A5E"/>
    <w:rsid w:val="001D3093"/>
    <w:rsid w:val="001D628D"/>
    <w:rsid w:val="001D7305"/>
    <w:rsid w:val="001D7FC3"/>
    <w:rsid w:val="001E0ABB"/>
    <w:rsid w:val="001E15AE"/>
    <w:rsid w:val="001E402E"/>
    <w:rsid w:val="001E4638"/>
    <w:rsid w:val="001E4BB3"/>
    <w:rsid w:val="001F0B84"/>
    <w:rsid w:val="001F18E5"/>
    <w:rsid w:val="001F3858"/>
    <w:rsid w:val="001F3BDA"/>
    <w:rsid w:val="001F65FB"/>
    <w:rsid w:val="002033F1"/>
    <w:rsid w:val="002054E3"/>
    <w:rsid w:val="002063A9"/>
    <w:rsid w:val="00206976"/>
    <w:rsid w:val="0021046B"/>
    <w:rsid w:val="002108C2"/>
    <w:rsid w:val="00211623"/>
    <w:rsid w:val="00211AEB"/>
    <w:rsid w:val="00212C77"/>
    <w:rsid w:val="002150C2"/>
    <w:rsid w:val="002153A5"/>
    <w:rsid w:val="00215B3F"/>
    <w:rsid w:val="00217F55"/>
    <w:rsid w:val="002217DD"/>
    <w:rsid w:val="00223550"/>
    <w:rsid w:val="00223F27"/>
    <w:rsid w:val="002258B7"/>
    <w:rsid w:val="002265FF"/>
    <w:rsid w:val="00226677"/>
    <w:rsid w:val="00230CFB"/>
    <w:rsid w:val="002369A7"/>
    <w:rsid w:val="00237C92"/>
    <w:rsid w:val="002420AB"/>
    <w:rsid w:val="00243F69"/>
    <w:rsid w:val="00246C30"/>
    <w:rsid w:val="00251351"/>
    <w:rsid w:val="002513B6"/>
    <w:rsid w:val="00254B49"/>
    <w:rsid w:val="0025501F"/>
    <w:rsid w:val="00255E8C"/>
    <w:rsid w:val="0025623B"/>
    <w:rsid w:val="0026049E"/>
    <w:rsid w:val="00266415"/>
    <w:rsid w:val="0027161C"/>
    <w:rsid w:val="002728BD"/>
    <w:rsid w:val="0027334F"/>
    <w:rsid w:val="00273C3B"/>
    <w:rsid w:val="002752BA"/>
    <w:rsid w:val="002827D2"/>
    <w:rsid w:val="00287C5D"/>
    <w:rsid w:val="002916B9"/>
    <w:rsid w:val="002929D2"/>
    <w:rsid w:val="00294CAE"/>
    <w:rsid w:val="00297C55"/>
    <w:rsid w:val="002A112A"/>
    <w:rsid w:val="002A66DE"/>
    <w:rsid w:val="002A6EE4"/>
    <w:rsid w:val="002A7950"/>
    <w:rsid w:val="002B0216"/>
    <w:rsid w:val="002B48D2"/>
    <w:rsid w:val="002B590E"/>
    <w:rsid w:val="002B62CB"/>
    <w:rsid w:val="002B666C"/>
    <w:rsid w:val="002C087E"/>
    <w:rsid w:val="002C25D8"/>
    <w:rsid w:val="002C43AB"/>
    <w:rsid w:val="002C5B99"/>
    <w:rsid w:val="002D3D5C"/>
    <w:rsid w:val="002D7532"/>
    <w:rsid w:val="002E1497"/>
    <w:rsid w:val="002E2357"/>
    <w:rsid w:val="002E32E7"/>
    <w:rsid w:val="002E4D2B"/>
    <w:rsid w:val="002E58F0"/>
    <w:rsid w:val="002E59E0"/>
    <w:rsid w:val="002E693A"/>
    <w:rsid w:val="002E6E4D"/>
    <w:rsid w:val="002E799D"/>
    <w:rsid w:val="002F1C01"/>
    <w:rsid w:val="002F2494"/>
    <w:rsid w:val="002F71B4"/>
    <w:rsid w:val="00300965"/>
    <w:rsid w:val="00304313"/>
    <w:rsid w:val="00304F37"/>
    <w:rsid w:val="00306BE2"/>
    <w:rsid w:val="00311D2A"/>
    <w:rsid w:val="003137FE"/>
    <w:rsid w:val="00313A9D"/>
    <w:rsid w:val="00314622"/>
    <w:rsid w:val="00323126"/>
    <w:rsid w:val="003232A2"/>
    <w:rsid w:val="00324433"/>
    <w:rsid w:val="00326766"/>
    <w:rsid w:val="00326789"/>
    <w:rsid w:val="00330278"/>
    <w:rsid w:val="003344BD"/>
    <w:rsid w:val="00336074"/>
    <w:rsid w:val="003379E7"/>
    <w:rsid w:val="00340704"/>
    <w:rsid w:val="0034264C"/>
    <w:rsid w:val="003448FA"/>
    <w:rsid w:val="0034567C"/>
    <w:rsid w:val="00345AE8"/>
    <w:rsid w:val="00346AEF"/>
    <w:rsid w:val="00346BD2"/>
    <w:rsid w:val="00353AF4"/>
    <w:rsid w:val="003563C6"/>
    <w:rsid w:val="003643EB"/>
    <w:rsid w:val="00370791"/>
    <w:rsid w:val="003715A2"/>
    <w:rsid w:val="00373B09"/>
    <w:rsid w:val="0037406A"/>
    <w:rsid w:val="00374891"/>
    <w:rsid w:val="003752A2"/>
    <w:rsid w:val="003822D8"/>
    <w:rsid w:val="00382792"/>
    <w:rsid w:val="00383882"/>
    <w:rsid w:val="00385793"/>
    <w:rsid w:val="00386249"/>
    <w:rsid w:val="003867F4"/>
    <w:rsid w:val="00387795"/>
    <w:rsid w:val="0039378D"/>
    <w:rsid w:val="00394467"/>
    <w:rsid w:val="00394489"/>
    <w:rsid w:val="003A08D1"/>
    <w:rsid w:val="003A19A0"/>
    <w:rsid w:val="003A358D"/>
    <w:rsid w:val="003A45DC"/>
    <w:rsid w:val="003A4FC8"/>
    <w:rsid w:val="003A7DEF"/>
    <w:rsid w:val="003B0A79"/>
    <w:rsid w:val="003B106B"/>
    <w:rsid w:val="003B7C8E"/>
    <w:rsid w:val="003C168D"/>
    <w:rsid w:val="003C3DAB"/>
    <w:rsid w:val="003C6D01"/>
    <w:rsid w:val="003D203A"/>
    <w:rsid w:val="003D3EF0"/>
    <w:rsid w:val="003D4128"/>
    <w:rsid w:val="003E1746"/>
    <w:rsid w:val="003E2682"/>
    <w:rsid w:val="003E3C01"/>
    <w:rsid w:val="003E5683"/>
    <w:rsid w:val="003E5BF0"/>
    <w:rsid w:val="003E72CE"/>
    <w:rsid w:val="003F09A7"/>
    <w:rsid w:val="003F0CDE"/>
    <w:rsid w:val="003F1996"/>
    <w:rsid w:val="003F3F83"/>
    <w:rsid w:val="003F7861"/>
    <w:rsid w:val="00401CD6"/>
    <w:rsid w:val="00402906"/>
    <w:rsid w:val="004030C0"/>
    <w:rsid w:val="00406F82"/>
    <w:rsid w:val="0041069F"/>
    <w:rsid w:val="00410765"/>
    <w:rsid w:val="00410A00"/>
    <w:rsid w:val="00411174"/>
    <w:rsid w:val="0041475B"/>
    <w:rsid w:val="0041488D"/>
    <w:rsid w:val="004152D4"/>
    <w:rsid w:val="0041533F"/>
    <w:rsid w:val="00416612"/>
    <w:rsid w:val="004173BF"/>
    <w:rsid w:val="00417F67"/>
    <w:rsid w:val="00420AF8"/>
    <w:rsid w:val="00421E41"/>
    <w:rsid w:val="00422570"/>
    <w:rsid w:val="00422E13"/>
    <w:rsid w:val="0043064A"/>
    <w:rsid w:val="00432391"/>
    <w:rsid w:val="00432B51"/>
    <w:rsid w:val="00436973"/>
    <w:rsid w:val="00436ECA"/>
    <w:rsid w:val="00437E40"/>
    <w:rsid w:val="004413E9"/>
    <w:rsid w:val="00442386"/>
    <w:rsid w:val="00442FEF"/>
    <w:rsid w:val="0044418E"/>
    <w:rsid w:val="004443DB"/>
    <w:rsid w:val="0044599F"/>
    <w:rsid w:val="00446664"/>
    <w:rsid w:val="00447C09"/>
    <w:rsid w:val="00452C69"/>
    <w:rsid w:val="00457A41"/>
    <w:rsid w:val="00460990"/>
    <w:rsid w:val="00460C23"/>
    <w:rsid w:val="00461D76"/>
    <w:rsid w:val="0046203F"/>
    <w:rsid w:val="0046354E"/>
    <w:rsid w:val="00463952"/>
    <w:rsid w:val="00463977"/>
    <w:rsid w:val="004662B0"/>
    <w:rsid w:val="00467B4B"/>
    <w:rsid w:val="00470B76"/>
    <w:rsid w:val="0047294C"/>
    <w:rsid w:val="00474170"/>
    <w:rsid w:val="004802EF"/>
    <w:rsid w:val="004812C8"/>
    <w:rsid w:val="00487094"/>
    <w:rsid w:val="00487D1D"/>
    <w:rsid w:val="00490B4B"/>
    <w:rsid w:val="00492456"/>
    <w:rsid w:val="00492E76"/>
    <w:rsid w:val="00494DC0"/>
    <w:rsid w:val="00494E96"/>
    <w:rsid w:val="004965A8"/>
    <w:rsid w:val="0049732A"/>
    <w:rsid w:val="004A0B51"/>
    <w:rsid w:val="004A0E7E"/>
    <w:rsid w:val="004A3BEA"/>
    <w:rsid w:val="004A4979"/>
    <w:rsid w:val="004A5940"/>
    <w:rsid w:val="004A629D"/>
    <w:rsid w:val="004A6936"/>
    <w:rsid w:val="004B0E2A"/>
    <w:rsid w:val="004B27A7"/>
    <w:rsid w:val="004B2F0E"/>
    <w:rsid w:val="004C0323"/>
    <w:rsid w:val="004C04FB"/>
    <w:rsid w:val="004C080B"/>
    <w:rsid w:val="004C4EE1"/>
    <w:rsid w:val="004D22FA"/>
    <w:rsid w:val="004D26C6"/>
    <w:rsid w:val="004D53C8"/>
    <w:rsid w:val="004D578D"/>
    <w:rsid w:val="004D5CDF"/>
    <w:rsid w:val="004D6988"/>
    <w:rsid w:val="004E0B74"/>
    <w:rsid w:val="004E2BFB"/>
    <w:rsid w:val="004E4F50"/>
    <w:rsid w:val="004F3038"/>
    <w:rsid w:val="004F41E8"/>
    <w:rsid w:val="004F4BEE"/>
    <w:rsid w:val="004F7037"/>
    <w:rsid w:val="004F7735"/>
    <w:rsid w:val="0050402E"/>
    <w:rsid w:val="00504F30"/>
    <w:rsid w:val="005073FC"/>
    <w:rsid w:val="0051374E"/>
    <w:rsid w:val="005156FA"/>
    <w:rsid w:val="00515FA2"/>
    <w:rsid w:val="00522B12"/>
    <w:rsid w:val="00522E29"/>
    <w:rsid w:val="00524053"/>
    <w:rsid w:val="00524AF6"/>
    <w:rsid w:val="00525230"/>
    <w:rsid w:val="005308F1"/>
    <w:rsid w:val="00531D31"/>
    <w:rsid w:val="0053575B"/>
    <w:rsid w:val="00535E8E"/>
    <w:rsid w:val="00537508"/>
    <w:rsid w:val="0054043C"/>
    <w:rsid w:val="00546286"/>
    <w:rsid w:val="00552DBA"/>
    <w:rsid w:val="00553BE4"/>
    <w:rsid w:val="005601D3"/>
    <w:rsid w:val="0056196A"/>
    <w:rsid w:val="00562095"/>
    <w:rsid w:val="005674C6"/>
    <w:rsid w:val="00567C4A"/>
    <w:rsid w:val="00571FE9"/>
    <w:rsid w:val="0057346D"/>
    <w:rsid w:val="0057364E"/>
    <w:rsid w:val="00574C00"/>
    <w:rsid w:val="00577CBD"/>
    <w:rsid w:val="005802E4"/>
    <w:rsid w:val="005831FC"/>
    <w:rsid w:val="00583794"/>
    <w:rsid w:val="00583882"/>
    <w:rsid w:val="00583F45"/>
    <w:rsid w:val="0058525B"/>
    <w:rsid w:val="00585F4D"/>
    <w:rsid w:val="005866DD"/>
    <w:rsid w:val="00587689"/>
    <w:rsid w:val="005876EF"/>
    <w:rsid w:val="0059146F"/>
    <w:rsid w:val="00593473"/>
    <w:rsid w:val="00593E2A"/>
    <w:rsid w:val="00594B31"/>
    <w:rsid w:val="00597F3F"/>
    <w:rsid w:val="005A1855"/>
    <w:rsid w:val="005A2943"/>
    <w:rsid w:val="005A2C5A"/>
    <w:rsid w:val="005A3493"/>
    <w:rsid w:val="005A4079"/>
    <w:rsid w:val="005A4847"/>
    <w:rsid w:val="005A523C"/>
    <w:rsid w:val="005B0CA2"/>
    <w:rsid w:val="005B1DF1"/>
    <w:rsid w:val="005B4FF0"/>
    <w:rsid w:val="005B5FA4"/>
    <w:rsid w:val="005B6571"/>
    <w:rsid w:val="005C0557"/>
    <w:rsid w:val="005C083C"/>
    <w:rsid w:val="005C3240"/>
    <w:rsid w:val="005C402F"/>
    <w:rsid w:val="005C47B1"/>
    <w:rsid w:val="005C64B5"/>
    <w:rsid w:val="005C6AE7"/>
    <w:rsid w:val="005D0E5A"/>
    <w:rsid w:val="005D3097"/>
    <w:rsid w:val="005D7980"/>
    <w:rsid w:val="005E00D8"/>
    <w:rsid w:val="005E1ECD"/>
    <w:rsid w:val="005E2D99"/>
    <w:rsid w:val="005E3672"/>
    <w:rsid w:val="005E4152"/>
    <w:rsid w:val="005E4634"/>
    <w:rsid w:val="005F0336"/>
    <w:rsid w:val="005F5977"/>
    <w:rsid w:val="005F628A"/>
    <w:rsid w:val="005F67DA"/>
    <w:rsid w:val="005F7C29"/>
    <w:rsid w:val="005F7F39"/>
    <w:rsid w:val="0060011F"/>
    <w:rsid w:val="0060307E"/>
    <w:rsid w:val="00604AE1"/>
    <w:rsid w:val="006076DC"/>
    <w:rsid w:val="006143E4"/>
    <w:rsid w:val="00616F73"/>
    <w:rsid w:val="0061732C"/>
    <w:rsid w:val="00622B4B"/>
    <w:rsid w:val="00623E80"/>
    <w:rsid w:val="006268CA"/>
    <w:rsid w:val="00634067"/>
    <w:rsid w:val="006406F1"/>
    <w:rsid w:val="006439E4"/>
    <w:rsid w:val="00647F35"/>
    <w:rsid w:val="006506E4"/>
    <w:rsid w:val="006508F4"/>
    <w:rsid w:val="00651F69"/>
    <w:rsid w:val="006538D2"/>
    <w:rsid w:val="00655067"/>
    <w:rsid w:val="0065635F"/>
    <w:rsid w:val="0065715A"/>
    <w:rsid w:val="0066049C"/>
    <w:rsid w:val="006612C9"/>
    <w:rsid w:val="00664045"/>
    <w:rsid w:val="0066462A"/>
    <w:rsid w:val="00672550"/>
    <w:rsid w:val="00674690"/>
    <w:rsid w:val="00674D9C"/>
    <w:rsid w:val="0068349C"/>
    <w:rsid w:val="006836F8"/>
    <w:rsid w:val="0068400B"/>
    <w:rsid w:val="00684A4C"/>
    <w:rsid w:val="006856E1"/>
    <w:rsid w:val="00692448"/>
    <w:rsid w:val="00694025"/>
    <w:rsid w:val="00694E3F"/>
    <w:rsid w:val="006A0100"/>
    <w:rsid w:val="006A08AA"/>
    <w:rsid w:val="006A4703"/>
    <w:rsid w:val="006A7909"/>
    <w:rsid w:val="006B0095"/>
    <w:rsid w:val="006B2927"/>
    <w:rsid w:val="006B4D21"/>
    <w:rsid w:val="006B753E"/>
    <w:rsid w:val="006B7B3D"/>
    <w:rsid w:val="006C0AD6"/>
    <w:rsid w:val="006C0D6B"/>
    <w:rsid w:val="006C1509"/>
    <w:rsid w:val="006C34E2"/>
    <w:rsid w:val="006C4D03"/>
    <w:rsid w:val="006C51FD"/>
    <w:rsid w:val="006C56CD"/>
    <w:rsid w:val="006C58B3"/>
    <w:rsid w:val="006C62A6"/>
    <w:rsid w:val="006D03AC"/>
    <w:rsid w:val="006D2981"/>
    <w:rsid w:val="006D73EB"/>
    <w:rsid w:val="006E145C"/>
    <w:rsid w:val="006E3151"/>
    <w:rsid w:val="006E346C"/>
    <w:rsid w:val="006E4D4A"/>
    <w:rsid w:val="006E50CC"/>
    <w:rsid w:val="006E52BB"/>
    <w:rsid w:val="006F0D49"/>
    <w:rsid w:val="006F31AE"/>
    <w:rsid w:val="006F4AC3"/>
    <w:rsid w:val="00701609"/>
    <w:rsid w:val="00703538"/>
    <w:rsid w:val="00703BAA"/>
    <w:rsid w:val="007045F9"/>
    <w:rsid w:val="0070490B"/>
    <w:rsid w:val="0070559F"/>
    <w:rsid w:val="0071003F"/>
    <w:rsid w:val="007124D2"/>
    <w:rsid w:val="007135A0"/>
    <w:rsid w:val="0071464B"/>
    <w:rsid w:val="00714A96"/>
    <w:rsid w:val="00717F62"/>
    <w:rsid w:val="00720449"/>
    <w:rsid w:val="0072175F"/>
    <w:rsid w:val="00724214"/>
    <w:rsid w:val="007266BE"/>
    <w:rsid w:val="00726EA3"/>
    <w:rsid w:val="00727D37"/>
    <w:rsid w:val="00730114"/>
    <w:rsid w:val="0073068B"/>
    <w:rsid w:val="00730E59"/>
    <w:rsid w:val="0073201D"/>
    <w:rsid w:val="0073502D"/>
    <w:rsid w:val="00736296"/>
    <w:rsid w:val="0074034D"/>
    <w:rsid w:val="00740539"/>
    <w:rsid w:val="00741BD9"/>
    <w:rsid w:val="007432B9"/>
    <w:rsid w:val="00743C1B"/>
    <w:rsid w:val="00745C83"/>
    <w:rsid w:val="00746A46"/>
    <w:rsid w:val="00750665"/>
    <w:rsid w:val="00750D04"/>
    <w:rsid w:val="007513B6"/>
    <w:rsid w:val="00753B70"/>
    <w:rsid w:val="00754399"/>
    <w:rsid w:val="00755413"/>
    <w:rsid w:val="0076094E"/>
    <w:rsid w:val="00763A99"/>
    <w:rsid w:val="0076491E"/>
    <w:rsid w:val="00764CC6"/>
    <w:rsid w:val="00767A45"/>
    <w:rsid w:val="00770E6A"/>
    <w:rsid w:val="00770FB6"/>
    <w:rsid w:val="00773189"/>
    <w:rsid w:val="00775934"/>
    <w:rsid w:val="00786B9C"/>
    <w:rsid w:val="007870A9"/>
    <w:rsid w:val="00797CFD"/>
    <w:rsid w:val="007A1CB2"/>
    <w:rsid w:val="007A765A"/>
    <w:rsid w:val="007B0BC0"/>
    <w:rsid w:val="007B2D87"/>
    <w:rsid w:val="007B4765"/>
    <w:rsid w:val="007B6412"/>
    <w:rsid w:val="007B6A7B"/>
    <w:rsid w:val="007B71C6"/>
    <w:rsid w:val="007B798A"/>
    <w:rsid w:val="007C339D"/>
    <w:rsid w:val="007C3D2D"/>
    <w:rsid w:val="007C3ED1"/>
    <w:rsid w:val="007C7F14"/>
    <w:rsid w:val="007D39B9"/>
    <w:rsid w:val="007D3E36"/>
    <w:rsid w:val="007D5E45"/>
    <w:rsid w:val="007E26A3"/>
    <w:rsid w:val="007E5585"/>
    <w:rsid w:val="007F0601"/>
    <w:rsid w:val="007F092E"/>
    <w:rsid w:val="007F1518"/>
    <w:rsid w:val="007F1F2B"/>
    <w:rsid w:val="007F22FE"/>
    <w:rsid w:val="007F25BD"/>
    <w:rsid w:val="007F2FD2"/>
    <w:rsid w:val="007F3042"/>
    <w:rsid w:val="007F44F3"/>
    <w:rsid w:val="007F745E"/>
    <w:rsid w:val="00802914"/>
    <w:rsid w:val="0080468B"/>
    <w:rsid w:val="00804772"/>
    <w:rsid w:val="00806756"/>
    <w:rsid w:val="008100C0"/>
    <w:rsid w:val="00811589"/>
    <w:rsid w:val="00812429"/>
    <w:rsid w:val="00813651"/>
    <w:rsid w:val="00816274"/>
    <w:rsid w:val="00816489"/>
    <w:rsid w:val="00817C6C"/>
    <w:rsid w:val="00820DF6"/>
    <w:rsid w:val="00821E87"/>
    <w:rsid w:val="00823572"/>
    <w:rsid w:val="00824EEB"/>
    <w:rsid w:val="00825BCD"/>
    <w:rsid w:val="008268AD"/>
    <w:rsid w:val="00832109"/>
    <w:rsid w:val="008346D6"/>
    <w:rsid w:val="008472AB"/>
    <w:rsid w:val="008500F1"/>
    <w:rsid w:val="00850ABA"/>
    <w:rsid w:val="00852022"/>
    <w:rsid w:val="00853F84"/>
    <w:rsid w:val="00854F56"/>
    <w:rsid w:val="00855F0F"/>
    <w:rsid w:val="00856F8F"/>
    <w:rsid w:val="00860912"/>
    <w:rsid w:val="00863167"/>
    <w:rsid w:val="00863481"/>
    <w:rsid w:val="00866494"/>
    <w:rsid w:val="00867A2F"/>
    <w:rsid w:val="0087236A"/>
    <w:rsid w:val="00873F9A"/>
    <w:rsid w:val="0087705E"/>
    <w:rsid w:val="00885130"/>
    <w:rsid w:val="00891275"/>
    <w:rsid w:val="00891325"/>
    <w:rsid w:val="00892730"/>
    <w:rsid w:val="008952DF"/>
    <w:rsid w:val="00895E8D"/>
    <w:rsid w:val="00896B2A"/>
    <w:rsid w:val="00896BCF"/>
    <w:rsid w:val="008A0281"/>
    <w:rsid w:val="008A119E"/>
    <w:rsid w:val="008A1B84"/>
    <w:rsid w:val="008A391D"/>
    <w:rsid w:val="008A3E9B"/>
    <w:rsid w:val="008A700E"/>
    <w:rsid w:val="008A74DB"/>
    <w:rsid w:val="008B0E74"/>
    <w:rsid w:val="008B1E9F"/>
    <w:rsid w:val="008B43A3"/>
    <w:rsid w:val="008B476A"/>
    <w:rsid w:val="008B57F1"/>
    <w:rsid w:val="008B6656"/>
    <w:rsid w:val="008B6DC4"/>
    <w:rsid w:val="008B78CE"/>
    <w:rsid w:val="008C1363"/>
    <w:rsid w:val="008C22EA"/>
    <w:rsid w:val="008C43D4"/>
    <w:rsid w:val="008C54DF"/>
    <w:rsid w:val="008C6CB2"/>
    <w:rsid w:val="008C6DD3"/>
    <w:rsid w:val="008C774A"/>
    <w:rsid w:val="008D25F9"/>
    <w:rsid w:val="008D3F90"/>
    <w:rsid w:val="008D5752"/>
    <w:rsid w:val="008E5F4E"/>
    <w:rsid w:val="008F2201"/>
    <w:rsid w:val="008F404B"/>
    <w:rsid w:val="008F52F5"/>
    <w:rsid w:val="008F5B32"/>
    <w:rsid w:val="008F728E"/>
    <w:rsid w:val="00900E8A"/>
    <w:rsid w:val="00904AEE"/>
    <w:rsid w:val="00906452"/>
    <w:rsid w:val="009101DF"/>
    <w:rsid w:val="009162F8"/>
    <w:rsid w:val="00916A9E"/>
    <w:rsid w:val="00922CB4"/>
    <w:rsid w:val="00924DA4"/>
    <w:rsid w:val="00925EF3"/>
    <w:rsid w:val="00930954"/>
    <w:rsid w:val="00931612"/>
    <w:rsid w:val="00932694"/>
    <w:rsid w:val="00937467"/>
    <w:rsid w:val="00937EB1"/>
    <w:rsid w:val="009409AE"/>
    <w:rsid w:val="00940AAC"/>
    <w:rsid w:val="00941285"/>
    <w:rsid w:val="00942A2D"/>
    <w:rsid w:val="009439A0"/>
    <w:rsid w:val="00944145"/>
    <w:rsid w:val="009457B6"/>
    <w:rsid w:val="00947AF3"/>
    <w:rsid w:val="009502C1"/>
    <w:rsid w:val="00950A3F"/>
    <w:rsid w:val="00951C0B"/>
    <w:rsid w:val="00953518"/>
    <w:rsid w:val="0095522B"/>
    <w:rsid w:val="00956C79"/>
    <w:rsid w:val="00956F87"/>
    <w:rsid w:val="00957162"/>
    <w:rsid w:val="0095783F"/>
    <w:rsid w:val="0096462F"/>
    <w:rsid w:val="009651FA"/>
    <w:rsid w:val="00966B78"/>
    <w:rsid w:val="00967DCA"/>
    <w:rsid w:val="009713BE"/>
    <w:rsid w:val="009726FA"/>
    <w:rsid w:val="00974558"/>
    <w:rsid w:val="00975112"/>
    <w:rsid w:val="0097549C"/>
    <w:rsid w:val="00975A59"/>
    <w:rsid w:val="0097600B"/>
    <w:rsid w:val="00977C6D"/>
    <w:rsid w:val="00980B1E"/>
    <w:rsid w:val="009841B4"/>
    <w:rsid w:val="00992CA5"/>
    <w:rsid w:val="00993D1A"/>
    <w:rsid w:val="00994D1B"/>
    <w:rsid w:val="00994F8F"/>
    <w:rsid w:val="00996BCE"/>
    <w:rsid w:val="009A0641"/>
    <w:rsid w:val="009A0B94"/>
    <w:rsid w:val="009A1A71"/>
    <w:rsid w:val="009A1EA3"/>
    <w:rsid w:val="009A3F6B"/>
    <w:rsid w:val="009A680A"/>
    <w:rsid w:val="009A6D74"/>
    <w:rsid w:val="009B0D84"/>
    <w:rsid w:val="009B2C69"/>
    <w:rsid w:val="009B3572"/>
    <w:rsid w:val="009B41EF"/>
    <w:rsid w:val="009B4322"/>
    <w:rsid w:val="009B4668"/>
    <w:rsid w:val="009B4C8D"/>
    <w:rsid w:val="009B5B47"/>
    <w:rsid w:val="009B7227"/>
    <w:rsid w:val="009B7243"/>
    <w:rsid w:val="009B7872"/>
    <w:rsid w:val="009C525F"/>
    <w:rsid w:val="009D0A5C"/>
    <w:rsid w:val="009D2272"/>
    <w:rsid w:val="009D236A"/>
    <w:rsid w:val="009D285F"/>
    <w:rsid w:val="009D3C71"/>
    <w:rsid w:val="009D60B5"/>
    <w:rsid w:val="009D6FFC"/>
    <w:rsid w:val="009E1410"/>
    <w:rsid w:val="009E1B58"/>
    <w:rsid w:val="009E5CFC"/>
    <w:rsid w:val="009E5D10"/>
    <w:rsid w:val="009E7523"/>
    <w:rsid w:val="009F388A"/>
    <w:rsid w:val="00A0397C"/>
    <w:rsid w:val="00A073CD"/>
    <w:rsid w:val="00A1043C"/>
    <w:rsid w:val="00A20EBF"/>
    <w:rsid w:val="00A22FE1"/>
    <w:rsid w:val="00A26FF8"/>
    <w:rsid w:val="00A27D60"/>
    <w:rsid w:val="00A27DBA"/>
    <w:rsid w:val="00A3092B"/>
    <w:rsid w:val="00A31986"/>
    <w:rsid w:val="00A326DC"/>
    <w:rsid w:val="00A34FB1"/>
    <w:rsid w:val="00A364F3"/>
    <w:rsid w:val="00A37463"/>
    <w:rsid w:val="00A41033"/>
    <w:rsid w:val="00A43302"/>
    <w:rsid w:val="00A43575"/>
    <w:rsid w:val="00A46981"/>
    <w:rsid w:val="00A46CE2"/>
    <w:rsid w:val="00A476F7"/>
    <w:rsid w:val="00A515B3"/>
    <w:rsid w:val="00A521A8"/>
    <w:rsid w:val="00A537C7"/>
    <w:rsid w:val="00A56DB7"/>
    <w:rsid w:val="00A576BC"/>
    <w:rsid w:val="00A60F9A"/>
    <w:rsid w:val="00A61521"/>
    <w:rsid w:val="00A6295B"/>
    <w:rsid w:val="00A6364B"/>
    <w:rsid w:val="00A637E0"/>
    <w:rsid w:val="00A63B14"/>
    <w:rsid w:val="00A63C74"/>
    <w:rsid w:val="00A65759"/>
    <w:rsid w:val="00A66E3E"/>
    <w:rsid w:val="00A67DE3"/>
    <w:rsid w:val="00A711DF"/>
    <w:rsid w:val="00A718F2"/>
    <w:rsid w:val="00A744FA"/>
    <w:rsid w:val="00A749D6"/>
    <w:rsid w:val="00A76A43"/>
    <w:rsid w:val="00A81147"/>
    <w:rsid w:val="00A82D11"/>
    <w:rsid w:val="00A83084"/>
    <w:rsid w:val="00A84DBA"/>
    <w:rsid w:val="00A94D1A"/>
    <w:rsid w:val="00AA2891"/>
    <w:rsid w:val="00AA43F9"/>
    <w:rsid w:val="00AA5642"/>
    <w:rsid w:val="00AA5F11"/>
    <w:rsid w:val="00AA74BB"/>
    <w:rsid w:val="00AB0CF1"/>
    <w:rsid w:val="00AB0F5E"/>
    <w:rsid w:val="00AB1FB1"/>
    <w:rsid w:val="00AB24AC"/>
    <w:rsid w:val="00AB5CBF"/>
    <w:rsid w:val="00AC09F8"/>
    <w:rsid w:val="00AC7CE6"/>
    <w:rsid w:val="00AD0381"/>
    <w:rsid w:val="00AD047E"/>
    <w:rsid w:val="00AD0B6E"/>
    <w:rsid w:val="00AD2258"/>
    <w:rsid w:val="00AD2791"/>
    <w:rsid w:val="00AE02BC"/>
    <w:rsid w:val="00AE0E31"/>
    <w:rsid w:val="00AE0F84"/>
    <w:rsid w:val="00AE1321"/>
    <w:rsid w:val="00AE69CD"/>
    <w:rsid w:val="00AE7EA6"/>
    <w:rsid w:val="00B00567"/>
    <w:rsid w:val="00B0475D"/>
    <w:rsid w:val="00B05FF7"/>
    <w:rsid w:val="00B0799B"/>
    <w:rsid w:val="00B109A7"/>
    <w:rsid w:val="00B12F8E"/>
    <w:rsid w:val="00B162EA"/>
    <w:rsid w:val="00B20B31"/>
    <w:rsid w:val="00B21DB0"/>
    <w:rsid w:val="00B2533D"/>
    <w:rsid w:val="00B25763"/>
    <w:rsid w:val="00B26A27"/>
    <w:rsid w:val="00B27DD8"/>
    <w:rsid w:val="00B307EF"/>
    <w:rsid w:val="00B30DE4"/>
    <w:rsid w:val="00B338C3"/>
    <w:rsid w:val="00B34462"/>
    <w:rsid w:val="00B35EC0"/>
    <w:rsid w:val="00B36673"/>
    <w:rsid w:val="00B36B46"/>
    <w:rsid w:val="00B377FC"/>
    <w:rsid w:val="00B4222B"/>
    <w:rsid w:val="00B4639B"/>
    <w:rsid w:val="00B57DE2"/>
    <w:rsid w:val="00B606F9"/>
    <w:rsid w:val="00B60B2F"/>
    <w:rsid w:val="00B614F7"/>
    <w:rsid w:val="00B621EE"/>
    <w:rsid w:val="00B62618"/>
    <w:rsid w:val="00B70AE4"/>
    <w:rsid w:val="00B70CBC"/>
    <w:rsid w:val="00B71C94"/>
    <w:rsid w:val="00B72A7E"/>
    <w:rsid w:val="00B72C85"/>
    <w:rsid w:val="00B77FAF"/>
    <w:rsid w:val="00B82108"/>
    <w:rsid w:val="00B82EA3"/>
    <w:rsid w:val="00B83F16"/>
    <w:rsid w:val="00B91EBF"/>
    <w:rsid w:val="00B959FE"/>
    <w:rsid w:val="00B9764E"/>
    <w:rsid w:val="00BA0CEF"/>
    <w:rsid w:val="00BA3A82"/>
    <w:rsid w:val="00BA4D59"/>
    <w:rsid w:val="00BA6973"/>
    <w:rsid w:val="00BA7943"/>
    <w:rsid w:val="00BB2B5A"/>
    <w:rsid w:val="00BB2D2D"/>
    <w:rsid w:val="00BB395A"/>
    <w:rsid w:val="00BB709B"/>
    <w:rsid w:val="00BB72DA"/>
    <w:rsid w:val="00BC1BD0"/>
    <w:rsid w:val="00BC706F"/>
    <w:rsid w:val="00BD40A5"/>
    <w:rsid w:val="00BD41A7"/>
    <w:rsid w:val="00BD4947"/>
    <w:rsid w:val="00BE3B3F"/>
    <w:rsid w:val="00BE6692"/>
    <w:rsid w:val="00BE7726"/>
    <w:rsid w:val="00BF09A7"/>
    <w:rsid w:val="00BF1770"/>
    <w:rsid w:val="00BF2074"/>
    <w:rsid w:val="00BF433A"/>
    <w:rsid w:val="00BF4E0F"/>
    <w:rsid w:val="00BF61AF"/>
    <w:rsid w:val="00C00608"/>
    <w:rsid w:val="00C00AB0"/>
    <w:rsid w:val="00C018AC"/>
    <w:rsid w:val="00C06051"/>
    <w:rsid w:val="00C13CEA"/>
    <w:rsid w:val="00C142A4"/>
    <w:rsid w:val="00C17F1F"/>
    <w:rsid w:val="00C20906"/>
    <w:rsid w:val="00C219DF"/>
    <w:rsid w:val="00C22BF4"/>
    <w:rsid w:val="00C25088"/>
    <w:rsid w:val="00C263C5"/>
    <w:rsid w:val="00C32044"/>
    <w:rsid w:val="00C341BE"/>
    <w:rsid w:val="00C35A47"/>
    <w:rsid w:val="00C36BA1"/>
    <w:rsid w:val="00C40635"/>
    <w:rsid w:val="00C40E54"/>
    <w:rsid w:val="00C43415"/>
    <w:rsid w:val="00C45D8E"/>
    <w:rsid w:val="00C51004"/>
    <w:rsid w:val="00C520E4"/>
    <w:rsid w:val="00C535CA"/>
    <w:rsid w:val="00C53C7C"/>
    <w:rsid w:val="00C5587A"/>
    <w:rsid w:val="00C55E7F"/>
    <w:rsid w:val="00C56A48"/>
    <w:rsid w:val="00C56CA9"/>
    <w:rsid w:val="00C64685"/>
    <w:rsid w:val="00C64C87"/>
    <w:rsid w:val="00C65EC0"/>
    <w:rsid w:val="00C66D42"/>
    <w:rsid w:val="00C67C91"/>
    <w:rsid w:val="00C71A1E"/>
    <w:rsid w:val="00C71A33"/>
    <w:rsid w:val="00C73C10"/>
    <w:rsid w:val="00C76B2C"/>
    <w:rsid w:val="00C77C33"/>
    <w:rsid w:val="00C82E5F"/>
    <w:rsid w:val="00C91F4E"/>
    <w:rsid w:val="00C93259"/>
    <w:rsid w:val="00C9684A"/>
    <w:rsid w:val="00CA0AD8"/>
    <w:rsid w:val="00CA1B0A"/>
    <w:rsid w:val="00CA5895"/>
    <w:rsid w:val="00CB7FE8"/>
    <w:rsid w:val="00CC10AF"/>
    <w:rsid w:val="00CC15D6"/>
    <w:rsid w:val="00CC2CC7"/>
    <w:rsid w:val="00CC3C17"/>
    <w:rsid w:val="00CC42D7"/>
    <w:rsid w:val="00CC615D"/>
    <w:rsid w:val="00CD1113"/>
    <w:rsid w:val="00CD4F3A"/>
    <w:rsid w:val="00CE10BC"/>
    <w:rsid w:val="00CE156C"/>
    <w:rsid w:val="00CE34C2"/>
    <w:rsid w:val="00CE3C21"/>
    <w:rsid w:val="00CE77D5"/>
    <w:rsid w:val="00CF281B"/>
    <w:rsid w:val="00CF2E77"/>
    <w:rsid w:val="00CF76CF"/>
    <w:rsid w:val="00D030E0"/>
    <w:rsid w:val="00D04B17"/>
    <w:rsid w:val="00D05B95"/>
    <w:rsid w:val="00D07D53"/>
    <w:rsid w:val="00D11334"/>
    <w:rsid w:val="00D14D91"/>
    <w:rsid w:val="00D14E0D"/>
    <w:rsid w:val="00D14E61"/>
    <w:rsid w:val="00D157D0"/>
    <w:rsid w:val="00D1582F"/>
    <w:rsid w:val="00D209BA"/>
    <w:rsid w:val="00D22A18"/>
    <w:rsid w:val="00D239C5"/>
    <w:rsid w:val="00D265BF"/>
    <w:rsid w:val="00D27C84"/>
    <w:rsid w:val="00D3229E"/>
    <w:rsid w:val="00D36FE4"/>
    <w:rsid w:val="00D37432"/>
    <w:rsid w:val="00D40A46"/>
    <w:rsid w:val="00D42F67"/>
    <w:rsid w:val="00D45347"/>
    <w:rsid w:val="00D53C84"/>
    <w:rsid w:val="00D54890"/>
    <w:rsid w:val="00D555D9"/>
    <w:rsid w:val="00D56E75"/>
    <w:rsid w:val="00D60F17"/>
    <w:rsid w:val="00D65B7D"/>
    <w:rsid w:val="00D66F93"/>
    <w:rsid w:val="00D674AC"/>
    <w:rsid w:val="00D7187F"/>
    <w:rsid w:val="00D72560"/>
    <w:rsid w:val="00D7293A"/>
    <w:rsid w:val="00D73DE9"/>
    <w:rsid w:val="00D80381"/>
    <w:rsid w:val="00D851E3"/>
    <w:rsid w:val="00D87771"/>
    <w:rsid w:val="00D90935"/>
    <w:rsid w:val="00D91B55"/>
    <w:rsid w:val="00D91C3C"/>
    <w:rsid w:val="00D948CA"/>
    <w:rsid w:val="00D94D2C"/>
    <w:rsid w:val="00D965F3"/>
    <w:rsid w:val="00DA08B6"/>
    <w:rsid w:val="00DA270A"/>
    <w:rsid w:val="00DB2654"/>
    <w:rsid w:val="00DB6207"/>
    <w:rsid w:val="00DB7A4B"/>
    <w:rsid w:val="00DC0213"/>
    <w:rsid w:val="00DC0A67"/>
    <w:rsid w:val="00DC169F"/>
    <w:rsid w:val="00DC4D98"/>
    <w:rsid w:val="00DC5496"/>
    <w:rsid w:val="00DC7BED"/>
    <w:rsid w:val="00DD3509"/>
    <w:rsid w:val="00DD73DB"/>
    <w:rsid w:val="00DD77C5"/>
    <w:rsid w:val="00DE1FFD"/>
    <w:rsid w:val="00DE3A59"/>
    <w:rsid w:val="00DE4A8B"/>
    <w:rsid w:val="00DE5511"/>
    <w:rsid w:val="00DE5912"/>
    <w:rsid w:val="00DE6BA0"/>
    <w:rsid w:val="00DF0B23"/>
    <w:rsid w:val="00E019A8"/>
    <w:rsid w:val="00E04C02"/>
    <w:rsid w:val="00E05A4C"/>
    <w:rsid w:val="00E078E6"/>
    <w:rsid w:val="00E10384"/>
    <w:rsid w:val="00E11CDB"/>
    <w:rsid w:val="00E12810"/>
    <w:rsid w:val="00E15E75"/>
    <w:rsid w:val="00E16C01"/>
    <w:rsid w:val="00E16DC9"/>
    <w:rsid w:val="00E23E84"/>
    <w:rsid w:val="00E243D2"/>
    <w:rsid w:val="00E25175"/>
    <w:rsid w:val="00E32387"/>
    <w:rsid w:val="00E364CA"/>
    <w:rsid w:val="00E432AE"/>
    <w:rsid w:val="00E45B6E"/>
    <w:rsid w:val="00E4743B"/>
    <w:rsid w:val="00E475BF"/>
    <w:rsid w:val="00E51342"/>
    <w:rsid w:val="00E517A9"/>
    <w:rsid w:val="00E52BC7"/>
    <w:rsid w:val="00E53F82"/>
    <w:rsid w:val="00E5516D"/>
    <w:rsid w:val="00E55180"/>
    <w:rsid w:val="00E56EC0"/>
    <w:rsid w:val="00E56F2C"/>
    <w:rsid w:val="00E571BE"/>
    <w:rsid w:val="00E60527"/>
    <w:rsid w:val="00E62229"/>
    <w:rsid w:val="00E62B9C"/>
    <w:rsid w:val="00E65563"/>
    <w:rsid w:val="00E65E6E"/>
    <w:rsid w:val="00E66118"/>
    <w:rsid w:val="00E6667A"/>
    <w:rsid w:val="00E67421"/>
    <w:rsid w:val="00E73AA0"/>
    <w:rsid w:val="00E7463D"/>
    <w:rsid w:val="00E746C9"/>
    <w:rsid w:val="00E8218D"/>
    <w:rsid w:val="00E8431D"/>
    <w:rsid w:val="00E85526"/>
    <w:rsid w:val="00E85C78"/>
    <w:rsid w:val="00E87CFB"/>
    <w:rsid w:val="00E9283F"/>
    <w:rsid w:val="00E928DD"/>
    <w:rsid w:val="00EA0DDB"/>
    <w:rsid w:val="00EA370B"/>
    <w:rsid w:val="00EA6723"/>
    <w:rsid w:val="00EA6DCD"/>
    <w:rsid w:val="00EB1C68"/>
    <w:rsid w:val="00EB2659"/>
    <w:rsid w:val="00EB2BA3"/>
    <w:rsid w:val="00EB41E4"/>
    <w:rsid w:val="00EB4E24"/>
    <w:rsid w:val="00EB586D"/>
    <w:rsid w:val="00EB6BD0"/>
    <w:rsid w:val="00EC0681"/>
    <w:rsid w:val="00EC7336"/>
    <w:rsid w:val="00EC7604"/>
    <w:rsid w:val="00ED010A"/>
    <w:rsid w:val="00ED29F8"/>
    <w:rsid w:val="00ED3F4D"/>
    <w:rsid w:val="00ED40E8"/>
    <w:rsid w:val="00ED697A"/>
    <w:rsid w:val="00EE27FA"/>
    <w:rsid w:val="00EE2F3B"/>
    <w:rsid w:val="00EE461C"/>
    <w:rsid w:val="00EE5513"/>
    <w:rsid w:val="00EE6016"/>
    <w:rsid w:val="00EE6482"/>
    <w:rsid w:val="00EE6854"/>
    <w:rsid w:val="00EF0704"/>
    <w:rsid w:val="00EF08AC"/>
    <w:rsid w:val="00EF2693"/>
    <w:rsid w:val="00EF4993"/>
    <w:rsid w:val="00EF52F7"/>
    <w:rsid w:val="00EF5E2C"/>
    <w:rsid w:val="00F0653F"/>
    <w:rsid w:val="00F11963"/>
    <w:rsid w:val="00F14A47"/>
    <w:rsid w:val="00F20DB3"/>
    <w:rsid w:val="00F21F5D"/>
    <w:rsid w:val="00F2221F"/>
    <w:rsid w:val="00F228DC"/>
    <w:rsid w:val="00F257A2"/>
    <w:rsid w:val="00F266D2"/>
    <w:rsid w:val="00F2700B"/>
    <w:rsid w:val="00F27FE5"/>
    <w:rsid w:val="00F35DE5"/>
    <w:rsid w:val="00F35F27"/>
    <w:rsid w:val="00F36DE1"/>
    <w:rsid w:val="00F41935"/>
    <w:rsid w:val="00F41B90"/>
    <w:rsid w:val="00F42963"/>
    <w:rsid w:val="00F4397B"/>
    <w:rsid w:val="00F5052E"/>
    <w:rsid w:val="00F50CE3"/>
    <w:rsid w:val="00F51F9A"/>
    <w:rsid w:val="00F569C5"/>
    <w:rsid w:val="00F63FF8"/>
    <w:rsid w:val="00F66BE5"/>
    <w:rsid w:val="00F672B7"/>
    <w:rsid w:val="00F72B7E"/>
    <w:rsid w:val="00F73A64"/>
    <w:rsid w:val="00F77426"/>
    <w:rsid w:val="00F77B24"/>
    <w:rsid w:val="00F80653"/>
    <w:rsid w:val="00F8114C"/>
    <w:rsid w:val="00F82D69"/>
    <w:rsid w:val="00F84576"/>
    <w:rsid w:val="00F864AE"/>
    <w:rsid w:val="00F86948"/>
    <w:rsid w:val="00F87B8D"/>
    <w:rsid w:val="00F90D99"/>
    <w:rsid w:val="00F921A5"/>
    <w:rsid w:val="00F92532"/>
    <w:rsid w:val="00F9260C"/>
    <w:rsid w:val="00F92D67"/>
    <w:rsid w:val="00F960D0"/>
    <w:rsid w:val="00F96DCD"/>
    <w:rsid w:val="00F96FB0"/>
    <w:rsid w:val="00F971F6"/>
    <w:rsid w:val="00FA008E"/>
    <w:rsid w:val="00FA04B9"/>
    <w:rsid w:val="00FA1063"/>
    <w:rsid w:val="00FA14A5"/>
    <w:rsid w:val="00FA2904"/>
    <w:rsid w:val="00FA5263"/>
    <w:rsid w:val="00FA600A"/>
    <w:rsid w:val="00FA6B66"/>
    <w:rsid w:val="00FB046A"/>
    <w:rsid w:val="00FB1DA1"/>
    <w:rsid w:val="00FB2E08"/>
    <w:rsid w:val="00FB34E5"/>
    <w:rsid w:val="00FB45D3"/>
    <w:rsid w:val="00FB6C1A"/>
    <w:rsid w:val="00FC1E75"/>
    <w:rsid w:val="00FC2B29"/>
    <w:rsid w:val="00FC4920"/>
    <w:rsid w:val="00FC59B4"/>
    <w:rsid w:val="00FC6292"/>
    <w:rsid w:val="00FC7308"/>
    <w:rsid w:val="00FC76BD"/>
    <w:rsid w:val="00FD198B"/>
    <w:rsid w:val="00FD1AD8"/>
    <w:rsid w:val="00FD3044"/>
    <w:rsid w:val="00FD3775"/>
    <w:rsid w:val="00FD3E99"/>
    <w:rsid w:val="00FD4CDE"/>
    <w:rsid w:val="00FD75E9"/>
    <w:rsid w:val="00FE138E"/>
    <w:rsid w:val="00FE4EEE"/>
    <w:rsid w:val="00FE7EC7"/>
    <w:rsid w:val="00FF1D5C"/>
    <w:rsid w:val="00FF55D1"/>
    <w:rsid w:val="00FF5798"/>
    <w:rsid w:val="00FF596F"/>
    <w:rsid w:val="042F41B1"/>
    <w:rsid w:val="04966390"/>
    <w:rsid w:val="05CB1212"/>
    <w:rsid w:val="093D4681"/>
    <w:rsid w:val="09E172D5"/>
    <w:rsid w:val="1406A4FB"/>
    <w:rsid w:val="164D4FE9"/>
    <w:rsid w:val="169825D3"/>
    <w:rsid w:val="173B42DE"/>
    <w:rsid w:val="180311F5"/>
    <w:rsid w:val="1B0D508E"/>
    <w:rsid w:val="1B8E42D3"/>
    <w:rsid w:val="20CCEC74"/>
    <w:rsid w:val="20CE07E7"/>
    <w:rsid w:val="22328153"/>
    <w:rsid w:val="22F08CEF"/>
    <w:rsid w:val="2B989A8F"/>
    <w:rsid w:val="2C797430"/>
    <w:rsid w:val="31020A63"/>
    <w:rsid w:val="32F01B13"/>
    <w:rsid w:val="38B744A8"/>
    <w:rsid w:val="38CF4896"/>
    <w:rsid w:val="38F91EEA"/>
    <w:rsid w:val="3F937DFD"/>
    <w:rsid w:val="40037979"/>
    <w:rsid w:val="400EC792"/>
    <w:rsid w:val="414E0D58"/>
    <w:rsid w:val="4170FA41"/>
    <w:rsid w:val="417B954E"/>
    <w:rsid w:val="45560641"/>
    <w:rsid w:val="47E0C3EC"/>
    <w:rsid w:val="48F6F5CA"/>
    <w:rsid w:val="4C9624D0"/>
    <w:rsid w:val="4F5DC25E"/>
    <w:rsid w:val="505426A0"/>
    <w:rsid w:val="54A61E97"/>
    <w:rsid w:val="5F1049CA"/>
    <w:rsid w:val="66600048"/>
    <w:rsid w:val="6F8D02E0"/>
    <w:rsid w:val="71CC65C3"/>
    <w:rsid w:val="78F31D73"/>
    <w:rsid w:val="7BA7CE6A"/>
    <w:rsid w:val="7D026682"/>
    <w:rsid w:val="7E7426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83F0D"/>
  <w15:chartTrackingRefBased/>
  <w15:docId w15:val="{0640A14F-F111-4B0B-8B39-34AA6D0E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locked="0"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87CFB"/>
    <w:pPr>
      <w:spacing w:line="312" w:lineRule="auto"/>
    </w:pPr>
    <w:rPr>
      <w:sz w:val="24"/>
    </w:rPr>
  </w:style>
  <w:style w:type="paragraph" w:styleId="Heading1">
    <w:name w:val="heading 1"/>
    <w:basedOn w:val="Normal"/>
    <w:next w:val="Normal"/>
    <w:link w:val="Heading1Char"/>
    <w:qFormat/>
    <w:rsid w:val="00206976"/>
    <w:pPr>
      <w:keepNext/>
      <w:keepLines/>
      <w:pBdr>
        <w:bottom w:val="single" w:sz="4" w:space="1" w:color="800080"/>
      </w:pBdr>
      <w:spacing w:before="360" w:after="240" w:line="276" w:lineRule="auto"/>
      <w:outlineLvl w:val="0"/>
    </w:pPr>
    <w:rPr>
      <w:rFonts w:asciiTheme="majorHAnsi" w:eastAsiaTheme="majorEastAsia" w:hAnsiTheme="majorHAnsi" w:cstheme="majorBidi"/>
      <w:color w:val="800080"/>
      <w:sz w:val="40"/>
      <w:szCs w:val="36"/>
    </w:rPr>
  </w:style>
  <w:style w:type="paragraph" w:styleId="Heading2">
    <w:name w:val="heading 2"/>
    <w:basedOn w:val="Normal"/>
    <w:next w:val="Normal"/>
    <w:link w:val="Heading2Char"/>
    <w:uiPriority w:val="9"/>
    <w:qFormat/>
    <w:rsid w:val="00206976"/>
    <w:pPr>
      <w:keepNext/>
      <w:keepLines/>
      <w:spacing w:before="240" w:line="276" w:lineRule="auto"/>
      <w:outlineLvl w:val="1"/>
    </w:pPr>
    <w:rPr>
      <w:rFonts w:asciiTheme="majorHAnsi" w:eastAsiaTheme="majorEastAsia" w:hAnsiTheme="majorHAnsi" w:cstheme="majorBidi"/>
      <w:color w:val="800080"/>
      <w:sz w:val="36"/>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FF06FF"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FF06FF"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FF06FF"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FF06FF"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206976"/>
    <w:pPr>
      <w:numPr>
        <w:numId w:val="12"/>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rsid w:val="00206976"/>
    <w:rPr>
      <w:rFonts w:asciiTheme="majorHAnsi" w:eastAsiaTheme="majorEastAsia" w:hAnsiTheme="majorHAnsi" w:cstheme="majorBidi"/>
      <w:color w:val="800080"/>
      <w:sz w:val="40"/>
      <w:szCs w:val="36"/>
    </w:rPr>
  </w:style>
  <w:style w:type="character" w:customStyle="1" w:styleId="Heading2Char">
    <w:name w:val="Heading 2 Char"/>
    <w:basedOn w:val="DefaultParagraphFont"/>
    <w:link w:val="Heading2"/>
    <w:uiPriority w:val="9"/>
    <w:rsid w:val="00206976"/>
    <w:rPr>
      <w:rFonts w:asciiTheme="majorHAnsi" w:eastAsiaTheme="majorEastAsia" w:hAnsiTheme="majorHAnsi" w:cstheme="majorBidi"/>
      <w:color w:val="800080"/>
      <w:sz w:val="36"/>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FF06FF"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FF06FF"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FF06FF"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FF06FF"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DF00DF"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80008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206976"/>
    <w:pPr>
      <w:pBdr>
        <w:left w:val="single" w:sz="36" w:space="12" w:color="800080"/>
      </w:pBdr>
      <w:spacing w:before="240" w:after="240" w:line="252" w:lineRule="auto"/>
      <w:ind w:left="340" w:right="862"/>
    </w:pPr>
    <w:rPr>
      <w:iCs/>
    </w:rPr>
  </w:style>
  <w:style w:type="character" w:customStyle="1" w:styleId="QuoteChar">
    <w:name w:val="Quote Char"/>
    <w:basedOn w:val="DefaultParagraphFont"/>
    <w:link w:val="Quote"/>
    <w:uiPriority w:val="29"/>
    <w:rsid w:val="00206976"/>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FF3FFF" w:themeColor="text1" w:themeTint="80"/>
        <w:bottom w:val="single" w:sz="4" w:space="0" w:color="FF3FFF" w:themeColor="text1" w:themeTint="80"/>
      </w:tblBorders>
      <w:tblCellMar>
        <w:top w:w="113" w:type="dxa"/>
        <w:bottom w:w="113" w:type="dxa"/>
      </w:tblCellMar>
    </w:tblPr>
    <w:tblStylePr w:type="firstRow">
      <w:rPr>
        <w:b/>
        <w:bCs/>
      </w:rPr>
      <w:tblPr/>
      <w:tcPr>
        <w:tcBorders>
          <w:bottom w:val="single" w:sz="4" w:space="0" w:color="FF3FFF" w:themeColor="text1" w:themeTint="80"/>
        </w:tcBorders>
      </w:tcPr>
    </w:tblStylePr>
    <w:tblStylePr w:type="lastRow">
      <w:rPr>
        <w:b/>
        <w:bCs/>
      </w:rPr>
      <w:tblPr/>
      <w:tcPr>
        <w:tcBorders>
          <w:top w:val="single" w:sz="4" w:space="0" w:color="FF3FFF" w:themeColor="text1" w:themeTint="80"/>
        </w:tcBorders>
      </w:tcPr>
    </w:tblStylePr>
    <w:tblStylePr w:type="firstCol">
      <w:rPr>
        <w:b/>
        <w:bCs/>
      </w:rPr>
    </w:tblStylePr>
    <w:tblStylePr w:type="lastCol">
      <w:rPr>
        <w:b/>
        <w:bCs/>
      </w:rPr>
    </w:tblStylePr>
    <w:tblStylePr w:type="band1Vert">
      <w:tblPr/>
      <w:tcPr>
        <w:tcBorders>
          <w:left w:val="single" w:sz="4" w:space="0" w:color="FF3FFF" w:themeColor="text1" w:themeTint="80"/>
          <w:right w:val="single" w:sz="4" w:space="0" w:color="FF3FFF" w:themeColor="text1" w:themeTint="80"/>
        </w:tcBorders>
      </w:tcPr>
    </w:tblStylePr>
    <w:tblStylePr w:type="band2Vert">
      <w:tblPr/>
      <w:tcPr>
        <w:tcBorders>
          <w:left w:val="single" w:sz="4" w:space="0" w:color="FF3FFF" w:themeColor="text1" w:themeTint="80"/>
          <w:right w:val="single" w:sz="4" w:space="0" w:color="FF3FFF" w:themeColor="text1" w:themeTint="80"/>
        </w:tcBorders>
      </w:tcPr>
    </w:tblStylePr>
    <w:tblStylePr w:type="band1Horz">
      <w:tblPr/>
      <w:tcPr>
        <w:tcBorders>
          <w:top w:val="single" w:sz="4" w:space="0" w:color="FF3FFF" w:themeColor="text1" w:themeTint="80"/>
          <w:bottom w:val="single" w:sz="4" w:space="0" w:color="FF3F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insideV w:val="single" w:sz="4" w:space="0" w:color="FF19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2FF" w:themeFill="text1" w:themeFillTint="33"/>
      </w:tcPr>
    </w:tblStylePr>
    <w:tblStylePr w:type="band1Horz">
      <w:tblPr/>
      <w:tcPr>
        <w:shd w:val="clear" w:color="auto" w:fill="FFB2FF" w:themeFill="text1" w:themeFillTint="33"/>
      </w:tcPr>
    </w:tblStylePr>
    <w:tblStylePr w:type="neCell">
      <w:tblPr/>
      <w:tcPr>
        <w:tcBorders>
          <w:bottom w:val="single" w:sz="4" w:space="0" w:color="FF19FF" w:themeColor="text1" w:themeTint="99"/>
        </w:tcBorders>
      </w:tcPr>
    </w:tblStylePr>
    <w:tblStylePr w:type="nwCell">
      <w:tblPr/>
      <w:tcPr>
        <w:tcBorders>
          <w:bottom w:val="single" w:sz="4" w:space="0" w:color="FF19FF" w:themeColor="text1" w:themeTint="99"/>
        </w:tcBorders>
      </w:tcPr>
    </w:tblStylePr>
    <w:tblStylePr w:type="seCell">
      <w:tblPr/>
      <w:tcPr>
        <w:tcBorders>
          <w:top w:val="single" w:sz="4" w:space="0" w:color="FF19FF" w:themeColor="text1" w:themeTint="99"/>
        </w:tcBorders>
      </w:tcPr>
    </w:tblStylePr>
    <w:tblStylePr w:type="swCell">
      <w:tblPr/>
      <w:tcPr>
        <w:tcBorders>
          <w:top w:val="single" w:sz="4" w:space="0" w:color="FF19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184A46"/>
    <w:pPr>
      <w:framePr w:hSpace="181" w:wrap="around" w:vAnchor="text" w:hAnchor="text" w:y="1"/>
      <w:spacing w:after="240" w:line="240" w:lineRule="auto"/>
      <w:suppressOverlap/>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84A46"/>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4C04FB"/>
    <w:pPr>
      <w:framePr w:hSpace="181" w:wrap="around" w:vAnchor="text" w:hAnchor="text" w:y="1"/>
      <w:numPr>
        <w:ilvl w:val="1"/>
      </w:numPr>
      <w:spacing w:after="160"/>
      <w:suppressOverlap/>
    </w:pPr>
    <w:rPr>
      <w:b/>
      <w:color w:val="FFFFFF" w:themeColor="background1"/>
      <w:spacing w:val="15"/>
      <w:sz w:val="28"/>
      <w:szCs w:val="22"/>
    </w:rPr>
  </w:style>
  <w:style w:type="character" w:customStyle="1" w:styleId="SubtitleChar">
    <w:name w:val="Subtitle Char"/>
    <w:basedOn w:val="DefaultParagraphFont"/>
    <w:link w:val="Subtitle"/>
    <w:uiPriority w:val="11"/>
    <w:rsid w:val="004C04FB"/>
    <w:rPr>
      <w:b/>
      <w:color w:val="FFFFFF" w:themeColor="background1"/>
      <w:spacing w:val="15"/>
      <w:sz w:val="28"/>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06976"/>
    <w:pPr>
      <w:pBdr>
        <w:bottom w:val="single" w:sz="4" w:space="1" w:color="800080" w:themeColor="text1"/>
      </w:pBdr>
      <w:spacing w:after="240"/>
    </w:pPr>
    <w:rPr>
      <w:color w:val="800080"/>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locked/>
    <w:rsid w:val="00184A46"/>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AE7EA6"/>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tblBorders>
      <w:tblCellMar>
        <w:top w:w="113" w:type="dxa"/>
        <w:bottom w:w="113" w:type="dxa"/>
      </w:tblCellMar>
    </w:tblPr>
    <w:tblStylePr w:type="firstRow">
      <w:rPr>
        <w:b/>
        <w:bCs/>
        <w:color w:val="FFFFFF" w:themeColor="background1"/>
      </w:rPr>
      <w:tblPr/>
      <w:tcPr>
        <w:tcBorders>
          <w:top w:val="single" w:sz="4" w:space="0" w:color="800080" w:themeColor="text1"/>
          <w:left w:val="single" w:sz="4" w:space="0" w:color="800080" w:themeColor="text1"/>
          <w:bottom w:val="single" w:sz="4" w:space="0" w:color="800080" w:themeColor="text1"/>
          <w:right w:val="single" w:sz="4" w:space="0" w:color="800080" w:themeColor="text1"/>
          <w:insideH w:val="nil"/>
        </w:tcBorders>
        <w:shd w:val="clear" w:color="auto" w:fill="800080" w:themeFill="text1"/>
      </w:tcPr>
    </w:tblStylePr>
    <w:tblStylePr w:type="lastRow">
      <w:rPr>
        <w:b/>
        <w:bCs/>
      </w:rPr>
      <w:tblPr/>
      <w:tcPr>
        <w:tcBorders>
          <w:top w:val="double" w:sz="4" w:space="0" w:color="FF19FF" w:themeColor="text1" w:themeTint="99"/>
        </w:tcBorders>
      </w:tcPr>
    </w:tblStylePr>
    <w:tblStylePr w:type="firstCol">
      <w:rPr>
        <w:b/>
        <w:bCs/>
      </w:rPr>
    </w:tblStylePr>
    <w:tblStylePr w:type="lastCol">
      <w:rPr>
        <w:b/>
        <w:bCs/>
      </w:rPr>
    </w:tblStylePr>
    <w:tblStylePr w:type="band1Vert">
      <w:tblPr/>
      <w:tcPr>
        <w:shd w:val="clear" w:color="auto" w:fill="FFB2FF" w:themeFill="text1" w:themeFillTint="33"/>
      </w:tcPr>
    </w:tblStylePr>
    <w:tblStylePr w:type="band1Horz">
      <w:tblPr/>
      <w:tcPr>
        <w:shd w:val="clear" w:color="auto" w:fill="FFB2FF" w:themeFill="text1" w:themeFillTint="33"/>
      </w:tcPr>
    </w:tblStylePr>
  </w:style>
  <w:style w:type="character" w:customStyle="1" w:styleId="bold">
    <w:name w:val="bold"/>
    <w:basedOn w:val="DefaultParagraphFont"/>
    <w:uiPriority w:val="1"/>
    <w:qFormat/>
    <w:rsid w:val="00B4639B"/>
    <w:rPr>
      <w:b/>
    </w:rPr>
  </w:style>
  <w:style w:type="paragraph" w:styleId="FootnoteText">
    <w:name w:val="footnote text"/>
    <w:basedOn w:val="Normal"/>
    <w:link w:val="FootnoteTextChar"/>
    <w:uiPriority w:val="99"/>
    <w:semiHidden/>
    <w:unhideWhenUsed/>
    <w:locked/>
    <w:rsid w:val="005404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043C"/>
    <w:rPr>
      <w:sz w:val="20"/>
      <w:szCs w:val="20"/>
    </w:rPr>
  </w:style>
  <w:style w:type="character" w:styleId="FootnoteReference">
    <w:name w:val="footnote reference"/>
    <w:basedOn w:val="DefaultParagraphFont"/>
    <w:uiPriority w:val="99"/>
    <w:locked/>
    <w:rsid w:val="0054043C"/>
    <w:rPr>
      <w:vertAlign w:val="superscript"/>
    </w:rPr>
  </w:style>
  <w:style w:type="table" w:customStyle="1" w:styleId="TableGrid1">
    <w:name w:val="Table Grid1"/>
    <w:basedOn w:val="TableNormal"/>
    <w:next w:val="TableGrid"/>
    <w:uiPriority w:val="39"/>
    <w:rsid w:val="00B71C94"/>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4BEE"/>
    <w:rPr>
      <w:color w:val="605E5C"/>
      <w:shd w:val="clear" w:color="auto" w:fill="E1DFDD"/>
    </w:rPr>
  </w:style>
  <w:style w:type="character" w:styleId="CommentReference">
    <w:name w:val="annotation reference"/>
    <w:basedOn w:val="DefaultParagraphFont"/>
    <w:uiPriority w:val="99"/>
    <w:semiHidden/>
    <w:unhideWhenUsed/>
    <w:locked/>
    <w:rsid w:val="001F3BDA"/>
    <w:rPr>
      <w:sz w:val="16"/>
      <w:szCs w:val="16"/>
    </w:rPr>
  </w:style>
  <w:style w:type="paragraph" w:styleId="CommentText">
    <w:name w:val="annotation text"/>
    <w:basedOn w:val="Normal"/>
    <w:link w:val="CommentTextChar"/>
    <w:uiPriority w:val="99"/>
    <w:semiHidden/>
    <w:unhideWhenUsed/>
    <w:locked/>
    <w:rsid w:val="001F3BDA"/>
    <w:pPr>
      <w:spacing w:line="240" w:lineRule="auto"/>
    </w:pPr>
    <w:rPr>
      <w:sz w:val="20"/>
      <w:szCs w:val="20"/>
    </w:rPr>
  </w:style>
  <w:style w:type="character" w:customStyle="1" w:styleId="CommentTextChar">
    <w:name w:val="Comment Text Char"/>
    <w:basedOn w:val="DefaultParagraphFont"/>
    <w:link w:val="CommentText"/>
    <w:uiPriority w:val="99"/>
    <w:semiHidden/>
    <w:rsid w:val="001F3BDA"/>
    <w:rPr>
      <w:sz w:val="20"/>
      <w:szCs w:val="20"/>
    </w:rPr>
  </w:style>
  <w:style w:type="paragraph" w:styleId="CommentSubject">
    <w:name w:val="annotation subject"/>
    <w:basedOn w:val="CommentText"/>
    <w:next w:val="CommentText"/>
    <w:link w:val="CommentSubjectChar"/>
    <w:uiPriority w:val="99"/>
    <w:semiHidden/>
    <w:unhideWhenUsed/>
    <w:locked/>
    <w:rsid w:val="001F3BDA"/>
    <w:rPr>
      <w:b/>
      <w:bCs/>
    </w:rPr>
  </w:style>
  <w:style w:type="character" w:customStyle="1" w:styleId="CommentSubjectChar">
    <w:name w:val="Comment Subject Char"/>
    <w:basedOn w:val="CommentTextChar"/>
    <w:link w:val="CommentSubject"/>
    <w:uiPriority w:val="99"/>
    <w:semiHidden/>
    <w:rsid w:val="001F3B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20764">
      <w:bodyDiv w:val="1"/>
      <w:marLeft w:val="0"/>
      <w:marRight w:val="0"/>
      <w:marTop w:val="0"/>
      <w:marBottom w:val="0"/>
      <w:divBdr>
        <w:top w:val="none" w:sz="0" w:space="0" w:color="auto"/>
        <w:left w:val="none" w:sz="0" w:space="0" w:color="auto"/>
        <w:bottom w:val="none" w:sz="0" w:space="0" w:color="auto"/>
        <w:right w:val="none" w:sz="0" w:space="0" w:color="auto"/>
      </w:divBdr>
      <w:divsChild>
        <w:div w:id="19863764">
          <w:marLeft w:val="1080"/>
          <w:marRight w:val="0"/>
          <w:marTop w:val="100"/>
          <w:marBottom w:val="0"/>
          <w:divBdr>
            <w:top w:val="none" w:sz="0" w:space="0" w:color="auto"/>
            <w:left w:val="none" w:sz="0" w:space="0" w:color="auto"/>
            <w:bottom w:val="none" w:sz="0" w:space="0" w:color="auto"/>
            <w:right w:val="none" w:sz="0" w:space="0" w:color="auto"/>
          </w:divBdr>
        </w:div>
        <w:div w:id="434715681">
          <w:marLeft w:val="1080"/>
          <w:marRight w:val="0"/>
          <w:marTop w:val="100"/>
          <w:marBottom w:val="0"/>
          <w:divBdr>
            <w:top w:val="none" w:sz="0" w:space="0" w:color="auto"/>
            <w:left w:val="none" w:sz="0" w:space="0" w:color="auto"/>
            <w:bottom w:val="none" w:sz="0" w:space="0" w:color="auto"/>
            <w:right w:val="none" w:sz="0" w:space="0" w:color="auto"/>
          </w:divBdr>
        </w:div>
        <w:div w:id="642581759">
          <w:marLeft w:val="1080"/>
          <w:marRight w:val="0"/>
          <w:marTop w:val="100"/>
          <w:marBottom w:val="0"/>
          <w:divBdr>
            <w:top w:val="none" w:sz="0" w:space="0" w:color="auto"/>
            <w:left w:val="none" w:sz="0" w:space="0" w:color="auto"/>
            <w:bottom w:val="none" w:sz="0" w:space="0" w:color="auto"/>
            <w:right w:val="none" w:sz="0" w:space="0" w:color="auto"/>
          </w:divBdr>
        </w:div>
        <w:div w:id="1037050218">
          <w:marLeft w:val="1080"/>
          <w:marRight w:val="0"/>
          <w:marTop w:val="100"/>
          <w:marBottom w:val="0"/>
          <w:divBdr>
            <w:top w:val="none" w:sz="0" w:space="0" w:color="auto"/>
            <w:left w:val="none" w:sz="0" w:space="0" w:color="auto"/>
            <w:bottom w:val="none" w:sz="0" w:space="0" w:color="auto"/>
            <w:right w:val="none" w:sz="0" w:space="0" w:color="auto"/>
          </w:divBdr>
        </w:div>
        <w:div w:id="1041982393">
          <w:marLeft w:val="1080"/>
          <w:marRight w:val="0"/>
          <w:marTop w:val="100"/>
          <w:marBottom w:val="0"/>
          <w:divBdr>
            <w:top w:val="none" w:sz="0" w:space="0" w:color="auto"/>
            <w:left w:val="none" w:sz="0" w:space="0" w:color="auto"/>
            <w:bottom w:val="none" w:sz="0" w:space="0" w:color="auto"/>
            <w:right w:val="none" w:sz="0" w:space="0" w:color="auto"/>
          </w:divBdr>
        </w:div>
        <w:div w:id="1215003246">
          <w:marLeft w:val="1080"/>
          <w:marRight w:val="0"/>
          <w:marTop w:val="100"/>
          <w:marBottom w:val="0"/>
          <w:divBdr>
            <w:top w:val="none" w:sz="0" w:space="0" w:color="auto"/>
            <w:left w:val="none" w:sz="0" w:space="0" w:color="auto"/>
            <w:bottom w:val="none" w:sz="0" w:space="0" w:color="auto"/>
            <w:right w:val="none" w:sz="0" w:space="0" w:color="auto"/>
          </w:divBdr>
        </w:div>
        <w:div w:id="1276445763">
          <w:marLeft w:val="360"/>
          <w:marRight w:val="0"/>
          <w:marTop w:val="200"/>
          <w:marBottom w:val="0"/>
          <w:divBdr>
            <w:top w:val="none" w:sz="0" w:space="0" w:color="auto"/>
            <w:left w:val="none" w:sz="0" w:space="0" w:color="auto"/>
            <w:bottom w:val="none" w:sz="0" w:space="0" w:color="auto"/>
            <w:right w:val="none" w:sz="0" w:space="0" w:color="auto"/>
          </w:divBdr>
        </w:div>
        <w:div w:id="1498184081">
          <w:marLeft w:val="1080"/>
          <w:marRight w:val="0"/>
          <w:marTop w:val="100"/>
          <w:marBottom w:val="0"/>
          <w:divBdr>
            <w:top w:val="none" w:sz="0" w:space="0" w:color="auto"/>
            <w:left w:val="none" w:sz="0" w:space="0" w:color="auto"/>
            <w:bottom w:val="none" w:sz="0" w:space="0" w:color="auto"/>
            <w:right w:val="none" w:sz="0" w:space="0" w:color="auto"/>
          </w:divBdr>
        </w:div>
        <w:div w:id="1546527258">
          <w:marLeft w:val="1080"/>
          <w:marRight w:val="0"/>
          <w:marTop w:val="100"/>
          <w:marBottom w:val="0"/>
          <w:divBdr>
            <w:top w:val="none" w:sz="0" w:space="0" w:color="auto"/>
            <w:left w:val="none" w:sz="0" w:space="0" w:color="auto"/>
            <w:bottom w:val="none" w:sz="0" w:space="0" w:color="auto"/>
            <w:right w:val="none" w:sz="0" w:space="0" w:color="auto"/>
          </w:divBdr>
        </w:div>
        <w:div w:id="1700089010">
          <w:marLeft w:val="1080"/>
          <w:marRight w:val="0"/>
          <w:marTop w:val="100"/>
          <w:marBottom w:val="0"/>
          <w:divBdr>
            <w:top w:val="none" w:sz="0" w:space="0" w:color="auto"/>
            <w:left w:val="none" w:sz="0" w:space="0" w:color="auto"/>
            <w:bottom w:val="none" w:sz="0" w:space="0" w:color="auto"/>
            <w:right w:val="none" w:sz="0" w:space="0" w:color="auto"/>
          </w:divBdr>
        </w:div>
        <w:div w:id="1768231368">
          <w:marLeft w:val="1080"/>
          <w:marRight w:val="0"/>
          <w:marTop w:val="100"/>
          <w:marBottom w:val="0"/>
          <w:divBdr>
            <w:top w:val="none" w:sz="0" w:space="0" w:color="auto"/>
            <w:left w:val="none" w:sz="0" w:space="0" w:color="auto"/>
            <w:bottom w:val="none" w:sz="0" w:space="0" w:color="auto"/>
            <w:right w:val="none" w:sz="0" w:space="0" w:color="auto"/>
          </w:divBdr>
        </w:div>
        <w:div w:id="1807163226">
          <w:marLeft w:val="360"/>
          <w:marRight w:val="0"/>
          <w:marTop w:val="200"/>
          <w:marBottom w:val="0"/>
          <w:divBdr>
            <w:top w:val="none" w:sz="0" w:space="0" w:color="auto"/>
            <w:left w:val="none" w:sz="0" w:space="0" w:color="auto"/>
            <w:bottom w:val="none" w:sz="0" w:space="0" w:color="auto"/>
            <w:right w:val="none" w:sz="0" w:space="0" w:color="auto"/>
          </w:divBdr>
        </w:div>
        <w:div w:id="1983270394">
          <w:marLeft w:val="1080"/>
          <w:marRight w:val="0"/>
          <w:marTop w:val="100"/>
          <w:marBottom w:val="0"/>
          <w:divBdr>
            <w:top w:val="none" w:sz="0" w:space="0" w:color="auto"/>
            <w:left w:val="none" w:sz="0" w:space="0" w:color="auto"/>
            <w:bottom w:val="none" w:sz="0" w:space="0" w:color="auto"/>
            <w:right w:val="none" w:sz="0" w:space="0" w:color="auto"/>
          </w:divBdr>
        </w:div>
      </w:divsChild>
    </w:div>
    <w:div w:id="231356521">
      <w:bodyDiv w:val="1"/>
      <w:marLeft w:val="0"/>
      <w:marRight w:val="0"/>
      <w:marTop w:val="0"/>
      <w:marBottom w:val="0"/>
      <w:divBdr>
        <w:top w:val="none" w:sz="0" w:space="0" w:color="auto"/>
        <w:left w:val="none" w:sz="0" w:space="0" w:color="auto"/>
        <w:bottom w:val="none" w:sz="0" w:space="0" w:color="auto"/>
        <w:right w:val="none" w:sz="0" w:space="0" w:color="auto"/>
      </w:divBdr>
      <w:divsChild>
        <w:div w:id="106703811">
          <w:marLeft w:val="1080"/>
          <w:marRight w:val="0"/>
          <w:marTop w:val="100"/>
          <w:marBottom w:val="0"/>
          <w:divBdr>
            <w:top w:val="none" w:sz="0" w:space="0" w:color="auto"/>
            <w:left w:val="none" w:sz="0" w:space="0" w:color="auto"/>
            <w:bottom w:val="none" w:sz="0" w:space="0" w:color="auto"/>
            <w:right w:val="none" w:sz="0" w:space="0" w:color="auto"/>
          </w:divBdr>
        </w:div>
        <w:div w:id="478155567">
          <w:marLeft w:val="1080"/>
          <w:marRight w:val="0"/>
          <w:marTop w:val="100"/>
          <w:marBottom w:val="0"/>
          <w:divBdr>
            <w:top w:val="none" w:sz="0" w:space="0" w:color="auto"/>
            <w:left w:val="none" w:sz="0" w:space="0" w:color="auto"/>
            <w:bottom w:val="none" w:sz="0" w:space="0" w:color="auto"/>
            <w:right w:val="none" w:sz="0" w:space="0" w:color="auto"/>
          </w:divBdr>
        </w:div>
        <w:div w:id="488714720">
          <w:marLeft w:val="1080"/>
          <w:marRight w:val="0"/>
          <w:marTop w:val="100"/>
          <w:marBottom w:val="0"/>
          <w:divBdr>
            <w:top w:val="none" w:sz="0" w:space="0" w:color="auto"/>
            <w:left w:val="none" w:sz="0" w:space="0" w:color="auto"/>
            <w:bottom w:val="none" w:sz="0" w:space="0" w:color="auto"/>
            <w:right w:val="none" w:sz="0" w:space="0" w:color="auto"/>
          </w:divBdr>
        </w:div>
        <w:div w:id="643778478">
          <w:marLeft w:val="1080"/>
          <w:marRight w:val="0"/>
          <w:marTop w:val="100"/>
          <w:marBottom w:val="0"/>
          <w:divBdr>
            <w:top w:val="none" w:sz="0" w:space="0" w:color="auto"/>
            <w:left w:val="none" w:sz="0" w:space="0" w:color="auto"/>
            <w:bottom w:val="none" w:sz="0" w:space="0" w:color="auto"/>
            <w:right w:val="none" w:sz="0" w:space="0" w:color="auto"/>
          </w:divBdr>
        </w:div>
        <w:div w:id="950430984">
          <w:marLeft w:val="1080"/>
          <w:marRight w:val="0"/>
          <w:marTop w:val="100"/>
          <w:marBottom w:val="0"/>
          <w:divBdr>
            <w:top w:val="none" w:sz="0" w:space="0" w:color="auto"/>
            <w:left w:val="none" w:sz="0" w:space="0" w:color="auto"/>
            <w:bottom w:val="none" w:sz="0" w:space="0" w:color="auto"/>
            <w:right w:val="none" w:sz="0" w:space="0" w:color="auto"/>
          </w:divBdr>
        </w:div>
        <w:div w:id="1027949219">
          <w:marLeft w:val="360"/>
          <w:marRight w:val="0"/>
          <w:marTop w:val="200"/>
          <w:marBottom w:val="0"/>
          <w:divBdr>
            <w:top w:val="none" w:sz="0" w:space="0" w:color="auto"/>
            <w:left w:val="none" w:sz="0" w:space="0" w:color="auto"/>
            <w:bottom w:val="none" w:sz="0" w:space="0" w:color="auto"/>
            <w:right w:val="none" w:sz="0" w:space="0" w:color="auto"/>
          </w:divBdr>
        </w:div>
        <w:div w:id="1048257733">
          <w:marLeft w:val="1080"/>
          <w:marRight w:val="0"/>
          <w:marTop w:val="100"/>
          <w:marBottom w:val="0"/>
          <w:divBdr>
            <w:top w:val="none" w:sz="0" w:space="0" w:color="auto"/>
            <w:left w:val="none" w:sz="0" w:space="0" w:color="auto"/>
            <w:bottom w:val="none" w:sz="0" w:space="0" w:color="auto"/>
            <w:right w:val="none" w:sz="0" w:space="0" w:color="auto"/>
          </w:divBdr>
        </w:div>
        <w:div w:id="1052315017">
          <w:marLeft w:val="1080"/>
          <w:marRight w:val="0"/>
          <w:marTop w:val="100"/>
          <w:marBottom w:val="0"/>
          <w:divBdr>
            <w:top w:val="none" w:sz="0" w:space="0" w:color="auto"/>
            <w:left w:val="none" w:sz="0" w:space="0" w:color="auto"/>
            <w:bottom w:val="none" w:sz="0" w:space="0" w:color="auto"/>
            <w:right w:val="none" w:sz="0" w:space="0" w:color="auto"/>
          </w:divBdr>
        </w:div>
        <w:div w:id="1070468316">
          <w:marLeft w:val="1080"/>
          <w:marRight w:val="0"/>
          <w:marTop w:val="100"/>
          <w:marBottom w:val="0"/>
          <w:divBdr>
            <w:top w:val="none" w:sz="0" w:space="0" w:color="auto"/>
            <w:left w:val="none" w:sz="0" w:space="0" w:color="auto"/>
            <w:bottom w:val="none" w:sz="0" w:space="0" w:color="auto"/>
            <w:right w:val="none" w:sz="0" w:space="0" w:color="auto"/>
          </w:divBdr>
        </w:div>
        <w:div w:id="1138107111">
          <w:marLeft w:val="1080"/>
          <w:marRight w:val="0"/>
          <w:marTop w:val="100"/>
          <w:marBottom w:val="0"/>
          <w:divBdr>
            <w:top w:val="none" w:sz="0" w:space="0" w:color="auto"/>
            <w:left w:val="none" w:sz="0" w:space="0" w:color="auto"/>
            <w:bottom w:val="none" w:sz="0" w:space="0" w:color="auto"/>
            <w:right w:val="none" w:sz="0" w:space="0" w:color="auto"/>
          </w:divBdr>
        </w:div>
        <w:div w:id="1230506656">
          <w:marLeft w:val="1080"/>
          <w:marRight w:val="0"/>
          <w:marTop w:val="100"/>
          <w:marBottom w:val="0"/>
          <w:divBdr>
            <w:top w:val="none" w:sz="0" w:space="0" w:color="auto"/>
            <w:left w:val="none" w:sz="0" w:space="0" w:color="auto"/>
            <w:bottom w:val="none" w:sz="0" w:space="0" w:color="auto"/>
            <w:right w:val="none" w:sz="0" w:space="0" w:color="auto"/>
          </w:divBdr>
        </w:div>
        <w:div w:id="1457025509">
          <w:marLeft w:val="1080"/>
          <w:marRight w:val="0"/>
          <w:marTop w:val="100"/>
          <w:marBottom w:val="0"/>
          <w:divBdr>
            <w:top w:val="none" w:sz="0" w:space="0" w:color="auto"/>
            <w:left w:val="none" w:sz="0" w:space="0" w:color="auto"/>
            <w:bottom w:val="none" w:sz="0" w:space="0" w:color="auto"/>
            <w:right w:val="none" w:sz="0" w:space="0" w:color="auto"/>
          </w:divBdr>
        </w:div>
        <w:div w:id="1860774837">
          <w:marLeft w:val="360"/>
          <w:marRight w:val="0"/>
          <w:marTop w:val="200"/>
          <w:marBottom w:val="0"/>
          <w:divBdr>
            <w:top w:val="none" w:sz="0" w:space="0" w:color="auto"/>
            <w:left w:val="none" w:sz="0" w:space="0" w:color="auto"/>
            <w:bottom w:val="none" w:sz="0" w:space="0" w:color="auto"/>
            <w:right w:val="none" w:sz="0" w:space="0" w:color="auto"/>
          </w:divBdr>
        </w:div>
      </w:divsChild>
    </w:div>
    <w:div w:id="606081414">
      <w:bodyDiv w:val="1"/>
      <w:marLeft w:val="0"/>
      <w:marRight w:val="0"/>
      <w:marTop w:val="0"/>
      <w:marBottom w:val="0"/>
      <w:divBdr>
        <w:top w:val="none" w:sz="0" w:space="0" w:color="auto"/>
        <w:left w:val="none" w:sz="0" w:space="0" w:color="auto"/>
        <w:bottom w:val="none" w:sz="0" w:space="0" w:color="auto"/>
        <w:right w:val="none" w:sz="0" w:space="0" w:color="auto"/>
      </w:divBdr>
      <w:divsChild>
        <w:div w:id="85928684">
          <w:marLeft w:val="3240"/>
          <w:marRight w:val="0"/>
          <w:marTop w:val="100"/>
          <w:marBottom w:val="0"/>
          <w:divBdr>
            <w:top w:val="none" w:sz="0" w:space="0" w:color="auto"/>
            <w:left w:val="none" w:sz="0" w:space="0" w:color="auto"/>
            <w:bottom w:val="none" w:sz="0" w:space="0" w:color="auto"/>
            <w:right w:val="none" w:sz="0" w:space="0" w:color="auto"/>
          </w:divBdr>
        </w:div>
        <w:div w:id="424418365">
          <w:marLeft w:val="360"/>
          <w:marRight w:val="0"/>
          <w:marTop w:val="200"/>
          <w:marBottom w:val="0"/>
          <w:divBdr>
            <w:top w:val="none" w:sz="0" w:space="0" w:color="auto"/>
            <w:left w:val="none" w:sz="0" w:space="0" w:color="auto"/>
            <w:bottom w:val="none" w:sz="0" w:space="0" w:color="auto"/>
            <w:right w:val="none" w:sz="0" w:space="0" w:color="auto"/>
          </w:divBdr>
        </w:div>
        <w:div w:id="835657507">
          <w:marLeft w:val="360"/>
          <w:marRight w:val="0"/>
          <w:marTop w:val="200"/>
          <w:marBottom w:val="0"/>
          <w:divBdr>
            <w:top w:val="none" w:sz="0" w:space="0" w:color="auto"/>
            <w:left w:val="none" w:sz="0" w:space="0" w:color="auto"/>
            <w:bottom w:val="none" w:sz="0" w:space="0" w:color="auto"/>
            <w:right w:val="none" w:sz="0" w:space="0" w:color="auto"/>
          </w:divBdr>
        </w:div>
        <w:div w:id="918830998">
          <w:marLeft w:val="360"/>
          <w:marRight w:val="0"/>
          <w:marTop w:val="200"/>
          <w:marBottom w:val="0"/>
          <w:divBdr>
            <w:top w:val="none" w:sz="0" w:space="0" w:color="auto"/>
            <w:left w:val="none" w:sz="0" w:space="0" w:color="auto"/>
            <w:bottom w:val="none" w:sz="0" w:space="0" w:color="auto"/>
            <w:right w:val="none" w:sz="0" w:space="0" w:color="auto"/>
          </w:divBdr>
        </w:div>
        <w:div w:id="935744514">
          <w:marLeft w:val="360"/>
          <w:marRight w:val="0"/>
          <w:marTop w:val="200"/>
          <w:marBottom w:val="0"/>
          <w:divBdr>
            <w:top w:val="none" w:sz="0" w:space="0" w:color="auto"/>
            <w:left w:val="none" w:sz="0" w:space="0" w:color="auto"/>
            <w:bottom w:val="none" w:sz="0" w:space="0" w:color="auto"/>
            <w:right w:val="none" w:sz="0" w:space="0" w:color="auto"/>
          </w:divBdr>
        </w:div>
        <w:div w:id="1071541415">
          <w:marLeft w:val="3240"/>
          <w:marRight w:val="0"/>
          <w:marTop w:val="100"/>
          <w:marBottom w:val="0"/>
          <w:divBdr>
            <w:top w:val="none" w:sz="0" w:space="0" w:color="auto"/>
            <w:left w:val="none" w:sz="0" w:space="0" w:color="auto"/>
            <w:bottom w:val="none" w:sz="0" w:space="0" w:color="auto"/>
            <w:right w:val="none" w:sz="0" w:space="0" w:color="auto"/>
          </w:divBdr>
        </w:div>
        <w:div w:id="1180121095">
          <w:marLeft w:val="360"/>
          <w:marRight w:val="0"/>
          <w:marTop w:val="200"/>
          <w:marBottom w:val="0"/>
          <w:divBdr>
            <w:top w:val="none" w:sz="0" w:space="0" w:color="auto"/>
            <w:left w:val="none" w:sz="0" w:space="0" w:color="auto"/>
            <w:bottom w:val="none" w:sz="0" w:space="0" w:color="auto"/>
            <w:right w:val="none" w:sz="0" w:space="0" w:color="auto"/>
          </w:divBdr>
        </w:div>
        <w:div w:id="1336615209">
          <w:marLeft w:val="3240"/>
          <w:marRight w:val="0"/>
          <w:marTop w:val="100"/>
          <w:marBottom w:val="0"/>
          <w:divBdr>
            <w:top w:val="none" w:sz="0" w:space="0" w:color="auto"/>
            <w:left w:val="none" w:sz="0" w:space="0" w:color="auto"/>
            <w:bottom w:val="none" w:sz="0" w:space="0" w:color="auto"/>
            <w:right w:val="none" w:sz="0" w:space="0" w:color="auto"/>
          </w:divBdr>
        </w:div>
        <w:div w:id="1433939838">
          <w:marLeft w:val="3240"/>
          <w:marRight w:val="0"/>
          <w:marTop w:val="100"/>
          <w:marBottom w:val="0"/>
          <w:divBdr>
            <w:top w:val="none" w:sz="0" w:space="0" w:color="auto"/>
            <w:left w:val="none" w:sz="0" w:space="0" w:color="auto"/>
            <w:bottom w:val="none" w:sz="0" w:space="0" w:color="auto"/>
            <w:right w:val="none" w:sz="0" w:space="0" w:color="auto"/>
          </w:divBdr>
        </w:div>
        <w:div w:id="1503350374">
          <w:marLeft w:val="360"/>
          <w:marRight w:val="0"/>
          <w:marTop w:val="200"/>
          <w:marBottom w:val="0"/>
          <w:divBdr>
            <w:top w:val="none" w:sz="0" w:space="0" w:color="auto"/>
            <w:left w:val="none" w:sz="0" w:space="0" w:color="auto"/>
            <w:bottom w:val="none" w:sz="0" w:space="0" w:color="auto"/>
            <w:right w:val="none" w:sz="0" w:space="0" w:color="auto"/>
          </w:divBdr>
        </w:div>
        <w:div w:id="2039697991">
          <w:marLeft w:val="360"/>
          <w:marRight w:val="0"/>
          <w:marTop w:val="200"/>
          <w:marBottom w:val="0"/>
          <w:divBdr>
            <w:top w:val="none" w:sz="0" w:space="0" w:color="auto"/>
            <w:left w:val="none" w:sz="0" w:space="0" w:color="auto"/>
            <w:bottom w:val="none" w:sz="0" w:space="0" w:color="auto"/>
            <w:right w:val="none" w:sz="0" w:space="0" w:color="auto"/>
          </w:divBdr>
        </w:div>
      </w:divsChild>
    </w:div>
    <w:div w:id="707609472">
      <w:bodyDiv w:val="1"/>
      <w:marLeft w:val="0"/>
      <w:marRight w:val="0"/>
      <w:marTop w:val="0"/>
      <w:marBottom w:val="0"/>
      <w:divBdr>
        <w:top w:val="none" w:sz="0" w:space="0" w:color="auto"/>
        <w:left w:val="none" w:sz="0" w:space="0" w:color="auto"/>
        <w:bottom w:val="none" w:sz="0" w:space="0" w:color="auto"/>
        <w:right w:val="none" w:sz="0" w:space="0" w:color="auto"/>
      </w:divBdr>
      <w:divsChild>
        <w:div w:id="54861586">
          <w:marLeft w:val="360"/>
          <w:marRight w:val="0"/>
          <w:marTop w:val="200"/>
          <w:marBottom w:val="0"/>
          <w:divBdr>
            <w:top w:val="none" w:sz="0" w:space="0" w:color="auto"/>
            <w:left w:val="none" w:sz="0" w:space="0" w:color="auto"/>
            <w:bottom w:val="none" w:sz="0" w:space="0" w:color="auto"/>
            <w:right w:val="none" w:sz="0" w:space="0" w:color="auto"/>
          </w:divBdr>
        </w:div>
        <w:div w:id="325331529">
          <w:marLeft w:val="360"/>
          <w:marRight w:val="0"/>
          <w:marTop w:val="200"/>
          <w:marBottom w:val="0"/>
          <w:divBdr>
            <w:top w:val="none" w:sz="0" w:space="0" w:color="auto"/>
            <w:left w:val="none" w:sz="0" w:space="0" w:color="auto"/>
            <w:bottom w:val="none" w:sz="0" w:space="0" w:color="auto"/>
            <w:right w:val="none" w:sz="0" w:space="0" w:color="auto"/>
          </w:divBdr>
        </w:div>
        <w:div w:id="433289402">
          <w:marLeft w:val="360"/>
          <w:marRight w:val="0"/>
          <w:marTop w:val="200"/>
          <w:marBottom w:val="0"/>
          <w:divBdr>
            <w:top w:val="none" w:sz="0" w:space="0" w:color="auto"/>
            <w:left w:val="none" w:sz="0" w:space="0" w:color="auto"/>
            <w:bottom w:val="none" w:sz="0" w:space="0" w:color="auto"/>
            <w:right w:val="none" w:sz="0" w:space="0" w:color="auto"/>
          </w:divBdr>
        </w:div>
        <w:div w:id="1424910882">
          <w:marLeft w:val="360"/>
          <w:marRight w:val="0"/>
          <w:marTop w:val="200"/>
          <w:marBottom w:val="0"/>
          <w:divBdr>
            <w:top w:val="none" w:sz="0" w:space="0" w:color="auto"/>
            <w:left w:val="none" w:sz="0" w:space="0" w:color="auto"/>
            <w:bottom w:val="none" w:sz="0" w:space="0" w:color="auto"/>
            <w:right w:val="none" w:sz="0" w:space="0" w:color="auto"/>
          </w:divBdr>
        </w:div>
      </w:divsChild>
    </w:div>
    <w:div w:id="741215864">
      <w:bodyDiv w:val="1"/>
      <w:marLeft w:val="0"/>
      <w:marRight w:val="0"/>
      <w:marTop w:val="0"/>
      <w:marBottom w:val="0"/>
      <w:divBdr>
        <w:top w:val="none" w:sz="0" w:space="0" w:color="auto"/>
        <w:left w:val="none" w:sz="0" w:space="0" w:color="auto"/>
        <w:bottom w:val="none" w:sz="0" w:space="0" w:color="auto"/>
        <w:right w:val="none" w:sz="0" w:space="0" w:color="auto"/>
      </w:divBdr>
    </w:div>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torbay.gov.uk/DemocraticServices/documents/s1729/Review%20of%20Guidance%20on%20PHAAs.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torbay.gov.uk/council/policies/planning-policies/evidence-base-and-monito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Future.Planning@torbay.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torbay.gov.uk/council/policies/planning-policies/local-plan-update/" TargetMode="External"/></Relationships>
</file>

<file path=word/theme/theme1.xml><?xml version="1.0" encoding="utf-8"?>
<a:theme xmlns:a="http://schemas.openxmlformats.org/drawingml/2006/main" name="Office Theme">
  <a:themeElements>
    <a:clrScheme name="Custom 2">
      <a:dk1>
        <a:srgbClr val="800080"/>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3" ma:contentTypeDescription="Create a new document." ma:contentTypeScope="" ma:versionID="c949057315d1d42127ae4dfcd2f67965">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d6a75d12afaca8ac6c0106347905a455"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6D505D-5627-43A2-8634-1A3C4683E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521748-30FC-4C00-9FE6-79C14C4FD702}">
  <ds:schemaRefs>
    <ds:schemaRef ds:uri="http://schemas.microsoft.com/sharepoint/v3/contenttype/forms"/>
  </ds:schemaRefs>
</ds:datastoreItem>
</file>

<file path=customXml/itemProps3.xml><?xml version="1.0" encoding="utf-8"?>
<ds:datastoreItem xmlns:ds="http://schemas.openxmlformats.org/officeDocument/2006/customXml" ds:itemID="{609755DE-89AF-490B-95BC-9ADC4F8AAF10}">
  <ds:schemaRefs>
    <ds:schemaRef ds:uri="http://schemas.openxmlformats.org/officeDocument/2006/bibliography"/>
  </ds:schemaRefs>
</ds:datastoreItem>
</file>

<file path=customXml/itemProps4.xml><?xml version="1.0" encoding="utf-8"?>
<ds:datastoreItem xmlns:ds="http://schemas.openxmlformats.org/officeDocument/2006/customXml" ds:itemID="{8A1AFDA1-692D-4FB6-B391-6DD585C0BD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7703</Words>
  <Characters>43912</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51512</CharactersWithSpaces>
  <SharedDoc>false</SharedDoc>
  <HLinks>
    <vt:vector size="36" baseType="variant">
      <vt:variant>
        <vt:i4>2556018</vt:i4>
      </vt:variant>
      <vt:variant>
        <vt:i4>24</vt:i4>
      </vt:variant>
      <vt:variant>
        <vt:i4>0</vt:i4>
      </vt:variant>
      <vt:variant>
        <vt:i4>5</vt:i4>
      </vt:variant>
      <vt:variant>
        <vt:lpwstr>https://www.torbay.gov.uk/council/policies/planning-policies/local-plan-update/</vt:lpwstr>
      </vt:variant>
      <vt:variant>
        <vt:lpwstr/>
      </vt:variant>
      <vt:variant>
        <vt:i4>73</vt:i4>
      </vt:variant>
      <vt:variant>
        <vt:i4>21</vt:i4>
      </vt:variant>
      <vt:variant>
        <vt:i4>0</vt:i4>
      </vt:variant>
      <vt:variant>
        <vt:i4>5</vt:i4>
      </vt:variant>
      <vt:variant>
        <vt:lpwstr>https://www.torbay.gov.uk/DemocraticServices/documents/s1729/Review of Guidance on PHAAs.pdf</vt:lpwstr>
      </vt:variant>
      <vt:variant>
        <vt:lpwstr/>
      </vt:variant>
      <vt:variant>
        <vt:i4>7209015</vt:i4>
      </vt:variant>
      <vt:variant>
        <vt:i4>18</vt:i4>
      </vt:variant>
      <vt:variant>
        <vt:i4>0</vt:i4>
      </vt:variant>
      <vt:variant>
        <vt:i4>5</vt:i4>
      </vt:variant>
      <vt:variant>
        <vt:lpwstr>https://www.torbay.gov.uk/council/policies/planning-policies/evidence-base-and-monitoring/</vt:lpwstr>
      </vt:variant>
      <vt:variant>
        <vt:lpwstr/>
      </vt:variant>
      <vt:variant>
        <vt:i4>4391022</vt:i4>
      </vt:variant>
      <vt:variant>
        <vt:i4>15</vt:i4>
      </vt:variant>
      <vt:variant>
        <vt:i4>0</vt:i4>
      </vt:variant>
      <vt:variant>
        <vt:i4>5</vt:i4>
      </vt:variant>
      <vt:variant>
        <vt:lpwstr>mailto:Future.Planning@torbay.gov.uk</vt:lpwstr>
      </vt:variant>
      <vt:variant>
        <vt:lpwstr/>
      </vt:variant>
      <vt:variant>
        <vt:i4>1966139</vt:i4>
      </vt:variant>
      <vt:variant>
        <vt:i4>8</vt:i4>
      </vt:variant>
      <vt:variant>
        <vt:i4>0</vt:i4>
      </vt:variant>
      <vt:variant>
        <vt:i4>5</vt:i4>
      </vt:variant>
      <vt:variant>
        <vt:lpwstr/>
      </vt:variant>
      <vt:variant>
        <vt:lpwstr>_Toc92183605</vt:lpwstr>
      </vt:variant>
      <vt:variant>
        <vt:i4>2031675</vt:i4>
      </vt:variant>
      <vt:variant>
        <vt:i4>2</vt:i4>
      </vt:variant>
      <vt:variant>
        <vt:i4>0</vt:i4>
      </vt:variant>
      <vt:variant>
        <vt:i4>5</vt:i4>
      </vt:variant>
      <vt:variant>
        <vt:lpwstr/>
      </vt:variant>
      <vt:variant>
        <vt:lpwstr>_Toc92183604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Pickhaver, David</cp:lastModifiedBy>
  <cp:revision>153</cp:revision>
  <dcterms:created xsi:type="dcterms:W3CDTF">2022-01-13T05:25:00Z</dcterms:created>
  <dcterms:modified xsi:type="dcterms:W3CDTF">2022-01-14T18:10:00Z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