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E407" w14:textId="77777777" w:rsidR="002369A7" w:rsidRDefault="002369A7">
      <w:pPr>
        <w:spacing w:line="264" w:lineRule="auto"/>
        <w:rPr>
          <w:b/>
          <w:noProof/>
        </w:rPr>
      </w:pPr>
      <w:r>
        <w:br w:type="page"/>
      </w:r>
    </w:p>
    <w:sdt>
      <w:sdtPr>
        <w:rPr>
          <w:b/>
          <w:noProof/>
          <w:color w:val="auto"/>
          <w:sz w:val="24"/>
          <w:szCs w:val="21"/>
        </w:rPr>
        <w:id w:val="698511224"/>
        <w:docPartObj>
          <w:docPartGallery w:val="Table of Contents"/>
          <w:docPartUnique/>
        </w:docPartObj>
      </w:sdtPr>
      <w:sdtEndPr/>
      <w:sdtContent>
        <w:p w14:paraId="2A38E408" w14:textId="77777777" w:rsidR="002369A7" w:rsidRPr="00BD41A7" w:rsidRDefault="002369A7" w:rsidP="002369A7">
          <w:pPr>
            <w:pStyle w:val="contentsheading"/>
          </w:pPr>
          <w:r w:rsidRPr="00BD41A7">
            <w:t>Contents</w:t>
          </w:r>
        </w:p>
        <w:p w14:paraId="6CBB34F6" w14:textId="3DACBD9E" w:rsidR="00EA4ABB" w:rsidRDefault="00E05A4C">
          <w:pPr>
            <w:pStyle w:val="TOC1"/>
            <w:rPr>
              <w:b w:val="0"/>
              <w:sz w:val="22"/>
              <w:szCs w:val="22"/>
              <w:lang w:eastAsia="en-GB"/>
            </w:rPr>
          </w:pPr>
          <w:r>
            <w:fldChar w:fldCharType="begin"/>
          </w:r>
          <w:r>
            <w:instrText xml:space="preserve"> TOC \o "1-1" \h \z \u </w:instrText>
          </w:r>
          <w:r>
            <w:fldChar w:fldCharType="separate"/>
          </w:r>
          <w:hyperlink w:anchor="_Toc85624690" w:history="1">
            <w:r w:rsidR="00EA4ABB" w:rsidRPr="0065298F">
              <w:rPr>
                <w:rStyle w:val="Hyperlink"/>
              </w:rPr>
              <w:t>1. Introduction</w:t>
            </w:r>
            <w:r w:rsidR="00EA4ABB">
              <w:rPr>
                <w:webHidden/>
              </w:rPr>
              <w:tab/>
            </w:r>
            <w:r w:rsidR="00EA4ABB">
              <w:rPr>
                <w:webHidden/>
              </w:rPr>
              <w:fldChar w:fldCharType="begin"/>
            </w:r>
            <w:r w:rsidR="00EA4ABB">
              <w:rPr>
                <w:webHidden/>
              </w:rPr>
              <w:instrText xml:space="preserve"> PAGEREF _Toc85624690 \h </w:instrText>
            </w:r>
            <w:r w:rsidR="00EA4ABB">
              <w:rPr>
                <w:webHidden/>
              </w:rPr>
            </w:r>
            <w:r w:rsidR="00EA4ABB">
              <w:rPr>
                <w:webHidden/>
              </w:rPr>
              <w:fldChar w:fldCharType="separate"/>
            </w:r>
            <w:r w:rsidR="00EA4ABB">
              <w:rPr>
                <w:webHidden/>
              </w:rPr>
              <w:t>4</w:t>
            </w:r>
            <w:r w:rsidR="00EA4ABB">
              <w:rPr>
                <w:webHidden/>
              </w:rPr>
              <w:fldChar w:fldCharType="end"/>
            </w:r>
          </w:hyperlink>
        </w:p>
        <w:p w14:paraId="64EBC0E5" w14:textId="51A92A10" w:rsidR="00EA4ABB" w:rsidRDefault="00226CDC">
          <w:pPr>
            <w:pStyle w:val="TOC1"/>
            <w:rPr>
              <w:b w:val="0"/>
              <w:sz w:val="22"/>
              <w:szCs w:val="22"/>
              <w:lang w:eastAsia="en-GB"/>
            </w:rPr>
          </w:pPr>
          <w:hyperlink w:anchor="_Toc85624691" w:history="1">
            <w:r w:rsidR="00EA4ABB" w:rsidRPr="0065298F">
              <w:rPr>
                <w:rStyle w:val="Hyperlink"/>
              </w:rPr>
              <w:t>2. Roles and Responsibilities</w:t>
            </w:r>
            <w:r w:rsidR="00EA4ABB">
              <w:rPr>
                <w:webHidden/>
              </w:rPr>
              <w:tab/>
            </w:r>
            <w:r w:rsidR="00EA4ABB">
              <w:rPr>
                <w:webHidden/>
              </w:rPr>
              <w:fldChar w:fldCharType="begin"/>
            </w:r>
            <w:r w:rsidR="00EA4ABB">
              <w:rPr>
                <w:webHidden/>
              </w:rPr>
              <w:instrText xml:space="preserve"> PAGEREF _Toc85624691 \h </w:instrText>
            </w:r>
            <w:r w:rsidR="00EA4ABB">
              <w:rPr>
                <w:webHidden/>
              </w:rPr>
            </w:r>
            <w:r w:rsidR="00EA4ABB">
              <w:rPr>
                <w:webHidden/>
              </w:rPr>
              <w:fldChar w:fldCharType="separate"/>
            </w:r>
            <w:r w:rsidR="00EA4ABB">
              <w:rPr>
                <w:webHidden/>
              </w:rPr>
              <w:t>4</w:t>
            </w:r>
            <w:r w:rsidR="00EA4ABB">
              <w:rPr>
                <w:webHidden/>
              </w:rPr>
              <w:fldChar w:fldCharType="end"/>
            </w:r>
          </w:hyperlink>
        </w:p>
        <w:p w14:paraId="4353F106" w14:textId="1F94E2F7" w:rsidR="00EA4ABB" w:rsidRDefault="00226CDC">
          <w:pPr>
            <w:pStyle w:val="TOC1"/>
            <w:rPr>
              <w:b w:val="0"/>
              <w:sz w:val="22"/>
              <w:szCs w:val="22"/>
              <w:lang w:eastAsia="en-GB"/>
            </w:rPr>
          </w:pPr>
          <w:hyperlink w:anchor="_Toc85624692" w:history="1">
            <w:r w:rsidR="00EA4ABB" w:rsidRPr="0065298F">
              <w:rPr>
                <w:rStyle w:val="Hyperlink"/>
              </w:rPr>
              <w:t>3. Information Rights under Data Protection Law</w:t>
            </w:r>
            <w:r w:rsidR="00EA4ABB">
              <w:rPr>
                <w:webHidden/>
              </w:rPr>
              <w:tab/>
            </w:r>
            <w:r w:rsidR="00EA4ABB">
              <w:rPr>
                <w:webHidden/>
              </w:rPr>
              <w:fldChar w:fldCharType="begin"/>
            </w:r>
            <w:r w:rsidR="00EA4ABB">
              <w:rPr>
                <w:webHidden/>
              </w:rPr>
              <w:instrText xml:space="preserve"> PAGEREF _Toc85624692 \h </w:instrText>
            </w:r>
            <w:r w:rsidR="00EA4ABB">
              <w:rPr>
                <w:webHidden/>
              </w:rPr>
            </w:r>
            <w:r w:rsidR="00EA4ABB">
              <w:rPr>
                <w:webHidden/>
              </w:rPr>
              <w:fldChar w:fldCharType="separate"/>
            </w:r>
            <w:r w:rsidR="00EA4ABB">
              <w:rPr>
                <w:webHidden/>
              </w:rPr>
              <w:t>5</w:t>
            </w:r>
            <w:r w:rsidR="00EA4ABB">
              <w:rPr>
                <w:webHidden/>
              </w:rPr>
              <w:fldChar w:fldCharType="end"/>
            </w:r>
          </w:hyperlink>
        </w:p>
        <w:p w14:paraId="0652593C" w14:textId="539AF491" w:rsidR="00EA4ABB" w:rsidRDefault="00226CDC">
          <w:pPr>
            <w:pStyle w:val="TOC1"/>
            <w:rPr>
              <w:b w:val="0"/>
              <w:sz w:val="22"/>
              <w:szCs w:val="22"/>
              <w:lang w:eastAsia="en-GB"/>
            </w:rPr>
          </w:pPr>
          <w:hyperlink w:anchor="_Toc85624693" w:history="1">
            <w:r w:rsidR="00EA4ABB" w:rsidRPr="0065298F">
              <w:rPr>
                <w:rStyle w:val="Hyperlink"/>
              </w:rPr>
              <w:t>4. FOI and EIR</w:t>
            </w:r>
            <w:r w:rsidR="00EA4ABB">
              <w:rPr>
                <w:webHidden/>
              </w:rPr>
              <w:tab/>
            </w:r>
            <w:r w:rsidR="00EA4ABB">
              <w:rPr>
                <w:webHidden/>
              </w:rPr>
              <w:fldChar w:fldCharType="begin"/>
            </w:r>
            <w:r w:rsidR="00EA4ABB">
              <w:rPr>
                <w:webHidden/>
              </w:rPr>
              <w:instrText xml:space="preserve"> PAGEREF _Toc85624693 \h </w:instrText>
            </w:r>
            <w:r w:rsidR="00EA4ABB">
              <w:rPr>
                <w:webHidden/>
              </w:rPr>
            </w:r>
            <w:r w:rsidR="00EA4ABB">
              <w:rPr>
                <w:webHidden/>
              </w:rPr>
              <w:fldChar w:fldCharType="separate"/>
            </w:r>
            <w:r w:rsidR="00EA4ABB">
              <w:rPr>
                <w:webHidden/>
              </w:rPr>
              <w:t>11</w:t>
            </w:r>
            <w:r w:rsidR="00EA4ABB">
              <w:rPr>
                <w:webHidden/>
              </w:rPr>
              <w:fldChar w:fldCharType="end"/>
            </w:r>
          </w:hyperlink>
        </w:p>
        <w:p w14:paraId="20361569" w14:textId="7318D0A9" w:rsidR="00EA4ABB" w:rsidRDefault="00226CDC">
          <w:pPr>
            <w:pStyle w:val="TOC1"/>
            <w:rPr>
              <w:b w:val="0"/>
              <w:sz w:val="22"/>
              <w:szCs w:val="22"/>
              <w:lang w:eastAsia="en-GB"/>
            </w:rPr>
          </w:pPr>
          <w:hyperlink w:anchor="_Toc85624694" w:history="1">
            <w:r w:rsidR="00EA4ABB" w:rsidRPr="0065298F">
              <w:rPr>
                <w:rStyle w:val="Hyperlink"/>
              </w:rPr>
              <w:t>5. Complaints and Internal Reviews</w:t>
            </w:r>
            <w:r w:rsidR="00EA4ABB">
              <w:rPr>
                <w:webHidden/>
              </w:rPr>
              <w:tab/>
            </w:r>
            <w:r w:rsidR="00EA4ABB">
              <w:rPr>
                <w:webHidden/>
              </w:rPr>
              <w:fldChar w:fldCharType="begin"/>
            </w:r>
            <w:r w:rsidR="00EA4ABB">
              <w:rPr>
                <w:webHidden/>
              </w:rPr>
              <w:instrText xml:space="preserve"> PAGEREF _Toc85624694 \h </w:instrText>
            </w:r>
            <w:r w:rsidR="00EA4ABB">
              <w:rPr>
                <w:webHidden/>
              </w:rPr>
            </w:r>
            <w:r w:rsidR="00EA4ABB">
              <w:rPr>
                <w:webHidden/>
              </w:rPr>
              <w:fldChar w:fldCharType="separate"/>
            </w:r>
            <w:r w:rsidR="00EA4ABB">
              <w:rPr>
                <w:webHidden/>
              </w:rPr>
              <w:t>15</w:t>
            </w:r>
            <w:r w:rsidR="00EA4ABB">
              <w:rPr>
                <w:webHidden/>
              </w:rPr>
              <w:fldChar w:fldCharType="end"/>
            </w:r>
          </w:hyperlink>
        </w:p>
        <w:p w14:paraId="55E022FA" w14:textId="2BB06C8D" w:rsidR="00EA4ABB" w:rsidRDefault="00226CDC">
          <w:pPr>
            <w:pStyle w:val="TOC1"/>
            <w:rPr>
              <w:b w:val="0"/>
              <w:sz w:val="22"/>
              <w:szCs w:val="22"/>
              <w:lang w:eastAsia="en-GB"/>
            </w:rPr>
          </w:pPr>
          <w:hyperlink w:anchor="_Toc85624695" w:history="1">
            <w:r w:rsidR="00EA4ABB" w:rsidRPr="0065298F">
              <w:rPr>
                <w:rStyle w:val="Hyperlink"/>
              </w:rPr>
              <w:t>6. Monitoring and Review</w:t>
            </w:r>
            <w:r w:rsidR="00EA4ABB">
              <w:rPr>
                <w:webHidden/>
              </w:rPr>
              <w:tab/>
            </w:r>
            <w:r w:rsidR="00EA4ABB">
              <w:rPr>
                <w:webHidden/>
              </w:rPr>
              <w:fldChar w:fldCharType="begin"/>
            </w:r>
            <w:r w:rsidR="00EA4ABB">
              <w:rPr>
                <w:webHidden/>
              </w:rPr>
              <w:instrText xml:space="preserve"> PAGEREF _Toc85624695 \h </w:instrText>
            </w:r>
            <w:r w:rsidR="00EA4ABB">
              <w:rPr>
                <w:webHidden/>
              </w:rPr>
            </w:r>
            <w:r w:rsidR="00EA4ABB">
              <w:rPr>
                <w:webHidden/>
              </w:rPr>
              <w:fldChar w:fldCharType="separate"/>
            </w:r>
            <w:r w:rsidR="00EA4ABB">
              <w:rPr>
                <w:webHidden/>
              </w:rPr>
              <w:t>17</w:t>
            </w:r>
            <w:r w:rsidR="00EA4ABB">
              <w:rPr>
                <w:webHidden/>
              </w:rPr>
              <w:fldChar w:fldCharType="end"/>
            </w:r>
          </w:hyperlink>
        </w:p>
        <w:p w14:paraId="2A38E414" w14:textId="12AAB5C0" w:rsidR="002369A7" w:rsidRDefault="00E05A4C" w:rsidP="002369A7">
          <w:pPr>
            <w:pStyle w:val="TOC1"/>
          </w:pPr>
          <w:r>
            <w:fldChar w:fldCharType="end"/>
          </w:r>
        </w:p>
      </w:sdtContent>
    </w:sdt>
    <w:p w14:paraId="2A38E415" w14:textId="77777777" w:rsidR="009B7227" w:rsidRPr="009B7227" w:rsidRDefault="00E05A4C" w:rsidP="00E05A4C">
      <w:pPr>
        <w:pStyle w:val="largeprinttext"/>
        <w:framePr w:wrap="around"/>
        <w:pBdr>
          <w:top w:val="single" w:sz="4" w:space="12" w:color="auto"/>
        </w:pBdr>
      </w:pPr>
      <w:r w:rsidRPr="005E2D99">
        <w:t xml:space="preserve">This document can be made available in other languages and formats. For more </w:t>
      </w:r>
      <w:proofErr w:type="gramStart"/>
      <w:r w:rsidRPr="005E2D99">
        <w:t>information</w:t>
      </w:r>
      <w:proofErr w:type="gramEnd"/>
      <w:r w:rsidRPr="005E2D99">
        <w:t xml:space="preserve"> please contact </w:t>
      </w:r>
      <w:hyperlink r:id="rId11" w:history="1">
        <w:r w:rsidR="008B41BD" w:rsidRPr="00361693">
          <w:rPr>
            <w:rStyle w:val="Hyperlink"/>
          </w:rPr>
          <w:t>infocompliance@torbay.gov.uk</w:t>
        </w:r>
      </w:hyperlink>
    </w:p>
    <w:p w14:paraId="2A38E416" w14:textId="77777777" w:rsidR="00184A46" w:rsidRPr="00184A46" w:rsidRDefault="003E72CE" w:rsidP="00184A46">
      <w:pPr>
        <w:pStyle w:val="squarebullets"/>
      </w:pPr>
      <w:r>
        <w:br w:type="page"/>
      </w:r>
    </w:p>
    <w:tbl>
      <w:tblPr>
        <w:tblStyle w:val="ListTable4"/>
        <w:tblW w:w="0" w:type="auto"/>
        <w:tblLook w:val="04A0" w:firstRow="1" w:lastRow="0" w:firstColumn="1" w:lastColumn="0" w:noHBand="0" w:noVBand="1"/>
      </w:tblPr>
      <w:tblGrid>
        <w:gridCol w:w="5228"/>
        <w:gridCol w:w="5228"/>
      </w:tblGrid>
      <w:tr w:rsidR="00184A46" w:rsidRPr="00FC4920" w14:paraId="2A38E419" w14:textId="77777777" w:rsidTr="00184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A38E417" w14:textId="77777777" w:rsidR="00184A46" w:rsidRPr="00FC4920" w:rsidRDefault="004524DA" w:rsidP="005F5590">
            <w:r>
              <w:lastRenderedPageBreak/>
              <w:t>Document Control</w:t>
            </w:r>
          </w:p>
        </w:tc>
        <w:tc>
          <w:tcPr>
            <w:tcW w:w="5228" w:type="dxa"/>
          </w:tcPr>
          <w:p w14:paraId="2A38E418" w14:textId="77777777" w:rsidR="00184A46" w:rsidRPr="00FC4920" w:rsidRDefault="00184A46" w:rsidP="005F5590">
            <w:pPr>
              <w:cnfStyle w:val="100000000000" w:firstRow="1" w:lastRow="0" w:firstColumn="0" w:lastColumn="0" w:oddVBand="0" w:evenVBand="0" w:oddHBand="0" w:evenHBand="0" w:firstRowFirstColumn="0" w:firstRowLastColumn="0" w:lastRowFirstColumn="0" w:lastRowLastColumn="0"/>
            </w:pPr>
          </w:p>
        </w:tc>
      </w:tr>
      <w:tr w:rsidR="00184A46" w:rsidRPr="00FC4920" w14:paraId="2A38E41C" w14:textId="77777777" w:rsidTr="0018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A38E41A" w14:textId="77777777" w:rsidR="00184A46" w:rsidRPr="00FC4920" w:rsidRDefault="004524DA" w:rsidP="005F5590">
            <w:r>
              <w:t>Organisation</w:t>
            </w:r>
          </w:p>
        </w:tc>
        <w:tc>
          <w:tcPr>
            <w:tcW w:w="5228" w:type="dxa"/>
          </w:tcPr>
          <w:p w14:paraId="2A38E41B" w14:textId="77777777" w:rsidR="00184A46" w:rsidRPr="00FC4920" w:rsidRDefault="004524DA" w:rsidP="005F5590">
            <w:pPr>
              <w:cnfStyle w:val="000000100000" w:firstRow="0" w:lastRow="0" w:firstColumn="0" w:lastColumn="0" w:oddVBand="0" w:evenVBand="0" w:oddHBand="1" w:evenHBand="0" w:firstRowFirstColumn="0" w:firstRowLastColumn="0" w:lastRowFirstColumn="0" w:lastRowLastColumn="0"/>
            </w:pPr>
            <w:r>
              <w:t>Torbay Council</w:t>
            </w:r>
          </w:p>
        </w:tc>
      </w:tr>
      <w:tr w:rsidR="00184A46" w:rsidRPr="00FC4920" w14:paraId="2A38E41F" w14:textId="77777777" w:rsidTr="00184A46">
        <w:tc>
          <w:tcPr>
            <w:cnfStyle w:val="001000000000" w:firstRow="0" w:lastRow="0" w:firstColumn="1" w:lastColumn="0" w:oddVBand="0" w:evenVBand="0" w:oddHBand="0" w:evenHBand="0" w:firstRowFirstColumn="0" w:firstRowLastColumn="0" w:lastRowFirstColumn="0" w:lastRowLastColumn="0"/>
            <w:tcW w:w="5228" w:type="dxa"/>
          </w:tcPr>
          <w:p w14:paraId="2A38E41D" w14:textId="77777777" w:rsidR="00184A46" w:rsidRPr="00FC4920" w:rsidRDefault="004524DA" w:rsidP="005F5590">
            <w:r>
              <w:t xml:space="preserve">Creator </w:t>
            </w:r>
          </w:p>
        </w:tc>
        <w:tc>
          <w:tcPr>
            <w:tcW w:w="5228" w:type="dxa"/>
          </w:tcPr>
          <w:p w14:paraId="2A38E41E" w14:textId="77777777" w:rsidR="00184A46" w:rsidRPr="00FC4920" w:rsidRDefault="004524DA" w:rsidP="005F5590">
            <w:pPr>
              <w:cnfStyle w:val="000000000000" w:firstRow="0" w:lastRow="0" w:firstColumn="0" w:lastColumn="0" w:oddVBand="0" w:evenVBand="0" w:oddHBand="0" w:evenHBand="0" w:firstRowFirstColumn="0" w:firstRowLastColumn="0" w:lastRowFirstColumn="0" w:lastRowLastColumn="0"/>
            </w:pPr>
            <w:r>
              <w:t xml:space="preserve">Head of Information Governance &amp; DPO </w:t>
            </w:r>
          </w:p>
        </w:tc>
      </w:tr>
      <w:tr w:rsidR="004524DA" w:rsidRPr="00FC4920" w14:paraId="2A38E422" w14:textId="77777777" w:rsidTr="0018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A38E420" w14:textId="77777777" w:rsidR="004524DA" w:rsidRDefault="004524DA" w:rsidP="005F5590">
            <w:r>
              <w:t xml:space="preserve">Approvals </w:t>
            </w:r>
          </w:p>
        </w:tc>
        <w:tc>
          <w:tcPr>
            <w:tcW w:w="5228" w:type="dxa"/>
          </w:tcPr>
          <w:p w14:paraId="2A38E421" w14:textId="77777777" w:rsidR="004524DA" w:rsidRDefault="004524DA" w:rsidP="005F5590">
            <w:pPr>
              <w:cnfStyle w:val="000000100000" w:firstRow="0" w:lastRow="0" w:firstColumn="0" w:lastColumn="0" w:oddVBand="0" w:evenVBand="0" w:oddHBand="1" w:evenHBand="0" w:firstRowFirstColumn="0" w:firstRowLastColumn="0" w:lastRowFirstColumn="0" w:lastRowLastColumn="0"/>
            </w:pPr>
            <w:r>
              <w:t>Information Governance Steering Group</w:t>
            </w:r>
          </w:p>
        </w:tc>
      </w:tr>
      <w:tr w:rsidR="004524DA" w:rsidRPr="00FC4920" w14:paraId="2A38E425" w14:textId="77777777" w:rsidTr="00184A46">
        <w:tc>
          <w:tcPr>
            <w:cnfStyle w:val="001000000000" w:firstRow="0" w:lastRow="0" w:firstColumn="1" w:lastColumn="0" w:oddVBand="0" w:evenVBand="0" w:oddHBand="0" w:evenHBand="0" w:firstRowFirstColumn="0" w:firstRowLastColumn="0" w:lastRowFirstColumn="0" w:lastRowLastColumn="0"/>
            <w:tcW w:w="5228" w:type="dxa"/>
          </w:tcPr>
          <w:p w14:paraId="2A38E423" w14:textId="77777777" w:rsidR="004524DA" w:rsidRDefault="004524DA" w:rsidP="005F5590">
            <w:r>
              <w:t xml:space="preserve">Distribution </w:t>
            </w:r>
          </w:p>
        </w:tc>
        <w:tc>
          <w:tcPr>
            <w:tcW w:w="5228" w:type="dxa"/>
          </w:tcPr>
          <w:p w14:paraId="2A38E424" w14:textId="77777777" w:rsidR="004524DA" w:rsidRDefault="004524DA" w:rsidP="005F5590">
            <w:pPr>
              <w:cnfStyle w:val="000000000000" w:firstRow="0" w:lastRow="0" w:firstColumn="0" w:lastColumn="0" w:oddVBand="0" w:evenVBand="0" w:oddHBand="0" w:evenHBand="0" w:firstRowFirstColumn="0" w:firstRowLastColumn="0" w:lastRowFirstColumn="0" w:lastRowLastColumn="0"/>
            </w:pPr>
            <w:r>
              <w:t xml:space="preserve">Public and Corporate </w:t>
            </w:r>
          </w:p>
        </w:tc>
      </w:tr>
      <w:tr w:rsidR="004524DA" w:rsidRPr="00FC4920" w14:paraId="2A38E428" w14:textId="77777777" w:rsidTr="0018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A38E426" w14:textId="77777777" w:rsidR="004524DA" w:rsidRDefault="004524DA" w:rsidP="005F5590">
            <w:r>
              <w:t xml:space="preserve">Review </w:t>
            </w:r>
          </w:p>
        </w:tc>
        <w:tc>
          <w:tcPr>
            <w:tcW w:w="5228" w:type="dxa"/>
          </w:tcPr>
          <w:p w14:paraId="2A38E427" w14:textId="77777777" w:rsidR="004524DA" w:rsidRDefault="004524DA" w:rsidP="005F5590">
            <w:pPr>
              <w:cnfStyle w:val="000000100000" w:firstRow="0" w:lastRow="0" w:firstColumn="0" w:lastColumn="0" w:oddVBand="0" w:evenVBand="0" w:oddHBand="1" w:evenHBand="0" w:firstRowFirstColumn="0" w:firstRowLastColumn="0" w:lastRowFirstColumn="0" w:lastRowLastColumn="0"/>
            </w:pPr>
            <w:r>
              <w:t xml:space="preserve">2 years </w:t>
            </w:r>
          </w:p>
        </w:tc>
      </w:tr>
    </w:tbl>
    <w:p w14:paraId="2A38E429" w14:textId="77777777" w:rsidR="00184A46" w:rsidRDefault="00184A46" w:rsidP="00184A46"/>
    <w:p w14:paraId="2A38E42A" w14:textId="77777777" w:rsidR="00193278" w:rsidRDefault="00193278" w:rsidP="00A95072">
      <w:pPr>
        <w:pStyle w:val="Heading2"/>
      </w:pPr>
      <w:r>
        <w:t>Document Amendment History</w:t>
      </w:r>
    </w:p>
    <w:tbl>
      <w:tblPr>
        <w:tblW w:w="10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371"/>
        <w:gridCol w:w="2501"/>
        <w:gridCol w:w="1809"/>
        <w:gridCol w:w="4513"/>
      </w:tblGrid>
      <w:tr w:rsidR="00193278" w14:paraId="2A38E42F"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2B" w14:textId="77777777" w:rsidR="00193278" w:rsidRDefault="00A95072" w:rsidP="00193278">
            <w:pPr>
              <w:pStyle w:val="Boldtext"/>
            </w:pPr>
            <w:r>
              <w:t>Version Number</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2C" w14:textId="77777777" w:rsidR="00193278" w:rsidRPr="00193278" w:rsidRDefault="00193278" w:rsidP="00193278">
            <w:pPr>
              <w:pStyle w:val="Boldtext"/>
            </w:pPr>
            <w:r w:rsidRPr="00193278">
              <w:t xml:space="preserve">Originator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2D" w14:textId="77777777" w:rsidR="00193278" w:rsidRPr="00193278" w:rsidRDefault="00193278" w:rsidP="00193278">
            <w:pPr>
              <w:pStyle w:val="Boldtext"/>
            </w:pPr>
            <w:r w:rsidRPr="00193278">
              <w:t xml:space="preserve">Date of Change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2E" w14:textId="77777777" w:rsidR="00193278" w:rsidRPr="00193278" w:rsidRDefault="00193278" w:rsidP="00193278">
            <w:pPr>
              <w:pStyle w:val="Boldtext"/>
            </w:pPr>
            <w:r w:rsidRPr="00193278">
              <w:t>Change description</w:t>
            </w:r>
          </w:p>
        </w:tc>
      </w:tr>
      <w:tr w:rsidR="00193278" w14:paraId="2A38E434"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0" w14:textId="77777777" w:rsidR="00193278" w:rsidRPr="00193278" w:rsidRDefault="00193278" w:rsidP="00193278">
            <w:r w:rsidRPr="00193278">
              <w:t>1.1</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1" w14:textId="77777777" w:rsidR="00193278" w:rsidRPr="00193278" w:rsidRDefault="00193278" w:rsidP="00193278">
            <w:r w:rsidRPr="00193278">
              <w:t xml:space="preserve">Jo Beer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2" w14:textId="7154BAC4" w:rsidR="00193278" w:rsidRPr="00193278" w:rsidRDefault="004C4975" w:rsidP="00193278">
            <w:r>
              <w:t xml:space="preserve">April </w:t>
            </w:r>
            <w:r w:rsidR="00193278" w:rsidRPr="00193278">
              <w:t>2018</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3" w14:textId="77BC7410" w:rsidR="00193278" w:rsidRPr="00193278" w:rsidRDefault="00193278" w:rsidP="00193278">
            <w:r w:rsidRPr="00193278">
              <w:t xml:space="preserve">Policy </w:t>
            </w:r>
            <w:r w:rsidR="00591945">
              <w:t>c</w:t>
            </w:r>
            <w:r w:rsidRPr="00193278">
              <w:t>reation</w:t>
            </w:r>
          </w:p>
        </w:tc>
      </w:tr>
      <w:tr w:rsidR="00193278" w14:paraId="2A38E439"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5" w14:textId="494011FE" w:rsidR="00193278" w:rsidRPr="00193278" w:rsidRDefault="00193278" w:rsidP="00193278">
            <w:r w:rsidRPr="00193278">
              <w:t>1.</w:t>
            </w:r>
            <w:r w:rsidR="006F1894">
              <w:t>2</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6" w14:textId="77777777" w:rsidR="00193278" w:rsidRPr="00193278" w:rsidRDefault="00193278" w:rsidP="00193278">
            <w:r w:rsidRPr="00193278">
              <w:t>Jo Beer</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7" w14:textId="2F2026FD" w:rsidR="00193278" w:rsidRPr="00193278" w:rsidRDefault="006F1894" w:rsidP="00193278">
            <w:r>
              <w:t>August 2018</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8" w14:textId="1791F75A" w:rsidR="00193278" w:rsidRPr="00193278" w:rsidRDefault="00F228B7" w:rsidP="00193278">
            <w:r>
              <w:t>Policy review</w:t>
            </w:r>
          </w:p>
        </w:tc>
      </w:tr>
      <w:tr w:rsidR="00C751CE" w14:paraId="2A38E43E" w14:textId="77777777" w:rsidTr="000C4DB7">
        <w:trPr>
          <w:trHeight w:val="243"/>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A" w14:textId="77777777" w:rsidR="00C751CE" w:rsidRPr="00193278" w:rsidRDefault="00C751CE" w:rsidP="00193278">
            <w:r>
              <w:t>1.3</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B" w14:textId="77777777" w:rsidR="00C751CE" w:rsidRPr="00193278" w:rsidRDefault="00C751CE" w:rsidP="00193278">
            <w:r>
              <w:t>Jo Beer</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C" w14:textId="45C3B1CF" w:rsidR="00C751CE" w:rsidRPr="00193278" w:rsidRDefault="00EA4ABB" w:rsidP="00193278">
            <w:r>
              <w:t>Oct</w:t>
            </w:r>
            <w:r w:rsidR="00C751CE">
              <w:t xml:space="preserve"> 2021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E43D" w14:textId="69EF89F0" w:rsidR="00C751CE" w:rsidRPr="00193278" w:rsidRDefault="00591945" w:rsidP="00193278">
            <w:r>
              <w:t>Policy review</w:t>
            </w:r>
          </w:p>
        </w:tc>
      </w:tr>
    </w:tbl>
    <w:p w14:paraId="2A38E43F" w14:textId="77777777" w:rsidR="002E292E" w:rsidRDefault="002E292E" w:rsidP="00184A46"/>
    <w:p w14:paraId="2A38E440" w14:textId="77777777" w:rsidR="002E292E" w:rsidRDefault="002E292E">
      <w:pPr>
        <w:spacing w:line="264" w:lineRule="auto"/>
      </w:pPr>
      <w:r>
        <w:br w:type="page"/>
      </w:r>
    </w:p>
    <w:p w14:paraId="2A38E441" w14:textId="77777777" w:rsidR="00C94541" w:rsidRPr="00C94541" w:rsidRDefault="00C94541" w:rsidP="00C94541">
      <w:pPr>
        <w:pStyle w:val="Heading1"/>
      </w:pPr>
      <w:bookmarkStart w:id="0" w:name="_Toc85624690"/>
      <w:r>
        <w:lastRenderedPageBreak/>
        <w:t>1. Introduction</w:t>
      </w:r>
      <w:bookmarkEnd w:id="0"/>
    </w:p>
    <w:p w14:paraId="5DA7E14C" w14:textId="35CF4627" w:rsidR="00464396" w:rsidRPr="00464396" w:rsidRDefault="00464396" w:rsidP="00464396">
      <w:bookmarkStart w:id="1" w:name="_Toc513753484"/>
      <w:r w:rsidRPr="00464396">
        <w:t xml:space="preserve">This policy formalises Torbay Council’s (the Council) approach in promoting and facilitating our citizen’s information rights. </w:t>
      </w:r>
      <w:proofErr w:type="gramStart"/>
      <w:r w:rsidRPr="00464396">
        <w:t>In particular, it</w:t>
      </w:r>
      <w:proofErr w:type="gramEnd"/>
      <w:r w:rsidRPr="00464396">
        <w:t xml:space="preserve"> sets out the Council’s commitment to the following principles: </w:t>
      </w:r>
    </w:p>
    <w:p w14:paraId="69142F56" w14:textId="6ACB500F" w:rsidR="00464396" w:rsidRPr="00464396" w:rsidRDefault="00464396" w:rsidP="00700312">
      <w:pPr>
        <w:pStyle w:val="squarebullets"/>
      </w:pPr>
      <w:r w:rsidRPr="00464396">
        <w:t xml:space="preserve">To respect and promote the rights of individuals in accordance with the General Data Protection Regulation (GDPR) and Data Protection Act 2018. </w:t>
      </w:r>
    </w:p>
    <w:p w14:paraId="43EB8347" w14:textId="0F927B91" w:rsidR="00464396" w:rsidRPr="00464396" w:rsidRDefault="00464396" w:rsidP="00700312">
      <w:pPr>
        <w:pStyle w:val="squarebullets"/>
      </w:pPr>
      <w:r w:rsidRPr="00464396">
        <w:t xml:space="preserve">To advise and assist people in exercising their information rights under Data Protection Law in relation to the personal information the Council holds and processes. </w:t>
      </w:r>
    </w:p>
    <w:p w14:paraId="5CE57EAA" w14:textId="68885173" w:rsidR="00464396" w:rsidRPr="00464396" w:rsidRDefault="00464396" w:rsidP="00700312">
      <w:pPr>
        <w:pStyle w:val="squarebullets"/>
      </w:pPr>
      <w:r w:rsidRPr="00464396">
        <w:t>To respect, promote and facilitate rights of individuals in respect of The Freedom of Information Act (FOIA) 2000 and the Environmental Information Regulations (EIR) 2004</w:t>
      </w:r>
    </w:p>
    <w:p w14:paraId="0A977D3D" w14:textId="364632AE" w:rsidR="00464396" w:rsidRPr="00464396" w:rsidRDefault="00464396" w:rsidP="00700312">
      <w:pPr>
        <w:pStyle w:val="squarebullets"/>
      </w:pPr>
      <w:r w:rsidRPr="00464396">
        <w:t xml:space="preserve">To maximise the publication of information through the Council’s Publication Scheme, FOI Disclosure Log and Transparency Code. </w:t>
      </w:r>
    </w:p>
    <w:p w14:paraId="70AC3B8A" w14:textId="77777777" w:rsidR="00464396" w:rsidRPr="00464396" w:rsidRDefault="00464396" w:rsidP="00464396">
      <w:pPr>
        <w:pStyle w:val="squarebullets"/>
      </w:pPr>
      <w:r w:rsidRPr="00464396">
        <w:t xml:space="preserve">To conduct business in an open, </w:t>
      </w:r>
      <w:proofErr w:type="gramStart"/>
      <w:r w:rsidRPr="00464396">
        <w:t>accountable</w:t>
      </w:r>
      <w:proofErr w:type="gramEnd"/>
      <w:r w:rsidRPr="00464396">
        <w:t xml:space="preserve"> and transparent way in order to promote trust in how the Council operates. </w:t>
      </w:r>
    </w:p>
    <w:p w14:paraId="2A38E446" w14:textId="77777777" w:rsidR="00C94541" w:rsidRPr="00C94541" w:rsidRDefault="00C94541" w:rsidP="00C94541">
      <w:pPr>
        <w:pStyle w:val="Heading1"/>
      </w:pPr>
      <w:bookmarkStart w:id="2" w:name="_Toc85624691"/>
      <w:r>
        <w:t xml:space="preserve">2. </w:t>
      </w:r>
      <w:r w:rsidRPr="00C94541">
        <w:t>Roles and Responsibilities</w:t>
      </w:r>
      <w:bookmarkEnd w:id="1"/>
      <w:bookmarkEnd w:id="2"/>
      <w:r w:rsidRPr="00C94541">
        <w:t xml:space="preserve"> </w:t>
      </w:r>
    </w:p>
    <w:p w14:paraId="2A38E447" w14:textId="77777777" w:rsidR="00C94541" w:rsidRPr="003F2FC7" w:rsidRDefault="00C94541" w:rsidP="003F2FC7">
      <w:pPr>
        <w:pStyle w:val="Heading3"/>
      </w:pPr>
      <w:r w:rsidRPr="003F2FC7">
        <w:t>Chief Executive and Senior Leadership Team</w:t>
      </w:r>
    </w:p>
    <w:p w14:paraId="2A38E448" w14:textId="246D814B" w:rsidR="00C94541" w:rsidRDefault="00C94541" w:rsidP="00C94541">
      <w:r w:rsidRPr="00C94541">
        <w:t xml:space="preserve">The Chief Executive and the Senior Leadership Team have ultimate responsibility for ensuring all departments across the Council comply with </w:t>
      </w:r>
      <w:r w:rsidR="008D6F1C">
        <w:t xml:space="preserve">the requirements of access to information </w:t>
      </w:r>
      <w:proofErr w:type="gramStart"/>
      <w:r w:rsidR="008D6F1C">
        <w:t>legislation</w:t>
      </w:r>
      <w:r w:rsidRPr="00C94541">
        <w:t>, and</w:t>
      </w:r>
      <w:proofErr w:type="gramEnd"/>
      <w:r w:rsidRPr="00C94541">
        <w:t xml:space="preserve"> must ensure an effective Council-wide information management approach.  </w:t>
      </w:r>
    </w:p>
    <w:p w14:paraId="2A38E449" w14:textId="77777777" w:rsidR="00C94541" w:rsidRPr="00C94541" w:rsidRDefault="00C94541" w:rsidP="00C94541">
      <w:pPr>
        <w:pStyle w:val="Heading3"/>
      </w:pPr>
      <w:r w:rsidRPr="00C94541">
        <w:t xml:space="preserve">Caldicott Guardian </w:t>
      </w:r>
    </w:p>
    <w:p w14:paraId="2A38E44A" w14:textId="77777777" w:rsidR="00C94541" w:rsidRDefault="00C94541" w:rsidP="00C94541">
      <w:r w:rsidRPr="00C94541">
        <w:t xml:space="preserve">The Caldicott Guardian is a senior officer responsible for protecting the confidentiality of information about our customers as well as enabling appropriate information sharing specifically in relation to information processed by social care services.  </w:t>
      </w:r>
    </w:p>
    <w:p w14:paraId="2A38E44B" w14:textId="77777777" w:rsidR="00C94541" w:rsidRPr="00C94541" w:rsidRDefault="00C94541" w:rsidP="00C94541">
      <w:pPr>
        <w:pStyle w:val="Heading3"/>
      </w:pPr>
      <w:r w:rsidRPr="00C94541">
        <w:t>Senior Information Risk Owner (SIRO)</w:t>
      </w:r>
    </w:p>
    <w:p w14:paraId="2A38E44C" w14:textId="77777777" w:rsidR="00C94541" w:rsidRPr="00C94541" w:rsidRDefault="00C94541" w:rsidP="00C94541">
      <w:r w:rsidRPr="00C94541">
        <w:t xml:space="preserve">The SIRO has ownership of the risks associated with the information assets we hold and should act as an advocate for the organisation's information risk. </w:t>
      </w:r>
    </w:p>
    <w:p w14:paraId="2A38E44D" w14:textId="77777777" w:rsidR="00C94541" w:rsidRPr="00C94541" w:rsidRDefault="00C94541" w:rsidP="00C94541">
      <w:pPr>
        <w:pStyle w:val="Heading3"/>
      </w:pPr>
      <w:r w:rsidRPr="00C94541">
        <w:t>Data Protection Officer (DPO)</w:t>
      </w:r>
    </w:p>
    <w:p w14:paraId="2A38E44E" w14:textId="212A8DE2" w:rsidR="00C94541" w:rsidRDefault="00C94541" w:rsidP="00C94541">
      <w:r w:rsidRPr="00C94541">
        <w:t xml:space="preserve">This is a mandatory requirement for all public </w:t>
      </w:r>
      <w:proofErr w:type="gramStart"/>
      <w:r w:rsidRPr="00C94541">
        <w:t>authorities,</w:t>
      </w:r>
      <w:proofErr w:type="gramEnd"/>
      <w:r w:rsidRPr="00C94541">
        <w:t xml:space="preserve"> therefore we must have in place a Data Protection Officer who is responsible for monitoring our compliance to data protection law and advising the senior leadership team and all staff of their roles and responsibilities. </w:t>
      </w:r>
      <w:r>
        <w:t xml:space="preserve"> </w:t>
      </w:r>
    </w:p>
    <w:p w14:paraId="7891EE17" w14:textId="77777777" w:rsidR="005869F7" w:rsidRDefault="005869F7" w:rsidP="00C94541"/>
    <w:p w14:paraId="2A38E44F" w14:textId="77777777" w:rsidR="00C94541" w:rsidRPr="00C94541" w:rsidRDefault="00C94541" w:rsidP="00C94541">
      <w:pPr>
        <w:pStyle w:val="Heading3"/>
      </w:pPr>
      <w:r w:rsidRPr="00C94541">
        <w:lastRenderedPageBreak/>
        <w:t>Information Governance Team</w:t>
      </w:r>
    </w:p>
    <w:p w14:paraId="2A38E450" w14:textId="36A4F417" w:rsidR="00C94541" w:rsidRPr="00C94541" w:rsidRDefault="00C94541" w:rsidP="00C94541">
      <w:r w:rsidRPr="00C94541">
        <w:t xml:space="preserve">The Information Governance Team supports the Data Protection Officer in ensuring that the Council complies with </w:t>
      </w:r>
      <w:r w:rsidR="00B0492A">
        <w:t>access to information legislation</w:t>
      </w:r>
      <w:r w:rsidRPr="00C94541">
        <w:t xml:space="preserve">. They support the whole Council in ensuring that requests made for information are carried out in accordance with the legislation and local policies. </w:t>
      </w:r>
    </w:p>
    <w:p w14:paraId="2A38E451" w14:textId="67F017F2" w:rsidR="00C94541" w:rsidRPr="00C94541" w:rsidRDefault="00C94541" w:rsidP="00C94541">
      <w:pPr>
        <w:pStyle w:val="Heading1"/>
      </w:pPr>
      <w:bookmarkStart w:id="3" w:name="_Toc513753485"/>
      <w:bookmarkStart w:id="4" w:name="_Toc85624692"/>
      <w:r>
        <w:t xml:space="preserve">3. </w:t>
      </w:r>
      <w:bookmarkEnd w:id="3"/>
      <w:r w:rsidR="00B0492A">
        <w:t>Informat</w:t>
      </w:r>
      <w:r w:rsidR="005C3A35">
        <w:t>i</w:t>
      </w:r>
      <w:r w:rsidR="00B0492A">
        <w:t>on Rights under Data Protection Law</w:t>
      </w:r>
      <w:bookmarkEnd w:id="4"/>
    </w:p>
    <w:p w14:paraId="4D86AFA0" w14:textId="77777777" w:rsidR="003F2FC7" w:rsidRPr="003F2FC7" w:rsidRDefault="003F2FC7" w:rsidP="003F2FC7">
      <w:r>
        <w:t xml:space="preserve">The GDPR provides the following rights for individuals in respect of the personal information an </w:t>
      </w:r>
      <w:proofErr w:type="gramStart"/>
      <w:r>
        <w:t>organisations</w:t>
      </w:r>
      <w:proofErr w:type="gramEnd"/>
      <w:r>
        <w:t xml:space="preserve"> holds and processes:</w:t>
      </w:r>
    </w:p>
    <w:p w14:paraId="430C7041" w14:textId="77777777" w:rsidR="003F2FC7" w:rsidRPr="003F2FC7" w:rsidRDefault="003F2FC7" w:rsidP="003F2FC7">
      <w:pPr>
        <w:pStyle w:val="squarebullets"/>
      </w:pPr>
      <w:r>
        <w:t xml:space="preserve">The right to be informed </w:t>
      </w:r>
    </w:p>
    <w:p w14:paraId="4F3B535E" w14:textId="77777777" w:rsidR="003F2FC7" w:rsidRPr="003F2FC7" w:rsidRDefault="003F2FC7" w:rsidP="003F2FC7">
      <w:pPr>
        <w:pStyle w:val="squarebullets"/>
      </w:pPr>
      <w:r>
        <w:t>The right of access</w:t>
      </w:r>
    </w:p>
    <w:p w14:paraId="31FA0A40" w14:textId="77777777" w:rsidR="003F2FC7" w:rsidRPr="003F2FC7" w:rsidRDefault="003F2FC7" w:rsidP="003F2FC7">
      <w:pPr>
        <w:pStyle w:val="squarebullets"/>
      </w:pPr>
      <w:r>
        <w:t xml:space="preserve">The right to rectification </w:t>
      </w:r>
    </w:p>
    <w:p w14:paraId="60680F91" w14:textId="77777777" w:rsidR="003F2FC7" w:rsidRPr="003F2FC7" w:rsidRDefault="003F2FC7" w:rsidP="003F2FC7">
      <w:pPr>
        <w:pStyle w:val="squarebullets"/>
      </w:pPr>
      <w:r>
        <w:t>The right to erasure (right to be forgotten)</w:t>
      </w:r>
    </w:p>
    <w:p w14:paraId="132A111C" w14:textId="77777777" w:rsidR="003F2FC7" w:rsidRPr="003F2FC7" w:rsidRDefault="003F2FC7" w:rsidP="003F2FC7">
      <w:pPr>
        <w:pStyle w:val="squarebullets"/>
      </w:pPr>
      <w:r>
        <w:t>The right to restrict processing</w:t>
      </w:r>
    </w:p>
    <w:p w14:paraId="4FDF1412" w14:textId="77777777" w:rsidR="003F2FC7" w:rsidRPr="003F2FC7" w:rsidRDefault="003F2FC7" w:rsidP="003F2FC7">
      <w:pPr>
        <w:pStyle w:val="squarebullets"/>
      </w:pPr>
      <w:r>
        <w:t>The right to data portability</w:t>
      </w:r>
    </w:p>
    <w:p w14:paraId="3C11D985" w14:textId="77777777" w:rsidR="003F2FC7" w:rsidRPr="003F2FC7" w:rsidRDefault="003F2FC7" w:rsidP="003F2FC7">
      <w:pPr>
        <w:pStyle w:val="squarebullets"/>
      </w:pPr>
      <w:r>
        <w:t>The right to object</w:t>
      </w:r>
    </w:p>
    <w:p w14:paraId="13D29B23" w14:textId="77777777" w:rsidR="003F2FC7" w:rsidRPr="003F2FC7" w:rsidRDefault="003F2FC7" w:rsidP="003F2FC7">
      <w:pPr>
        <w:pStyle w:val="squarebullets"/>
      </w:pPr>
      <w:r>
        <w:t xml:space="preserve">Rights in relation to automated decision making and profiling </w:t>
      </w:r>
    </w:p>
    <w:p w14:paraId="4BA34E3B" w14:textId="1AE849C2" w:rsidR="003F2FC7" w:rsidRPr="003F2FC7" w:rsidRDefault="00E60F8F" w:rsidP="003F2FC7">
      <w:pPr>
        <w:pStyle w:val="Heading3"/>
      </w:pPr>
      <w:bookmarkStart w:id="5" w:name="_Toc514054275"/>
      <w:r>
        <w:t>3</w:t>
      </w:r>
      <w:r w:rsidR="003F2FC7" w:rsidRPr="003F2FC7">
        <w:t>.1 The right to be informed</w:t>
      </w:r>
      <w:bookmarkEnd w:id="5"/>
      <w:r w:rsidR="003F2FC7" w:rsidRPr="003F2FC7">
        <w:t xml:space="preserve"> </w:t>
      </w:r>
    </w:p>
    <w:p w14:paraId="3927C490" w14:textId="4D43B279" w:rsidR="003F2FC7" w:rsidRDefault="003F2FC7" w:rsidP="003F2FC7">
      <w:r>
        <w:t xml:space="preserve">Individuals have the right to be informed about the collection and use of their personal data.  The Council is committed to ensuring that we are transparent and open about how we use the information we hold about our customers and our staff. </w:t>
      </w:r>
    </w:p>
    <w:p w14:paraId="45AC9CFB" w14:textId="77777777" w:rsidR="003F2FC7" w:rsidRDefault="003F2FC7" w:rsidP="003F2FC7">
      <w:r>
        <w:t>We will:</w:t>
      </w:r>
    </w:p>
    <w:p w14:paraId="0A0F2CC4" w14:textId="77777777" w:rsidR="003F2FC7" w:rsidRPr="003F2FC7" w:rsidRDefault="003F2FC7" w:rsidP="003F2FC7">
      <w:pPr>
        <w:pStyle w:val="squarebullets"/>
      </w:pPr>
      <w:r>
        <w:t>P</w:t>
      </w:r>
      <w:r w:rsidRPr="003F2FC7">
        <w:t xml:space="preserve">rovide you with a ‘Privacy Notice’ which explains why we are processing your information (purpose), whether we will share your information with anyone else, how it will be stored and how long we will keep the information. On this notice we will also tell you about your rights and how you can exercise these rights and / or raise a complaint. </w:t>
      </w:r>
    </w:p>
    <w:p w14:paraId="03351E0B" w14:textId="77777777" w:rsidR="003F2FC7" w:rsidRPr="003F2FC7" w:rsidRDefault="003F2FC7" w:rsidP="003F2FC7">
      <w:pPr>
        <w:pStyle w:val="squarebullets"/>
      </w:pPr>
      <w:r>
        <w:t>Provide you with a privacy notice if we receive your information from a third party</w:t>
      </w:r>
      <w:r w:rsidRPr="003F2FC7">
        <w:t xml:space="preserve"> such as another organisation. </w:t>
      </w:r>
    </w:p>
    <w:p w14:paraId="27CE405F" w14:textId="77777777" w:rsidR="003F2FC7" w:rsidRPr="003F2FC7" w:rsidRDefault="003F2FC7" w:rsidP="003F2FC7">
      <w:pPr>
        <w:pStyle w:val="squarebullets"/>
      </w:pPr>
      <w:r>
        <w:t>Ensure that the privacy notice is specific in relation to the type of information we are processing</w:t>
      </w:r>
      <w:r w:rsidRPr="003F2FC7">
        <w:t xml:space="preserve"> and the department you are in contact with. </w:t>
      </w:r>
    </w:p>
    <w:p w14:paraId="2E885515" w14:textId="77777777" w:rsidR="003F2FC7" w:rsidRPr="003F2FC7" w:rsidRDefault="003F2FC7" w:rsidP="003F2FC7">
      <w:pPr>
        <w:pStyle w:val="squarebullets"/>
      </w:pPr>
      <w:r>
        <w:t xml:space="preserve">Ensure that this privacy notice is concise and easy to understand. </w:t>
      </w:r>
    </w:p>
    <w:p w14:paraId="3F34C592" w14:textId="77777777" w:rsidR="003F2FC7" w:rsidRPr="003F2FC7" w:rsidRDefault="003F2FC7" w:rsidP="003F2FC7">
      <w:pPr>
        <w:pStyle w:val="squarebullets"/>
      </w:pPr>
      <w:r>
        <w:t>Ensure our privacy notices are reviewed on a regular basis and kept up to date.</w:t>
      </w:r>
    </w:p>
    <w:p w14:paraId="668C3BB1" w14:textId="77777777" w:rsidR="003F2FC7" w:rsidRPr="003F2FC7" w:rsidRDefault="003F2FC7" w:rsidP="003F2FC7">
      <w:pPr>
        <w:pStyle w:val="squarebullets"/>
      </w:pPr>
      <w:r>
        <w:t xml:space="preserve">Ensure our privacy notices are available online. </w:t>
      </w:r>
    </w:p>
    <w:p w14:paraId="6476E526" w14:textId="77777777" w:rsidR="003F2FC7" w:rsidRDefault="003F2FC7" w:rsidP="003F2FC7">
      <w:r>
        <w:t>There may be some instances where we are not able to provide a privacy notice, these instances could include:</w:t>
      </w:r>
    </w:p>
    <w:p w14:paraId="4041D333" w14:textId="77777777" w:rsidR="003F2FC7" w:rsidRPr="003F2FC7" w:rsidRDefault="003F2FC7" w:rsidP="003F2FC7">
      <w:pPr>
        <w:pStyle w:val="squarebullets"/>
      </w:pPr>
      <w:r>
        <w:lastRenderedPageBreak/>
        <w:t>Where it would involve disproportionate effort to provide it</w:t>
      </w:r>
      <w:r w:rsidRPr="003F2FC7">
        <w:t xml:space="preserve">, </w:t>
      </w:r>
      <w:proofErr w:type="gramStart"/>
      <w:r w:rsidRPr="003F2FC7">
        <w:t>i.e.</w:t>
      </w:r>
      <w:proofErr w:type="gramEnd"/>
      <w:r w:rsidRPr="003F2FC7">
        <w:t xml:space="preserve"> to write to hundreds of individuals who have signed a petition which has been submitted to the Council.</w:t>
      </w:r>
    </w:p>
    <w:p w14:paraId="385010B0" w14:textId="77777777" w:rsidR="003F2FC7" w:rsidRPr="003F2FC7" w:rsidRDefault="003F2FC7" w:rsidP="003F2FC7">
      <w:pPr>
        <w:pStyle w:val="squarebullets"/>
      </w:pPr>
      <w:r>
        <w:t xml:space="preserve">Where you have already been informed about your rights and how we will process your information, </w:t>
      </w:r>
      <w:proofErr w:type="gramStart"/>
      <w:r>
        <w:t>i.e.</w:t>
      </w:r>
      <w:proofErr w:type="gramEnd"/>
      <w:r>
        <w:t xml:space="preserve"> if you have opened a claim for benefits and are providing further evidence, we will not provide you with a privacy notice each time we receive information from you. </w:t>
      </w:r>
    </w:p>
    <w:p w14:paraId="2E32F269" w14:textId="4B283F64" w:rsidR="002C1EDD" w:rsidRPr="003F2FC7" w:rsidRDefault="003F2FC7" w:rsidP="00700312">
      <w:pPr>
        <w:pStyle w:val="squarebullets"/>
      </w:pPr>
      <w:r>
        <w:t xml:space="preserve">Where an exemption might apply, </w:t>
      </w:r>
      <w:proofErr w:type="gramStart"/>
      <w:r w:rsidRPr="003F2FC7">
        <w:t>i.e.</w:t>
      </w:r>
      <w:proofErr w:type="gramEnd"/>
      <w:r w:rsidRPr="003F2FC7">
        <w:t xml:space="preserve"> where information has been provided or collected for the purposes of preventing and detecting crime. </w:t>
      </w:r>
    </w:p>
    <w:p w14:paraId="3322EE8C" w14:textId="0B5723E2" w:rsidR="003F2FC7" w:rsidRDefault="00E60F8F" w:rsidP="003F2FC7">
      <w:pPr>
        <w:pStyle w:val="Heading3"/>
      </w:pPr>
      <w:bookmarkStart w:id="6" w:name="_Toc514054276"/>
      <w:r>
        <w:t>3</w:t>
      </w:r>
      <w:r w:rsidR="003F2FC7" w:rsidRPr="003F2FC7">
        <w:t>.2 The right of access</w:t>
      </w:r>
      <w:bookmarkEnd w:id="6"/>
    </w:p>
    <w:p w14:paraId="5E265077" w14:textId="77777777" w:rsidR="003F2FC7" w:rsidRPr="003F2FC7" w:rsidRDefault="003F2FC7" w:rsidP="003F2FC7">
      <w:r>
        <w:t xml:space="preserve">Individuals have the right to access their personal data and further information.  The right of access also allows individuals to be aware of and verify the lawfulness of the processing. </w:t>
      </w:r>
      <w:r w:rsidRPr="003F2FC7">
        <w:t xml:space="preserve"> Individuals have the right to:</w:t>
      </w:r>
    </w:p>
    <w:p w14:paraId="7EE9DCBD" w14:textId="77777777" w:rsidR="003F2FC7" w:rsidRPr="003F2FC7" w:rsidRDefault="003F2FC7" w:rsidP="003F2FC7">
      <w:pPr>
        <w:pStyle w:val="squarebullets"/>
      </w:pPr>
      <w:r>
        <w:t>Confirmation that their data is being processed</w:t>
      </w:r>
    </w:p>
    <w:p w14:paraId="6CC633FF" w14:textId="77777777" w:rsidR="003F2FC7" w:rsidRPr="003F2FC7" w:rsidRDefault="003F2FC7" w:rsidP="003F2FC7">
      <w:pPr>
        <w:pStyle w:val="squarebullets"/>
      </w:pPr>
      <w:r>
        <w:t xml:space="preserve">Access to their personal data </w:t>
      </w:r>
      <w:r w:rsidRPr="003F2FC7">
        <w:t>(a copy of their personal data)</w:t>
      </w:r>
    </w:p>
    <w:p w14:paraId="0AC5A8DD" w14:textId="77777777" w:rsidR="003F2FC7" w:rsidRPr="003F2FC7" w:rsidRDefault="003F2FC7" w:rsidP="003F2FC7">
      <w:pPr>
        <w:pStyle w:val="squarebullets"/>
      </w:pPr>
      <w:r>
        <w:t xml:space="preserve">Other supplementary information, which corresponds to the information which should be provided within our privacy notices. </w:t>
      </w:r>
    </w:p>
    <w:p w14:paraId="01A6642C" w14:textId="77777777" w:rsidR="003F2FC7" w:rsidRDefault="003F2FC7" w:rsidP="003F2FC7">
      <w:r>
        <w:t xml:space="preserve">The right to access personal data can be exercised by anyone through a subject access request submitted to the Council.  </w:t>
      </w:r>
      <w:proofErr w:type="gramStart"/>
      <w:r>
        <w:t>In order to</w:t>
      </w:r>
      <w:proofErr w:type="gramEnd"/>
      <w:r>
        <w:t xml:space="preserve"> process a request under this right, The Council will require the following: </w:t>
      </w:r>
    </w:p>
    <w:p w14:paraId="0CE68D1D" w14:textId="77777777" w:rsidR="003F2FC7" w:rsidRPr="003F2FC7" w:rsidRDefault="003F2FC7" w:rsidP="003F2FC7">
      <w:pPr>
        <w:pStyle w:val="squarebullets"/>
      </w:pPr>
      <w:r>
        <w:t>The request to be made in writing providing enough detail to assist us in locating the information.</w:t>
      </w:r>
    </w:p>
    <w:p w14:paraId="0380261E" w14:textId="42485F3F" w:rsidR="003F2FC7" w:rsidRDefault="003F2FC7" w:rsidP="003F2FC7">
      <w:pPr>
        <w:pStyle w:val="squarebullets"/>
      </w:pPr>
      <w:r>
        <w:t xml:space="preserve">Two forms of identification so that we can be assured we are disclosing information to the correct person. </w:t>
      </w:r>
    </w:p>
    <w:p w14:paraId="38BFF1AD" w14:textId="78D7996E" w:rsidR="00875A69" w:rsidRDefault="00875A69" w:rsidP="003F2FC7">
      <w:r>
        <w:t xml:space="preserve">Although a request can be made to the Council verbally, we will only accept requests made in writing that clearly set out the information being requested. </w:t>
      </w:r>
    </w:p>
    <w:p w14:paraId="624016AB" w14:textId="0ECF21F7" w:rsidR="002C1EDD" w:rsidRDefault="003F2FC7" w:rsidP="003F2FC7">
      <w:r>
        <w:t xml:space="preserve">The Council will provide you with a response to your subject access request via either secure email or in the post via special delivery.  Where any exemptions have been applied to the request these will be communicated to you as part of the response. </w:t>
      </w:r>
    </w:p>
    <w:p w14:paraId="17F6A6CC" w14:textId="2554DD9A" w:rsidR="003F2FC7" w:rsidRPr="003F2FC7" w:rsidRDefault="00E60F8F" w:rsidP="003F2FC7">
      <w:pPr>
        <w:pStyle w:val="Heading3"/>
      </w:pPr>
      <w:bookmarkStart w:id="7" w:name="_Toc514054277"/>
      <w:r>
        <w:t>3</w:t>
      </w:r>
      <w:r w:rsidR="003F2FC7" w:rsidRPr="003F2FC7">
        <w:t>.3 The right to rectification</w:t>
      </w:r>
      <w:bookmarkEnd w:id="7"/>
    </w:p>
    <w:p w14:paraId="2D0A083B" w14:textId="077942F0" w:rsidR="003F2FC7" w:rsidRPr="000F32D9" w:rsidRDefault="00803D4B" w:rsidP="003F2FC7">
      <w:r>
        <w:t>I</w:t>
      </w:r>
      <w:r w:rsidR="003F2FC7">
        <w:t xml:space="preserve">ndividuals have the right to request that information about them be corrected (rectified) where it has been established that it is inaccurate, or incomplete. </w:t>
      </w:r>
    </w:p>
    <w:p w14:paraId="5FCB4898" w14:textId="540BBC8D" w:rsidR="003F2FC7" w:rsidRDefault="003F2FC7" w:rsidP="003F2FC7">
      <w:r>
        <w:t xml:space="preserve">Although a request can be made to the Council verbally, we will only accept requests made in writing that clearly set out the information to be rectified and why.  This ensures the Council has an audit trail of any changes which are made to personal data.  </w:t>
      </w:r>
      <w:r w:rsidRPr="00C8216E">
        <w:t>If a request is received verbally, we will confirm to you the changes being requested, in writing, before the request is processed.</w:t>
      </w:r>
      <w:r>
        <w:t xml:space="preserve"> </w:t>
      </w:r>
    </w:p>
    <w:p w14:paraId="14ACE3F6" w14:textId="77777777" w:rsidR="003F2FC7" w:rsidRDefault="003F2FC7" w:rsidP="003F2FC7">
      <w:r>
        <w:lastRenderedPageBreak/>
        <w:t xml:space="preserve">There may be times at which we will request that you provide identification before any changes are made to your personal data, for example, to request changes to children’s social care files, or for historical data / information.  </w:t>
      </w:r>
    </w:p>
    <w:p w14:paraId="13DDFB67" w14:textId="77777777" w:rsidR="003F2FC7" w:rsidRDefault="003F2FC7" w:rsidP="003F2FC7">
      <w:r>
        <w:t xml:space="preserve">Upon receipt of a valid </w:t>
      </w:r>
      <w:proofErr w:type="gramStart"/>
      <w:r>
        <w:t>request</w:t>
      </w:r>
      <w:proofErr w:type="gramEnd"/>
      <w:r>
        <w:t xml:space="preserve"> we will: </w:t>
      </w:r>
    </w:p>
    <w:p w14:paraId="63378269" w14:textId="77777777" w:rsidR="003F2FC7" w:rsidRPr="003F2FC7" w:rsidRDefault="003F2FC7" w:rsidP="00803D4B">
      <w:pPr>
        <w:pStyle w:val="squarebullets"/>
      </w:pPr>
      <w:r>
        <w:t xml:space="preserve">Consider whether the processing of information should be temporarily restricted while the council considers the request. </w:t>
      </w:r>
    </w:p>
    <w:p w14:paraId="6392EF4D" w14:textId="77777777" w:rsidR="003F2FC7" w:rsidRPr="003F2FC7" w:rsidRDefault="003F2FC7" w:rsidP="00803D4B">
      <w:pPr>
        <w:pStyle w:val="squarebullets"/>
      </w:pPr>
      <w:r w:rsidRPr="00D14B6F">
        <w:t>Inform you if we are satisfied</w:t>
      </w:r>
      <w:r w:rsidRPr="003F2FC7">
        <w:t xml:space="preserve"> that the information is accurate and therefore will not be changed with an explanation of our decision. </w:t>
      </w:r>
    </w:p>
    <w:p w14:paraId="19D72048" w14:textId="6F112662" w:rsidR="003F2FC7" w:rsidRPr="002B3DA9" w:rsidRDefault="00E60F8F" w:rsidP="002C1EDD">
      <w:pPr>
        <w:pStyle w:val="Heading3"/>
      </w:pPr>
      <w:bookmarkStart w:id="8" w:name="_Toc514054278"/>
      <w:r>
        <w:t>3</w:t>
      </w:r>
      <w:r w:rsidR="003F2FC7" w:rsidRPr="003F2FC7">
        <w:t>.4 The right to erasure (right to be forgotten)</w:t>
      </w:r>
      <w:bookmarkEnd w:id="8"/>
    </w:p>
    <w:p w14:paraId="6D44D031" w14:textId="64862AB2" w:rsidR="003F2FC7" w:rsidRDefault="003F2FC7" w:rsidP="003F2FC7">
      <w:r>
        <w:t xml:space="preserve">The GDPR has introduced a right for individuals to have personal data erased.  This is also known as the right to be forgotten.   </w:t>
      </w:r>
    </w:p>
    <w:p w14:paraId="3CC25B03" w14:textId="6207FE28" w:rsidR="003F2FC7" w:rsidRDefault="003F2FC7" w:rsidP="003F2FC7">
      <w:r>
        <w:t xml:space="preserve">Although a request can be made to the Council verbally, we will only accept requests made in writing that clearly set out your request.  </w:t>
      </w:r>
      <w:r w:rsidRPr="00C8216E">
        <w:t>If a request is received verbally, we will confirm to you the information you have requested be erased,</w:t>
      </w:r>
      <w:r w:rsidRPr="00736E06">
        <w:t xml:space="preserve"> in writing,</w:t>
      </w:r>
      <w:r w:rsidRPr="00C8216E">
        <w:t xml:space="preserve"> before the request is processed.</w:t>
      </w:r>
    </w:p>
    <w:p w14:paraId="7C49CB55" w14:textId="7C75D2D9" w:rsidR="003F2FC7" w:rsidRDefault="003F2FC7" w:rsidP="003F2FC7">
      <w:r>
        <w:t>This right only applies in certain circumstances:</w:t>
      </w:r>
    </w:p>
    <w:p w14:paraId="360A71F8" w14:textId="77777777" w:rsidR="003F2FC7" w:rsidRPr="003F2FC7" w:rsidRDefault="003F2FC7" w:rsidP="00D31C0C">
      <w:pPr>
        <w:pStyle w:val="squarebullets"/>
      </w:pPr>
      <w:r>
        <w:t xml:space="preserve">The personal data is no longer necessary </w:t>
      </w:r>
      <w:r w:rsidRPr="003F2FC7">
        <w:t xml:space="preserve">for the purpose which it was originally collected or processed it </w:t>
      </w:r>
      <w:proofErr w:type="gramStart"/>
      <w:r w:rsidRPr="003F2FC7">
        <w:t>for;</w:t>
      </w:r>
      <w:proofErr w:type="gramEnd"/>
    </w:p>
    <w:p w14:paraId="49C2F4C2" w14:textId="77777777" w:rsidR="003F2FC7" w:rsidRPr="003F2FC7" w:rsidRDefault="003F2FC7" w:rsidP="00D31C0C">
      <w:pPr>
        <w:pStyle w:val="squarebullets"/>
      </w:pPr>
      <w:r>
        <w:t xml:space="preserve">Where the Council has relied upon consent for the basis of processing and this consent is being withdrawn and there is no other legal basis on which to process the </w:t>
      </w:r>
      <w:proofErr w:type="gramStart"/>
      <w:r>
        <w:t>information;</w:t>
      </w:r>
      <w:proofErr w:type="gramEnd"/>
      <w:r>
        <w:t xml:space="preserve"> </w:t>
      </w:r>
    </w:p>
    <w:p w14:paraId="5734A31F" w14:textId="77777777" w:rsidR="003F2FC7" w:rsidRPr="003F2FC7" w:rsidRDefault="003F2FC7" w:rsidP="00D31C0C">
      <w:pPr>
        <w:pStyle w:val="squarebullets"/>
      </w:pPr>
      <w:r>
        <w:t xml:space="preserve">Where the Council has relied upon legitimate interests as the basis for processing and you object to the processing of your information and there is no overriding </w:t>
      </w:r>
      <w:r w:rsidRPr="003F2FC7">
        <w:t xml:space="preserve">legitimate interest to continue processing the </w:t>
      </w:r>
      <w:proofErr w:type="gramStart"/>
      <w:r w:rsidRPr="003F2FC7">
        <w:t>information;</w:t>
      </w:r>
      <w:proofErr w:type="gramEnd"/>
    </w:p>
    <w:p w14:paraId="1962C4A4" w14:textId="77777777" w:rsidR="003F2FC7" w:rsidRPr="003F2FC7" w:rsidRDefault="003F2FC7" w:rsidP="00D31C0C">
      <w:pPr>
        <w:pStyle w:val="squarebullets"/>
      </w:pPr>
      <w:r>
        <w:t xml:space="preserve">Where the Council is processing the personal information for the purposes of direct </w:t>
      </w:r>
      <w:proofErr w:type="gramStart"/>
      <w:r>
        <w:t>marketing</w:t>
      </w:r>
      <w:proofErr w:type="gramEnd"/>
      <w:r>
        <w:t xml:space="preserve"> and you object to that processing;  </w:t>
      </w:r>
    </w:p>
    <w:p w14:paraId="7D1E7C06" w14:textId="77777777" w:rsidR="003F2FC7" w:rsidRPr="003F2FC7" w:rsidRDefault="003F2FC7" w:rsidP="00D31C0C">
      <w:pPr>
        <w:pStyle w:val="squarebullets"/>
      </w:pPr>
      <w:r>
        <w:t xml:space="preserve">The personal information has been unlawfully </w:t>
      </w:r>
      <w:proofErr w:type="gramStart"/>
      <w:r>
        <w:t>processed;</w:t>
      </w:r>
      <w:proofErr w:type="gramEnd"/>
    </w:p>
    <w:p w14:paraId="1588F814" w14:textId="77777777" w:rsidR="003F2FC7" w:rsidRPr="003F2FC7" w:rsidRDefault="003F2FC7" w:rsidP="00D31C0C">
      <w:pPr>
        <w:pStyle w:val="squarebullets"/>
      </w:pPr>
      <w:r>
        <w:t xml:space="preserve">The personal information has to be erased for compliance with a legal </w:t>
      </w:r>
      <w:proofErr w:type="gramStart"/>
      <w:r>
        <w:t>obligation;</w:t>
      </w:r>
      <w:proofErr w:type="gramEnd"/>
    </w:p>
    <w:p w14:paraId="57558561" w14:textId="5775E66C" w:rsidR="003F2FC7" w:rsidRDefault="003F2FC7" w:rsidP="003F2FC7">
      <w:pPr>
        <w:pStyle w:val="squarebullets"/>
      </w:pPr>
      <w:r>
        <w:t>The personal information has been collected in relation to the offer of information society services</w:t>
      </w:r>
      <w:r w:rsidRPr="003F2FC7">
        <w:t xml:space="preserve"> to a child.</w:t>
      </w:r>
    </w:p>
    <w:p w14:paraId="76F3DEF3" w14:textId="301991DD" w:rsidR="003F2FC7" w:rsidRDefault="003F2FC7" w:rsidP="003F2FC7">
      <w:r>
        <w:t>Where the processing of personal information for any of the following purposes is necessary, this right will not apply:</w:t>
      </w:r>
    </w:p>
    <w:p w14:paraId="04BD05FE" w14:textId="77777777" w:rsidR="003F2FC7" w:rsidRPr="003F2FC7" w:rsidRDefault="003F2FC7" w:rsidP="00D31C0C">
      <w:pPr>
        <w:pStyle w:val="squarebullets"/>
      </w:pPr>
      <w:r>
        <w:t xml:space="preserve">To exercise the right of freedom of expression and </w:t>
      </w:r>
      <w:proofErr w:type="gramStart"/>
      <w:r>
        <w:t>information;</w:t>
      </w:r>
      <w:proofErr w:type="gramEnd"/>
    </w:p>
    <w:p w14:paraId="629BA289" w14:textId="77777777" w:rsidR="003F2FC7" w:rsidRPr="003F2FC7" w:rsidRDefault="003F2FC7" w:rsidP="00D31C0C">
      <w:pPr>
        <w:pStyle w:val="squarebullets"/>
      </w:pPr>
      <w:r>
        <w:t xml:space="preserve">To comply with a legal </w:t>
      </w:r>
      <w:proofErr w:type="gramStart"/>
      <w:r>
        <w:t>obligation;</w:t>
      </w:r>
      <w:proofErr w:type="gramEnd"/>
    </w:p>
    <w:p w14:paraId="07B743A1" w14:textId="77777777" w:rsidR="003F2FC7" w:rsidRPr="003F2FC7" w:rsidRDefault="003F2FC7" w:rsidP="00D31C0C">
      <w:pPr>
        <w:pStyle w:val="squarebullets"/>
      </w:pPr>
      <w:r>
        <w:t xml:space="preserve">For the performance of a task in the public interest or in the exercise of official </w:t>
      </w:r>
      <w:proofErr w:type="gramStart"/>
      <w:r>
        <w:t>authority;</w:t>
      </w:r>
      <w:proofErr w:type="gramEnd"/>
    </w:p>
    <w:p w14:paraId="1CAA3382" w14:textId="77777777" w:rsidR="003F2FC7" w:rsidRPr="003F2FC7" w:rsidRDefault="003F2FC7" w:rsidP="00D31C0C">
      <w:pPr>
        <w:pStyle w:val="squarebullets"/>
      </w:pPr>
      <w:r>
        <w:t xml:space="preserve">For archiving purposes in the public interest, scientific research, </w:t>
      </w:r>
      <w:r w:rsidRPr="003F2FC7">
        <w:t xml:space="preserve">historical research or statistical purposes where erasure is likely to render impossible or seriously impair the achievement of that </w:t>
      </w:r>
      <w:proofErr w:type="gramStart"/>
      <w:r w:rsidRPr="003F2FC7">
        <w:t>processing;</w:t>
      </w:r>
      <w:proofErr w:type="gramEnd"/>
    </w:p>
    <w:p w14:paraId="4886C8A9" w14:textId="77777777" w:rsidR="003F2FC7" w:rsidRPr="003F2FC7" w:rsidRDefault="003F2FC7" w:rsidP="00D31C0C">
      <w:pPr>
        <w:pStyle w:val="squarebullets"/>
      </w:pPr>
      <w:r>
        <w:t xml:space="preserve">For the establishment, exercise or defence of legal </w:t>
      </w:r>
      <w:proofErr w:type="gramStart"/>
      <w:r>
        <w:t>claims;</w:t>
      </w:r>
      <w:proofErr w:type="gramEnd"/>
    </w:p>
    <w:p w14:paraId="75CCCB57" w14:textId="77777777" w:rsidR="003F2FC7" w:rsidRPr="003F2FC7" w:rsidRDefault="003F2FC7" w:rsidP="00D31C0C">
      <w:pPr>
        <w:pStyle w:val="squarebullets"/>
      </w:pPr>
      <w:r>
        <w:lastRenderedPageBreak/>
        <w:t>If the processing is necessary for public health purposes in the public interest</w:t>
      </w:r>
    </w:p>
    <w:p w14:paraId="748AAB90" w14:textId="4B9F733B" w:rsidR="003F2FC7" w:rsidRDefault="003F2FC7" w:rsidP="003F2FC7">
      <w:pPr>
        <w:pStyle w:val="squarebullets"/>
      </w:pPr>
      <w:r>
        <w:t>If the processing is necessary for the purposes of prevention or occupational medicine</w:t>
      </w:r>
    </w:p>
    <w:p w14:paraId="0D774FE9" w14:textId="12224695" w:rsidR="003F2FC7" w:rsidRDefault="003F2FC7" w:rsidP="003F2FC7">
      <w:r>
        <w:t>Upon rece</w:t>
      </w:r>
      <w:r w:rsidRPr="003F2FC7">
        <w:t xml:space="preserve">ipt of a valid </w:t>
      </w:r>
      <w:proofErr w:type="gramStart"/>
      <w:r w:rsidRPr="003F2FC7">
        <w:t>request</w:t>
      </w:r>
      <w:proofErr w:type="gramEnd"/>
      <w:r w:rsidRPr="003F2FC7">
        <w:t xml:space="preserve"> we will provide you with a unique reference number which, should your request be completed, be the only means of auditing that a request has been complied with as all other data will be erased.</w:t>
      </w:r>
    </w:p>
    <w:p w14:paraId="255C093D" w14:textId="73B4763B" w:rsidR="003F2FC7" w:rsidRDefault="00E60F8F" w:rsidP="00D31C0C">
      <w:pPr>
        <w:pStyle w:val="Heading3"/>
      </w:pPr>
      <w:bookmarkStart w:id="9" w:name="_Toc514054279"/>
      <w:r>
        <w:t>3</w:t>
      </w:r>
      <w:r w:rsidR="003F2FC7" w:rsidRPr="003F2FC7">
        <w:t>.5 The right to restrict processing</w:t>
      </w:r>
      <w:bookmarkEnd w:id="9"/>
      <w:r w:rsidR="003F2FC7" w:rsidRPr="003F2FC7">
        <w:t xml:space="preserve"> </w:t>
      </w:r>
    </w:p>
    <w:p w14:paraId="312830E5" w14:textId="19200043" w:rsidR="003F2FC7" w:rsidRDefault="003F2FC7" w:rsidP="003F2FC7">
      <w:r>
        <w:t xml:space="preserve">Individuals have the right to request that a data controller restricts or suppresses the processing of their personal data.  </w:t>
      </w:r>
      <w:r w:rsidRPr="00C8216E">
        <w:t>This means</w:t>
      </w:r>
      <w:r>
        <w:t xml:space="preserve"> that</w:t>
      </w:r>
      <w:r w:rsidRPr="00C8216E">
        <w:t xml:space="preserve"> you can request that an organisation limits the way personal data </w:t>
      </w:r>
      <w:r>
        <w:t>concerning</w:t>
      </w:r>
      <w:r w:rsidRPr="00C8216E">
        <w:t xml:space="preserve"> you is used, w</w:t>
      </w:r>
      <w:r w:rsidRPr="00320DC1">
        <w:t>here you have a particular reason for wanting the restriction. This may be because</w:t>
      </w:r>
      <w:r>
        <w:t xml:space="preserve"> you feel</w:t>
      </w:r>
      <w:r w:rsidRPr="00C8216E">
        <w:t xml:space="preserve"> there are </w:t>
      </w:r>
      <w:r w:rsidRPr="00320DC1">
        <w:t>issues with the content of the information held or how it has been processed.</w:t>
      </w:r>
    </w:p>
    <w:p w14:paraId="13E55E05" w14:textId="7E31D164" w:rsidR="003F2FC7" w:rsidRDefault="003F2FC7" w:rsidP="003F2FC7">
      <w:r>
        <w:t xml:space="preserve">Although a request can be made to the Council verbally, only requests made in writing that clearly set out your request will be accepted. </w:t>
      </w:r>
      <w:r w:rsidRPr="002021EF">
        <w:t>If a request is</w:t>
      </w:r>
      <w:r w:rsidRPr="00C8216E">
        <w:t xml:space="preserve"> received verbally, we will confirm to you the processing </w:t>
      </w:r>
      <w:r w:rsidRPr="00FE2DC6">
        <w:t>you have requested be restricted</w:t>
      </w:r>
      <w:r>
        <w:t>,</w:t>
      </w:r>
      <w:r w:rsidRPr="00C8216E">
        <w:t xml:space="preserve"> in writing</w:t>
      </w:r>
      <w:r>
        <w:t xml:space="preserve"> before the request is processed, unless we stop processing immediately as is the case with right of objection under direct marketing.</w:t>
      </w:r>
    </w:p>
    <w:p w14:paraId="04BD8D1B" w14:textId="764D6BDA" w:rsidR="003F2FC7" w:rsidRDefault="003F2FC7" w:rsidP="00D31C0C">
      <w:r>
        <w:t>This right only applies in certain circumstances:</w:t>
      </w:r>
    </w:p>
    <w:p w14:paraId="76DAE985" w14:textId="77777777" w:rsidR="003F2FC7" w:rsidRPr="003F2FC7" w:rsidRDefault="003F2FC7" w:rsidP="00D31C0C">
      <w:pPr>
        <w:pStyle w:val="squarebullets"/>
      </w:pPr>
      <w:r>
        <w:t>You</w:t>
      </w:r>
      <w:r w:rsidRPr="003F2FC7">
        <w:t xml:space="preserve"> wish to challenge the accuracy of their personal data and the Council is verifying the accuracy of the </w:t>
      </w:r>
      <w:proofErr w:type="gramStart"/>
      <w:r w:rsidRPr="003F2FC7">
        <w:t>data;</w:t>
      </w:r>
      <w:proofErr w:type="gramEnd"/>
    </w:p>
    <w:p w14:paraId="473D93AB" w14:textId="77777777" w:rsidR="003F2FC7" w:rsidRPr="003F2FC7" w:rsidRDefault="003F2FC7" w:rsidP="00D31C0C">
      <w:pPr>
        <w:pStyle w:val="squarebullets"/>
      </w:pPr>
      <w:r>
        <w:t>Where p</w:t>
      </w:r>
      <w:r w:rsidRPr="003F2FC7">
        <w:t xml:space="preserve">ersonal data has been processed unlawfully, you oppose the erasure of the personal data and requests restriction instead. </w:t>
      </w:r>
    </w:p>
    <w:p w14:paraId="2056E6CF" w14:textId="77777777" w:rsidR="003F2FC7" w:rsidRPr="003F2FC7" w:rsidRDefault="003F2FC7" w:rsidP="00D31C0C">
      <w:pPr>
        <w:pStyle w:val="squarebullets"/>
      </w:pPr>
      <w:r>
        <w:t>The Council no longer need</w:t>
      </w:r>
      <w:r w:rsidRPr="003F2FC7">
        <w:t xml:space="preserve">s the personal </w:t>
      </w:r>
      <w:proofErr w:type="gramStart"/>
      <w:r w:rsidRPr="003F2FC7">
        <w:t>data</w:t>
      </w:r>
      <w:proofErr w:type="gramEnd"/>
      <w:r w:rsidRPr="003F2FC7">
        <w:t xml:space="preserve"> but you need the Council to keep it in order to establish, exercise or defend a legal claim;</w:t>
      </w:r>
    </w:p>
    <w:p w14:paraId="1D1F0F7F" w14:textId="3D316C84" w:rsidR="003F2FC7" w:rsidRDefault="003F2FC7" w:rsidP="003F2FC7">
      <w:pPr>
        <w:pStyle w:val="squarebullets"/>
      </w:pPr>
      <w:r>
        <w:t>You have</w:t>
      </w:r>
      <w:r w:rsidRPr="003F2FC7">
        <w:t xml:space="preserve"> objected to the Council processing your data under Article 21(1) (Right to object) and the Council is considering whether its legitimate grounds override this objection. </w:t>
      </w:r>
    </w:p>
    <w:p w14:paraId="2A869051" w14:textId="2A0A23B4" w:rsidR="003F2FC7" w:rsidRDefault="003F2FC7" w:rsidP="003F2FC7">
      <w:r>
        <w:t>Upon receipt of a valid request</w:t>
      </w:r>
      <w:r w:rsidRPr="003F2FC7">
        <w:t xml:space="preserve">, which meets the criteria set out above, we will: </w:t>
      </w:r>
    </w:p>
    <w:p w14:paraId="075B4374" w14:textId="77777777" w:rsidR="003F2FC7" w:rsidRPr="003F2FC7" w:rsidRDefault="003F2FC7" w:rsidP="00D31C0C">
      <w:pPr>
        <w:pStyle w:val="squarebullets"/>
      </w:pPr>
      <w:r>
        <w:t>S</w:t>
      </w:r>
      <w:r w:rsidRPr="003F2FC7">
        <w:t xml:space="preserve">top all processing activities on the personal data in question, </w:t>
      </w:r>
      <w:proofErr w:type="gramStart"/>
      <w:r w:rsidRPr="003F2FC7">
        <w:t>with the exception of</w:t>
      </w:r>
      <w:proofErr w:type="gramEnd"/>
      <w:r w:rsidRPr="003F2FC7">
        <w:t xml:space="preserve"> storing that personal data.</w:t>
      </w:r>
    </w:p>
    <w:p w14:paraId="53376C51" w14:textId="77777777" w:rsidR="003F2FC7" w:rsidRPr="003F2FC7" w:rsidRDefault="003F2FC7" w:rsidP="00D31C0C">
      <w:pPr>
        <w:pStyle w:val="squarebullets"/>
      </w:pPr>
      <w:r>
        <w:t xml:space="preserve">Throughout the restriction only process the personal data with your consent, or for the establishment, </w:t>
      </w:r>
      <w:proofErr w:type="gramStart"/>
      <w:r>
        <w:t>exercise</w:t>
      </w:r>
      <w:proofErr w:type="gramEnd"/>
      <w:r>
        <w:t xml:space="preserve"> or defence of legal claims, or for the protection of the rights of another individual or for the reasons of important public interest. </w:t>
      </w:r>
    </w:p>
    <w:p w14:paraId="10433B97" w14:textId="77777777" w:rsidR="003F2FC7" w:rsidRPr="003F2FC7" w:rsidRDefault="003F2FC7" w:rsidP="00D31C0C">
      <w:pPr>
        <w:pStyle w:val="squarebullets"/>
      </w:pPr>
      <w:r w:rsidRPr="002021EF">
        <w:t>Inform any third parties</w:t>
      </w:r>
      <w:r w:rsidRPr="003F2FC7">
        <w:t>, with whom the personal data has been shared to, of the restriction which has been put in place, unless this would involve disproportionate effort or is impossible.</w:t>
      </w:r>
    </w:p>
    <w:p w14:paraId="242689E1" w14:textId="3FA4117E" w:rsidR="003F2FC7" w:rsidRDefault="003F2FC7" w:rsidP="003F2FC7">
      <w:pPr>
        <w:pStyle w:val="squarebullets"/>
      </w:pPr>
      <w:r>
        <w:t xml:space="preserve">Inform </w:t>
      </w:r>
      <w:r w:rsidRPr="003F2FC7">
        <w:t>you before any restriction is lifted.</w:t>
      </w:r>
    </w:p>
    <w:p w14:paraId="696D1250" w14:textId="77777777" w:rsidR="004D7D07" w:rsidRDefault="004D7D07" w:rsidP="00D31C0C">
      <w:pPr>
        <w:pStyle w:val="Heading3"/>
      </w:pPr>
      <w:bookmarkStart w:id="10" w:name="_Toc514054280"/>
    </w:p>
    <w:p w14:paraId="62E855E9" w14:textId="77777777" w:rsidR="004D7D07" w:rsidRDefault="004D7D07" w:rsidP="00D31C0C">
      <w:pPr>
        <w:pStyle w:val="Heading3"/>
      </w:pPr>
    </w:p>
    <w:p w14:paraId="6B3A7FA6" w14:textId="18648253" w:rsidR="003F2FC7" w:rsidRDefault="00E60F8F" w:rsidP="00D31C0C">
      <w:pPr>
        <w:pStyle w:val="Heading3"/>
      </w:pPr>
      <w:r>
        <w:lastRenderedPageBreak/>
        <w:t>3</w:t>
      </w:r>
      <w:r w:rsidR="003F2FC7" w:rsidRPr="003F2FC7">
        <w:t>.6 The right to data portability</w:t>
      </w:r>
      <w:bookmarkEnd w:id="10"/>
      <w:r w:rsidR="003F2FC7" w:rsidRPr="003F2FC7">
        <w:t xml:space="preserve"> </w:t>
      </w:r>
    </w:p>
    <w:p w14:paraId="38C7E47E" w14:textId="5C8FD2BF" w:rsidR="003F2FC7" w:rsidRDefault="003F2FC7" w:rsidP="003F2FC7">
      <w:r>
        <w:t xml:space="preserve">The GDPR gives individuals the right to obtain and reuse their personal data for their own purposes across different services and organisations. This means that you can request personal data concerning yourself, previously provided by you and receive it in a commonly used and </w:t>
      </w:r>
      <w:proofErr w:type="gramStart"/>
      <w:r>
        <w:t>machine readable</w:t>
      </w:r>
      <w:proofErr w:type="gramEnd"/>
      <w:r>
        <w:t xml:space="preserve"> format. You also have the right to the transmission of that data via one service or organisation to another (data controller) without hindrance.</w:t>
      </w:r>
    </w:p>
    <w:p w14:paraId="6D660637" w14:textId="2260FC49" w:rsidR="003F2FC7" w:rsidRDefault="003F2FC7" w:rsidP="003F2FC7">
      <w:r>
        <w:t>This right only applies in certain circumstances:</w:t>
      </w:r>
    </w:p>
    <w:p w14:paraId="7E096C8E" w14:textId="77777777" w:rsidR="003F2FC7" w:rsidRPr="003F2FC7" w:rsidRDefault="003F2FC7" w:rsidP="00D31C0C">
      <w:pPr>
        <w:pStyle w:val="squarebullets"/>
      </w:pPr>
      <w:r>
        <w:t xml:space="preserve">The personal data has been provided by </w:t>
      </w:r>
      <w:proofErr w:type="gramStart"/>
      <w:r w:rsidRPr="003F2FC7">
        <w:t>yourself;</w:t>
      </w:r>
      <w:proofErr w:type="gramEnd"/>
    </w:p>
    <w:p w14:paraId="4A967819" w14:textId="77777777" w:rsidR="003F2FC7" w:rsidRPr="003F2FC7" w:rsidRDefault="003F2FC7" w:rsidP="00D31C0C">
      <w:pPr>
        <w:pStyle w:val="squarebullets"/>
      </w:pPr>
      <w:r>
        <w:t xml:space="preserve">The processing is based on </w:t>
      </w:r>
      <w:proofErr w:type="gramStart"/>
      <w:r>
        <w:t>consent;</w:t>
      </w:r>
      <w:proofErr w:type="gramEnd"/>
    </w:p>
    <w:p w14:paraId="098A424F" w14:textId="77777777" w:rsidR="003F2FC7" w:rsidRPr="003F2FC7" w:rsidRDefault="003F2FC7" w:rsidP="00D31C0C">
      <w:pPr>
        <w:pStyle w:val="squarebullets"/>
      </w:pPr>
      <w:r>
        <w:t xml:space="preserve">The processing is necessary for the performance of a </w:t>
      </w:r>
      <w:proofErr w:type="gramStart"/>
      <w:r>
        <w:t>contract;</w:t>
      </w:r>
      <w:proofErr w:type="gramEnd"/>
    </w:p>
    <w:p w14:paraId="655728CD" w14:textId="182DCBB2" w:rsidR="003F2FC7" w:rsidRDefault="003F2FC7" w:rsidP="003F2FC7">
      <w:pPr>
        <w:pStyle w:val="squarebullets"/>
      </w:pPr>
      <w:r>
        <w:t>The processing is carried out by automated means.</w:t>
      </w:r>
    </w:p>
    <w:p w14:paraId="391860FA" w14:textId="7201382C" w:rsidR="003F2FC7" w:rsidRDefault="003F2FC7" w:rsidP="003F2FC7">
      <w:r>
        <w:t xml:space="preserve">Upon receipt of a valid </w:t>
      </w:r>
      <w:proofErr w:type="gramStart"/>
      <w:r>
        <w:t>request</w:t>
      </w:r>
      <w:proofErr w:type="gramEnd"/>
      <w:r>
        <w:t xml:space="preserve"> </w:t>
      </w:r>
      <w:r w:rsidRPr="003F2FC7">
        <w:t xml:space="preserve">we will provide you with your personal data in a structured, commonly used and machine-readable format, this may include a CSV file. </w:t>
      </w:r>
    </w:p>
    <w:p w14:paraId="0F93BB01" w14:textId="5AFB48F2" w:rsidR="003F2FC7" w:rsidRDefault="003F2FC7" w:rsidP="003F2FC7">
      <w:r>
        <w:t xml:space="preserve">If requested by </w:t>
      </w:r>
      <w:r w:rsidRPr="003F2FC7">
        <w:t xml:space="preserve">you, we will securely transmit the personal data to another organisation if this is technically possible. </w:t>
      </w:r>
      <w:r>
        <w:br/>
        <w:t xml:space="preserve">Where the personal data concerned may include the personal data of other individuals, the Council will always consider whether complying with the request would impact on the rights of the other individuals. </w:t>
      </w:r>
    </w:p>
    <w:p w14:paraId="3A8B3270" w14:textId="4EA77C01" w:rsidR="003F2FC7" w:rsidRPr="004443CB" w:rsidRDefault="00E717EE" w:rsidP="00D31C0C">
      <w:pPr>
        <w:pStyle w:val="Heading3"/>
      </w:pPr>
      <w:bookmarkStart w:id="11" w:name="_Toc514054281"/>
      <w:r>
        <w:t>3</w:t>
      </w:r>
      <w:r w:rsidR="003F2FC7" w:rsidRPr="003F2FC7">
        <w:t>.7 The right to object</w:t>
      </w:r>
      <w:bookmarkEnd w:id="11"/>
    </w:p>
    <w:p w14:paraId="091AB707" w14:textId="77777777" w:rsidR="003F2FC7" w:rsidRDefault="003F2FC7" w:rsidP="003F2FC7">
      <w:r>
        <w:t>The right to object allows individuals to object to an organisation processing their personal data in the following circumstances:</w:t>
      </w:r>
    </w:p>
    <w:p w14:paraId="5FA7173F" w14:textId="77777777" w:rsidR="003F2FC7" w:rsidRPr="003F2FC7" w:rsidRDefault="003F2FC7" w:rsidP="00D31C0C">
      <w:pPr>
        <w:pStyle w:val="squarebullets"/>
      </w:pPr>
      <w:r>
        <w:t>The p</w:t>
      </w:r>
      <w:r w:rsidRPr="003F2FC7">
        <w:t xml:space="preserve">rocessing is based on legitimate </w:t>
      </w:r>
      <w:proofErr w:type="gramStart"/>
      <w:r w:rsidRPr="003F2FC7">
        <w:t>interests;</w:t>
      </w:r>
      <w:proofErr w:type="gramEnd"/>
    </w:p>
    <w:p w14:paraId="2833C80B" w14:textId="77777777" w:rsidR="003F2FC7" w:rsidRPr="003F2FC7" w:rsidRDefault="003F2FC7" w:rsidP="00D31C0C">
      <w:pPr>
        <w:pStyle w:val="squarebullets"/>
      </w:pPr>
      <w:r>
        <w:t xml:space="preserve">The processing is necessary for the performance of a task carried out in the public interest/exercise of official authority </w:t>
      </w:r>
      <w:r w:rsidRPr="003F2FC7">
        <w:t>(including profiling</w:t>
      </w:r>
      <w:proofErr w:type="gramStart"/>
      <w:r w:rsidRPr="003F2FC7">
        <w:t>);</w:t>
      </w:r>
      <w:proofErr w:type="gramEnd"/>
    </w:p>
    <w:p w14:paraId="658E2702" w14:textId="77777777" w:rsidR="003F2FC7" w:rsidRPr="003F2FC7" w:rsidRDefault="003F2FC7" w:rsidP="00D31C0C">
      <w:pPr>
        <w:pStyle w:val="squarebullets"/>
      </w:pPr>
      <w:r>
        <w:t xml:space="preserve">The personal data </w:t>
      </w:r>
      <w:r w:rsidRPr="003F2FC7">
        <w:t>is being used for direct marketing (including profiling</w:t>
      </w:r>
      <w:proofErr w:type="gramStart"/>
      <w:r w:rsidRPr="003F2FC7">
        <w:t>);</w:t>
      </w:r>
      <w:proofErr w:type="gramEnd"/>
    </w:p>
    <w:p w14:paraId="2F7E451A" w14:textId="5C9096B7" w:rsidR="003F2FC7" w:rsidRDefault="003F2FC7" w:rsidP="003F2FC7">
      <w:pPr>
        <w:pStyle w:val="squarebullets"/>
      </w:pPr>
      <w:r>
        <w:t xml:space="preserve">The processing is for the purposes of scientific </w:t>
      </w:r>
      <w:r w:rsidRPr="003F2FC7">
        <w:t>or historical research and statistics.</w:t>
      </w:r>
    </w:p>
    <w:p w14:paraId="6840AD59" w14:textId="78930CA4" w:rsidR="003F2FC7" w:rsidRDefault="003F2FC7" w:rsidP="003F2FC7">
      <w:r>
        <w:t>In exercising this right, you as an individual must have an objection on ‘grounds relating to his or her particular situation’.  The Council must comply with a request, unless:</w:t>
      </w:r>
    </w:p>
    <w:p w14:paraId="14471E27" w14:textId="77777777" w:rsidR="003F2FC7" w:rsidRPr="003F2FC7" w:rsidRDefault="003F2FC7" w:rsidP="00D31C0C">
      <w:pPr>
        <w:pStyle w:val="squarebullets"/>
      </w:pPr>
      <w:r>
        <w:t xml:space="preserve">The council can demonstrate compelling legitimate grounds for the processing which override the interests, </w:t>
      </w:r>
      <w:proofErr w:type="gramStart"/>
      <w:r>
        <w:t>rights</w:t>
      </w:r>
      <w:proofErr w:type="gramEnd"/>
      <w:r>
        <w:t xml:space="preserve"> and freedoms of</w:t>
      </w:r>
      <w:r w:rsidRPr="003F2FC7">
        <w:t xml:space="preserve"> you as the individual; or </w:t>
      </w:r>
    </w:p>
    <w:p w14:paraId="04380DCF" w14:textId="32A71EDE" w:rsidR="003F2FC7" w:rsidRDefault="003F2FC7" w:rsidP="003F2FC7">
      <w:pPr>
        <w:pStyle w:val="squarebullets"/>
      </w:pPr>
      <w:r>
        <w:t xml:space="preserve">The processing is for the establishment, </w:t>
      </w:r>
      <w:proofErr w:type="gramStart"/>
      <w:r>
        <w:t>exercise</w:t>
      </w:r>
      <w:proofErr w:type="gramEnd"/>
      <w:r>
        <w:t xml:space="preserve"> or defence of legal claims. </w:t>
      </w:r>
    </w:p>
    <w:p w14:paraId="5E6F0EF0" w14:textId="0956E947" w:rsidR="003F2FC7" w:rsidRDefault="003F2FC7" w:rsidP="003F2FC7">
      <w:r>
        <w:t>Where personal data is processed for direct marketing, the Council will stop the processing activity as so</w:t>
      </w:r>
      <w:r w:rsidR="00C61295">
        <w:t>o</w:t>
      </w:r>
      <w:r>
        <w:t xml:space="preserve">n as it receives a request and will dealt with free of charge. </w:t>
      </w:r>
    </w:p>
    <w:p w14:paraId="659CF09E" w14:textId="77777777" w:rsidR="003F2FC7" w:rsidRDefault="003F2FC7" w:rsidP="003F2FC7">
      <w:proofErr w:type="gramStart"/>
      <w:r>
        <w:lastRenderedPageBreak/>
        <w:t>In order to</w:t>
      </w:r>
      <w:proofErr w:type="gramEnd"/>
      <w:r>
        <w:t xml:space="preserve"> exercise the right to object to processing for research purposes, you must have set out what the ‘grounds relating to his or her particular situation’ are.  Where the processing for research is necessary for the performance of a public interest task, the Council is not required to comply with the request. </w:t>
      </w:r>
    </w:p>
    <w:p w14:paraId="4BA850B1" w14:textId="15E03533" w:rsidR="003F2FC7" w:rsidRDefault="00E717EE" w:rsidP="00C61295">
      <w:pPr>
        <w:pStyle w:val="Heading3"/>
      </w:pPr>
      <w:bookmarkStart w:id="12" w:name="_Toc514054282"/>
      <w:r>
        <w:t>3</w:t>
      </w:r>
      <w:r w:rsidR="003F2FC7" w:rsidRPr="003F2FC7">
        <w:t>.8 Automated individual decision making, including profiling</w:t>
      </w:r>
      <w:bookmarkEnd w:id="12"/>
    </w:p>
    <w:p w14:paraId="2A2A6E83" w14:textId="3C345CCF" w:rsidR="003F2FC7" w:rsidRDefault="003F2FC7" w:rsidP="003F2FC7">
      <w:r>
        <w:t xml:space="preserve">Individuals have the right not to be subject to a decision based solely on automated means, including profiling, where the automated process produces a legal effect for that individual or would significantly affect that individual. </w:t>
      </w:r>
    </w:p>
    <w:p w14:paraId="4570C023" w14:textId="07FDA03E" w:rsidR="003F2FC7" w:rsidRDefault="003F2FC7" w:rsidP="003F2FC7">
      <w:r>
        <w:t>This right does not apply if the decision:</w:t>
      </w:r>
    </w:p>
    <w:p w14:paraId="1187DDF4" w14:textId="77777777" w:rsidR="003F2FC7" w:rsidRPr="003F2FC7" w:rsidRDefault="003F2FC7" w:rsidP="00C61295">
      <w:pPr>
        <w:pStyle w:val="squarebullets"/>
      </w:pPr>
      <w:r>
        <w:t xml:space="preserve">Is necessary for entry into, or performance of, a contract between the individual and the </w:t>
      </w:r>
      <w:proofErr w:type="gramStart"/>
      <w:r>
        <w:t>Council;</w:t>
      </w:r>
      <w:proofErr w:type="gramEnd"/>
    </w:p>
    <w:p w14:paraId="245A87F3" w14:textId="77777777" w:rsidR="003F2FC7" w:rsidRPr="003F2FC7" w:rsidRDefault="003F2FC7" w:rsidP="00C61295">
      <w:pPr>
        <w:pStyle w:val="squarebullets"/>
      </w:pPr>
      <w:r>
        <w:t xml:space="preserve">Is </w:t>
      </w:r>
      <w:r w:rsidRPr="003F2FC7">
        <w:t xml:space="preserve">authorised by UK </w:t>
      </w:r>
      <w:proofErr w:type="gramStart"/>
      <w:r w:rsidRPr="003F2FC7">
        <w:t>law;</w:t>
      </w:r>
      <w:proofErr w:type="gramEnd"/>
    </w:p>
    <w:p w14:paraId="6183F4F9" w14:textId="497F20A5" w:rsidR="003F2FC7" w:rsidRDefault="003F2FC7" w:rsidP="003F2FC7">
      <w:pPr>
        <w:pStyle w:val="squarebullets"/>
      </w:pPr>
      <w:r>
        <w:t xml:space="preserve">Is based on the individual’s explicit consent. </w:t>
      </w:r>
    </w:p>
    <w:p w14:paraId="766E89BA" w14:textId="1D16DBE9" w:rsidR="003F2FC7" w:rsidRDefault="003F2FC7" w:rsidP="003F2FC7">
      <w:r>
        <w:t>Where a decision is based on the above points, we will ensure that you are able to request that human intervention is taken in respect of the decision and provide the opportunity for you to challe</w:t>
      </w:r>
      <w:r w:rsidR="00C61295">
        <w:t>n</w:t>
      </w:r>
      <w:r>
        <w:t xml:space="preserve">ge a decision. </w:t>
      </w:r>
      <w:r>
        <w:br/>
        <w:t xml:space="preserve">The Council will review systems regularly to ensure they are working as intended.  Any new processes which include automated decision making will always be subject to a Data Protection Impact Assessment.  </w:t>
      </w:r>
    </w:p>
    <w:p w14:paraId="1FF73FBA" w14:textId="03D5E3C8" w:rsidR="003F2FC7" w:rsidRDefault="00E717EE" w:rsidP="00C61295">
      <w:pPr>
        <w:pStyle w:val="Heading3"/>
      </w:pPr>
      <w:bookmarkStart w:id="13" w:name="_Toc514054283"/>
      <w:r>
        <w:t>3</w:t>
      </w:r>
      <w:r w:rsidR="003F2FC7" w:rsidRPr="003F2FC7">
        <w:t>.9 Can the Council refuse to comply with a request made under these rights?</w:t>
      </w:r>
      <w:bookmarkEnd w:id="13"/>
      <w:r w:rsidR="003F2FC7" w:rsidRPr="003F2FC7">
        <w:t xml:space="preserve"> </w:t>
      </w:r>
    </w:p>
    <w:p w14:paraId="23C2AAB4" w14:textId="66410F7C" w:rsidR="003F2FC7" w:rsidRDefault="003F2FC7" w:rsidP="003F2FC7">
      <w:r>
        <w:t xml:space="preserve">Where a request is manifestly unfounded or excessive Torbay Council reserves the right to charge a reasonable fee </w:t>
      </w:r>
      <w:proofErr w:type="gramStart"/>
      <w:r>
        <w:t>in order to</w:t>
      </w:r>
      <w:proofErr w:type="gramEnd"/>
      <w:r>
        <w:t xml:space="preserve"> provide a response.</w:t>
      </w:r>
      <w:r w:rsidRPr="00C36CB7">
        <w:t xml:space="preserve"> </w:t>
      </w:r>
      <w:r>
        <w:t xml:space="preserve">Any fee charged will be based on the administrative costs to process the request.  In circumstances where a fee is charged, the individual will be informed </w:t>
      </w:r>
      <w:proofErr w:type="gramStart"/>
      <w:r>
        <w:t>promptly</w:t>
      </w:r>
      <w:proofErr w:type="gramEnd"/>
      <w:r>
        <w:t xml:space="preserve"> and the Council will not comply with the request until the fee has been received. </w:t>
      </w:r>
    </w:p>
    <w:p w14:paraId="27905407" w14:textId="46D179B9" w:rsidR="00C61295" w:rsidRDefault="003F2FC7" w:rsidP="003F2FC7">
      <w:r>
        <w:t>Torbay Council also reserves the right, in cases where a request is manifestly unfounded or excessive, to refuse response to a request. Where a request is refused the Council will provide an explanation and will inform the individual of their right to complain and how to properly do so.</w:t>
      </w:r>
    </w:p>
    <w:p w14:paraId="00E2E502" w14:textId="6D8F33CF" w:rsidR="003F2FC7" w:rsidRPr="003F2FC7" w:rsidRDefault="00E717EE" w:rsidP="003F2FC7">
      <w:pPr>
        <w:pStyle w:val="Heading3"/>
      </w:pPr>
      <w:bookmarkStart w:id="14" w:name="_Toc514054284"/>
      <w:r>
        <w:t>3</w:t>
      </w:r>
      <w:r w:rsidR="003F2FC7" w:rsidRPr="003F2FC7">
        <w:t>.10 Can the Council request identification to exercise these rights?</w:t>
      </w:r>
      <w:bookmarkEnd w:id="14"/>
      <w:r w:rsidR="003F2FC7" w:rsidRPr="003F2FC7">
        <w:t xml:space="preserve"> </w:t>
      </w:r>
    </w:p>
    <w:p w14:paraId="6EF2D351" w14:textId="46549A18" w:rsidR="003F2FC7" w:rsidRDefault="003F2FC7" w:rsidP="003F2FC7">
      <w:r>
        <w:t xml:space="preserve">For requests made under the right of access (subject access requests) the Council will always ask for two forms of identification as to be assured that information is being disclosed to the correct individual. </w:t>
      </w:r>
    </w:p>
    <w:p w14:paraId="7CD1F0C0" w14:textId="13B06481" w:rsidR="003F2FC7" w:rsidRDefault="003F2FC7" w:rsidP="003F2FC7">
      <w:r>
        <w:lastRenderedPageBreak/>
        <w:t xml:space="preserve">In considering requests made in respect of any of the other rights outlined in this policy, the Council reserves the right to request identification as to be assured that the individual making the request is an individual who can exercise these rights. </w:t>
      </w:r>
    </w:p>
    <w:p w14:paraId="04393085" w14:textId="3C7DAC42" w:rsidR="00C61295" w:rsidRDefault="003F2FC7" w:rsidP="003F2FC7">
      <w:r>
        <w:t xml:space="preserve">If you are acting as a representative on behalf of an individual; the Council will always require proof that the representative can legally act in the interests on behalf of the individual, </w:t>
      </w:r>
      <w:proofErr w:type="gramStart"/>
      <w:r>
        <w:t>i.e.</w:t>
      </w:r>
      <w:proofErr w:type="gramEnd"/>
      <w:r>
        <w:t xml:space="preserve"> form of authority demonstrating consent.</w:t>
      </w:r>
    </w:p>
    <w:p w14:paraId="612C1618" w14:textId="153A300E" w:rsidR="003F2FC7" w:rsidRDefault="00E717EE" w:rsidP="00C61295">
      <w:pPr>
        <w:pStyle w:val="Heading3"/>
      </w:pPr>
      <w:bookmarkStart w:id="15" w:name="_Toc514054285"/>
      <w:r>
        <w:t>3</w:t>
      </w:r>
      <w:r w:rsidR="003F2FC7" w:rsidRPr="003F2FC7">
        <w:t>.11 Time limits for responding</w:t>
      </w:r>
      <w:bookmarkEnd w:id="15"/>
    </w:p>
    <w:p w14:paraId="271BBEFF" w14:textId="4CE8BE76" w:rsidR="003F2FC7" w:rsidRDefault="003F2FC7" w:rsidP="003F2FC7">
      <w:r>
        <w:t xml:space="preserve">Upon receiving </w:t>
      </w:r>
      <w:proofErr w:type="gramStart"/>
      <w:r>
        <w:t>requests</w:t>
      </w:r>
      <w:proofErr w:type="gramEnd"/>
      <w:r>
        <w:t xml:space="preserve"> the Council will:</w:t>
      </w:r>
    </w:p>
    <w:p w14:paraId="6E7B0730" w14:textId="77777777" w:rsidR="003F2FC7" w:rsidRPr="003F2FC7" w:rsidRDefault="003F2FC7" w:rsidP="00C61295">
      <w:pPr>
        <w:pStyle w:val="squarebullets"/>
      </w:pPr>
      <w:r>
        <w:t>Acknowledge</w:t>
      </w:r>
      <w:r w:rsidRPr="003F2FC7">
        <w:t xml:space="preserve"> requests within 3 working days</w:t>
      </w:r>
    </w:p>
    <w:p w14:paraId="00CFB261" w14:textId="77777777" w:rsidR="003F2FC7" w:rsidRPr="003F2FC7" w:rsidRDefault="003F2FC7" w:rsidP="00C61295">
      <w:pPr>
        <w:pStyle w:val="squarebullets"/>
      </w:pPr>
      <w:r>
        <w:t>Pro</w:t>
      </w:r>
      <w:r w:rsidRPr="003F2FC7">
        <w:t>vide a response within 1 month</w:t>
      </w:r>
    </w:p>
    <w:p w14:paraId="45E7D25C" w14:textId="521DCBC5" w:rsidR="003F2FC7" w:rsidRPr="00C42FCB" w:rsidRDefault="003F2FC7" w:rsidP="00C61295">
      <w:pPr>
        <w:pStyle w:val="squarebullets"/>
      </w:pPr>
      <w:r>
        <w:t>Keep you informed should an extension to the timescale is applied.</w:t>
      </w:r>
    </w:p>
    <w:p w14:paraId="219077A8" w14:textId="6B4003AE" w:rsidR="003F2FC7" w:rsidRPr="006775DB" w:rsidRDefault="003F2FC7" w:rsidP="003F2FC7">
      <w:r w:rsidRPr="006775DB">
        <w:t xml:space="preserve">Where a request is complex or </w:t>
      </w:r>
      <w:proofErr w:type="gramStart"/>
      <w:r w:rsidRPr="006775DB">
        <w:t>a number of</w:t>
      </w:r>
      <w:proofErr w:type="gramEnd"/>
      <w:r w:rsidRPr="006775DB">
        <w:t xml:space="preserve"> req</w:t>
      </w:r>
      <w:r>
        <w:t>uests have been received from a single individual, the Council may need to</w:t>
      </w:r>
      <w:r w:rsidRPr="006775DB">
        <w:t xml:space="preserve"> extend the timeframe by a further </w:t>
      </w:r>
      <w:r>
        <w:t xml:space="preserve">two months.  </w:t>
      </w:r>
      <w:r w:rsidRPr="006775DB">
        <w:t xml:space="preserve">We will always keep you informed </w:t>
      </w:r>
      <w:proofErr w:type="gramStart"/>
      <w:r>
        <w:t>if and when</w:t>
      </w:r>
      <w:proofErr w:type="gramEnd"/>
      <w:r>
        <w:t xml:space="preserve"> an extension is applied</w:t>
      </w:r>
      <w:r w:rsidRPr="006775DB">
        <w:t>, providing</w:t>
      </w:r>
      <w:r>
        <w:t xml:space="preserve"> the reason and clear expectation of when you should receive the response.</w:t>
      </w:r>
      <w:r w:rsidRPr="006775DB">
        <w:t xml:space="preserve"> </w:t>
      </w:r>
    </w:p>
    <w:p w14:paraId="65E353EF" w14:textId="3A769292" w:rsidR="003F2FC7" w:rsidRDefault="003F2FC7" w:rsidP="003F2FC7">
      <w:r w:rsidRPr="006775DB">
        <w:t>In relation to subject acce</w:t>
      </w:r>
      <w:r>
        <w:t>ss requests, the Council may</w:t>
      </w:r>
      <w:r w:rsidRPr="006775DB">
        <w:t xml:space="preserve"> need to extend the timescales by where this is a significant amount of information to be reviewed, we may extend the timeframe by a further two months (62 calendar days).  We will always keep you informed</w:t>
      </w:r>
      <w:r>
        <w:t xml:space="preserve"> </w:t>
      </w:r>
      <w:proofErr w:type="gramStart"/>
      <w:r>
        <w:t>if and</w:t>
      </w:r>
      <w:r w:rsidRPr="006775DB">
        <w:t xml:space="preserve"> when</w:t>
      </w:r>
      <w:proofErr w:type="gramEnd"/>
      <w:r w:rsidRPr="006775DB">
        <w:t xml:space="preserve"> we apply this extension.</w:t>
      </w:r>
    </w:p>
    <w:p w14:paraId="5D17F028" w14:textId="77777777" w:rsidR="003F2FC7" w:rsidRDefault="003F2FC7" w:rsidP="003F2FC7">
      <w:r w:rsidRPr="003F2FC7">
        <w:rPr>
          <w:noProof/>
        </w:rPr>
        <mc:AlternateContent>
          <mc:Choice Requires="wps">
            <w:drawing>
              <wp:anchor distT="0" distB="0" distL="114300" distR="114300" simplePos="0" relativeHeight="251659264" behindDoc="0" locked="0" layoutInCell="1" allowOverlap="1" wp14:anchorId="48B8680E" wp14:editId="657CBA2C">
                <wp:simplePos x="0" y="0"/>
                <wp:positionH relativeFrom="margin">
                  <wp:align>left</wp:align>
                </wp:positionH>
                <wp:positionV relativeFrom="paragraph">
                  <wp:posOffset>182245</wp:posOffset>
                </wp:positionV>
                <wp:extent cx="6467475" cy="1266825"/>
                <wp:effectExtent l="0" t="0" r="28575" b="28575"/>
                <wp:wrapNone/>
                <wp:docPr id="3" name="Rounded Rectangle 2"/>
                <wp:cNvGraphicFramePr/>
                <a:graphic xmlns:a="http://schemas.openxmlformats.org/drawingml/2006/main">
                  <a:graphicData uri="http://schemas.microsoft.com/office/word/2010/wordprocessingShape">
                    <wps:wsp>
                      <wps:cNvSpPr/>
                      <wps:spPr>
                        <a:xfrm>
                          <a:off x="0" y="0"/>
                          <a:ext cx="6467475" cy="1266825"/>
                        </a:xfrm>
                        <a:prstGeom prst="roundRect">
                          <a:avLst/>
                        </a:prstGeom>
                      </wps:spPr>
                      <wps:style>
                        <a:lnRef idx="2">
                          <a:schemeClr val="dk1"/>
                        </a:lnRef>
                        <a:fillRef idx="1">
                          <a:schemeClr val="lt1"/>
                        </a:fillRef>
                        <a:effectRef idx="0">
                          <a:schemeClr val="dk1"/>
                        </a:effectRef>
                        <a:fontRef idx="minor">
                          <a:schemeClr val="dk1"/>
                        </a:fontRef>
                      </wps:style>
                      <wps:txbx>
                        <w:txbxContent>
                          <w:p w14:paraId="273494BB" w14:textId="11250CCA" w:rsidR="003F2FC7" w:rsidRPr="006775DB" w:rsidRDefault="003F2FC7" w:rsidP="003F2FC7">
                            <w:r w:rsidRPr="006775DB">
                              <w:rPr>
                                <w:b/>
                                <w:u w:val="single"/>
                              </w:rPr>
                              <w:t>Example</w:t>
                            </w:r>
                            <w:r w:rsidRPr="006775DB">
                              <w:t>: if the Council receives a request on 30 March, the time limit starts from 31 March</w:t>
                            </w:r>
                            <w:r w:rsidR="00C61295">
                              <w:t>.</w:t>
                            </w:r>
                            <w:r w:rsidRPr="006775DB">
                              <w:t xml:space="preserve">  As there is no equivalent date in April the Council </w:t>
                            </w:r>
                            <w:proofErr w:type="gramStart"/>
                            <w:r w:rsidRPr="006775DB">
                              <w:t>has to</w:t>
                            </w:r>
                            <w:proofErr w:type="gramEnd"/>
                            <w:r w:rsidRPr="006775DB">
                              <w:t xml:space="preserve"> respond by 30 April. </w:t>
                            </w:r>
                          </w:p>
                          <w:p w14:paraId="273A989C" w14:textId="77777777" w:rsidR="003F2FC7" w:rsidRPr="006775DB" w:rsidRDefault="003F2FC7" w:rsidP="003F2FC7">
                            <w:r w:rsidRPr="006775DB">
                              <w:t>If the 30 April falls on a weekend or a Bank Holiday, the Council has until the end of the next working day to comply with the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8680E" id="Rounded Rectangle 2" o:spid="_x0000_s1026" style="position:absolute;margin-left:0;margin-top:14.35pt;width:509.25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" fillcolor="white [3201]" strokecolor="#002f6c [3200]" strokeweight="1pt">
                <v:stroke joinstyle="miter"/>
                <v:textbox>
                  <w:txbxContent>
                    <w:p w14:paraId="273494BB" w14:textId="11250CCA" w:rsidR="003F2FC7" w:rsidRPr="006775DB" w:rsidRDefault="003F2FC7" w:rsidP="003F2FC7">
                      <w:r w:rsidRPr="006775DB">
                        <w:rPr>
                          <w:b/>
                          <w:u w:val="single"/>
                        </w:rPr>
                        <w:t>Example</w:t>
                      </w:r>
                      <w:r w:rsidRPr="006775DB">
                        <w:t>: if the Council receives a request on 30 March, the time limit starts from 31 March</w:t>
                      </w:r>
                      <w:r w:rsidR="00C61295">
                        <w:t>.</w:t>
                      </w:r>
                      <w:r w:rsidRPr="006775DB">
                        <w:t xml:space="preserve">  As there is no equivalent date in April the Council </w:t>
                      </w:r>
                      <w:proofErr w:type="gramStart"/>
                      <w:r w:rsidRPr="006775DB">
                        <w:t>has to</w:t>
                      </w:r>
                      <w:proofErr w:type="gramEnd"/>
                      <w:r w:rsidRPr="006775DB">
                        <w:t xml:space="preserve"> respond by 30 April. </w:t>
                      </w:r>
                    </w:p>
                    <w:p w14:paraId="273A989C" w14:textId="77777777" w:rsidR="003F2FC7" w:rsidRPr="006775DB" w:rsidRDefault="003F2FC7" w:rsidP="003F2FC7">
                      <w:r w:rsidRPr="006775DB">
                        <w:t>If the 30 April falls on a weekend or a Bank Holiday, the Council has until the end of the next working day to comply with the request.</w:t>
                      </w:r>
                    </w:p>
                  </w:txbxContent>
                </v:textbox>
                <w10:wrap anchorx="margin"/>
              </v:roundrect>
            </w:pict>
          </mc:Fallback>
        </mc:AlternateContent>
      </w:r>
    </w:p>
    <w:p w14:paraId="7A6523CA" w14:textId="77777777" w:rsidR="003F2FC7" w:rsidRDefault="003F2FC7" w:rsidP="003F2FC7"/>
    <w:p w14:paraId="151B06DA" w14:textId="77777777" w:rsidR="003F2FC7" w:rsidRDefault="003F2FC7" w:rsidP="003F2FC7"/>
    <w:p w14:paraId="48E2A672" w14:textId="77777777" w:rsidR="003F2FC7" w:rsidRDefault="003F2FC7" w:rsidP="003F2FC7"/>
    <w:p w14:paraId="2A38E47F" w14:textId="4CAFD41E" w:rsidR="00C94541" w:rsidRPr="00C94541" w:rsidRDefault="00C94541" w:rsidP="00C94541"/>
    <w:p w14:paraId="2A38E480" w14:textId="1F639D5A" w:rsidR="00C94541" w:rsidRDefault="00C94541" w:rsidP="00C94541">
      <w:pPr>
        <w:pStyle w:val="Heading1"/>
      </w:pPr>
      <w:bookmarkStart w:id="16" w:name="_Toc513753494"/>
      <w:bookmarkStart w:id="17" w:name="_Toc85624693"/>
      <w:r>
        <w:t xml:space="preserve">4. </w:t>
      </w:r>
      <w:bookmarkEnd w:id="16"/>
      <w:r w:rsidR="00C61295">
        <w:t>FOI and EIR</w:t>
      </w:r>
      <w:bookmarkEnd w:id="17"/>
      <w:r w:rsidRPr="00C94541">
        <w:t xml:space="preserve"> </w:t>
      </w:r>
    </w:p>
    <w:p w14:paraId="2ACD8034" w14:textId="6B2D5CB5" w:rsidR="005A4ED4" w:rsidRPr="005A4ED4" w:rsidRDefault="005A4ED4" w:rsidP="005A4ED4">
      <w:r w:rsidRPr="005A4ED4">
        <w:t>The Freedom of Information Act 2000 (FOI) and Environmental Information Regulations 2004 (</w:t>
      </w:r>
      <w:smartTag w:uri="urn:schemas-microsoft-com:office:smarttags" w:element="stockticker">
        <w:r w:rsidRPr="005A4ED4">
          <w:t>EIR</w:t>
        </w:r>
      </w:smartTag>
      <w:r w:rsidRPr="005A4ED4">
        <w:t xml:space="preserve">) provides individuals with a right of access to non-personal information held by the Council creating openness and </w:t>
      </w:r>
      <w:proofErr w:type="gramStart"/>
      <w:r w:rsidRPr="005A4ED4">
        <w:t>transparency, unless</w:t>
      </w:r>
      <w:proofErr w:type="gramEnd"/>
      <w:r w:rsidRPr="005A4ED4">
        <w:t xml:space="preserve"> an exemption applies</w:t>
      </w:r>
      <w:r>
        <w:t>.</w:t>
      </w:r>
    </w:p>
    <w:p w14:paraId="53C31826" w14:textId="57E28EAC" w:rsidR="005A4ED4" w:rsidRPr="005A4ED4" w:rsidRDefault="00E717EE" w:rsidP="005A4ED4">
      <w:pPr>
        <w:pStyle w:val="Heading3"/>
      </w:pPr>
      <w:r>
        <w:t>4</w:t>
      </w:r>
      <w:r w:rsidR="005A4ED4" w:rsidRPr="005A4ED4">
        <w:t>.1</w:t>
      </w:r>
      <w:r w:rsidR="005A4ED4" w:rsidRPr="005A4ED4">
        <w:tab/>
        <w:t>What information is covered under FOI and EIR?</w:t>
      </w:r>
    </w:p>
    <w:p w14:paraId="7E82534D" w14:textId="77777777" w:rsidR="005A4ED4" w:rsidRPr="005A4ED4" w:rsidRDefault="005A4ED4" w:rsidP="005A4ED4">
      <w:r w:rsidRPr="005A4ED4">
        <w:t>The legislation applies to all recorded information held by the Council where it is:</w:t>
      </w:r>
    </w:p>
    <w:p w14:paraId="0EA3EDA7" w14:textId="77777777" w:rsidR="005A4ED4" w:rsidRPr="005A4ED4" w:rsidRDefault="005A4ED4" w:rsidP="005A4ED4">
      <w:pPr>
        <w:pStyle w:val="squarebullets"/>
      </w:pPr>
      <w:r w:rsidRPr="005A4ED4">
        <w:lastRenderedPageBreak/>
        <w:t>Created in the conduct of the Council’s business.</w:t>
      </w:r>
    </w:p>
    <w:p w14:paraId="41E0D012" w14:textId="77777777" w:rsidR="005A4ED4" w:rsidRPr="005A4ED4" w:rsidRDefault="005A4ED4" w:rsidP="005A4ED4">
      <w:pPr>
        <w:pStyle w:val="squarebullets"/>
      </w:pPr>
      <w:r w:rsidRPr="005A4ED4">
        <w:t>Created/processed by staff members and elected members regardless of office, mobile or home working.</w:t>
      </w:r>
    </w:p>
    <w:p w14:paraId="689B296A" w14:textId="77777777" w:rsidR="005A4ED4" w:rsidRPr="005A4ED4" w:rsidRDefault="005A4ED4" w:rsidP="005A4ED4">
      <w:pPr>
        <w:pStyle w:val="squarebullets"/>
      </w:pPr>
      <w:r w:rsidRPr="005A4ED4">
        <w:t xml:space="preserve">Created in any format </w:t>
      </w:r>
      <w:proofErr w:type="gramStart"/>
      <w:r w:rsidRPr="005A4ED4">
        <w:t>e.g.</w:t>
      </w:r>
      <w:proofErr w:type="gramEnd"/>
      <w:r w:rsidRPr="005A4ED4">
        <w:t xml:space="preserve"> paper, audio, video, electronic, email, etc.</w:t>
      </w:r>
    </w:p>
    <w:p w14:paraId="2390B069" w14:textId="77777777" w:rsidR="005A4ED4" w:rsidRPr="005A4ED4" w:rsidRDefault="005A4ED4" w:rsidP="005A4ED4">
      <w:pPr>
        <w:pStyle w:val="squarebullets"/>
      </w:pPr>
      <w:r w:rsidRPr="005A4ED4">
        <w:t>Regardless of the date the information is generated or received.</w:t>
      </w:r>
    </w:p>
    <w:p w14:paraId="3D3214C7" w14:textId="6DB08851" w:rsidR="005A4ED4" w:rsidRDefault="005A4ED4" w:rsidP="005A4ED4">
      <w:pPr>
        <w:pStyle w:val="squarebullets"/>
      </w:pPr>
      <w:r w:rsidRPr="005A4ED4">
        <w:t xml:space="preserve">Received from any person whether a private individual, commercial </w:t>
      </w:r>
      <w:proofErr w:type="gramStart"/>
      <w:r w:rsidRPr="005A4ED4">
        <w:t>organisation</w:t>
      </w:r>
      <w:proofErr w:type="gramEnd"/>
      <w:r w:rsidRPr="005A4ED4">
        <w:t xml:space="preserve"> or the media.</w:t>
      </w:r>
    </w:p>
    <w:p w14:paraId="3E3BFBFE" w14:textId="53611308" w:rsidR="005A4ED4" w:rsidRPr="005A4ED4" w:rsidRDefault="00E717EE" w:rsidP="005A4ED4">
      <w:pPr>
        <w:pStyle w:val="Heading3"/>
      </w:pPr>
      <w:r>
        <w:t>4</w:t>
      </w:r>
      <w:r w:rsidR="005A4ED4" w:rsidRPr="005A4ED4">
        <w:t>.2</w:t>
      </w:r>
      <w:r w:rsidR="005A4ED4" w:rsidRPr="005A4ED4">
        <w:tab/>
        <w:t>The Council’s obligations</w:t>
      </w:r>
    </w:p>
    <w:p w14:paraId="72A84240" w14:textId="77777777" w:rsidR="005A4ED4" w:rsidRPr="005A4ED4" w:rsidRDefault="005A4ED4" w:rsidP="005A4ED4">
      <w:r w:rsidRPr="005A4ED4">
        <w:t>If information is requested and is held by the Council, then it must be disclosed unless there is an exemption to restrict/prevent its release.</w:t>
      </w:r>
    </w:p>
    <w:p w14:paraId="4A257A5E" w14:textId="04D4C734" w:rsidR="005A4ED4" w:rsidRDefault="005A4ED4" w:rsidP="001326D2">
      <w:pPr>
        <w:pStyle w:val="squarebullets"/>
        <w:numPr>
          <w:ilvl w:val="0"/>
          <w:numId w:val="0"/>
        </w:numPr>
        <w:ind w:left="360" w:hanging="360"/>
      </w:pPr>
      <w:r w:rsidRPr="005A4ED4">
        <w:t>The Council is obliged under FOI and EIR to:</w:t>
      </w:r>
    </w:p>
    <w:p w14:paraId="71EADA39" w14:textId="77777777" w:rsidR="001326D2" w:rsidRPr="005A4ED4" w:rsidRDefault="001326D2" w:rsidP="001326D2">
      <w:pPr>
        <w:pStyle w:val="squarebullets"/>
        <w:numPr>
          <w:ilvl w:val="0"/>
          <w:numId w:val="0"/>
        </w:numPr>
      </w:pPr>
    </w:p>
    <w:p w14:paraId="5B3980FD" w14:textId="77777777" w:rsidR="005A4ED4" w:rsidRPr="005A4ED4" w:rsidRDefault="005A4ED4" w:rsidP="005A4ED4">
      <w:pPr>
        <w:pStyle w:val="squarebullets"/>
      </w:pPr>
      <w:r w:rsidRPr="005A4ED4">
        <w:t>Publish information in accordance with its approved Publication Scheme.</w:t>
      </w:r>
    </w:p>
    <w:p w14:paraId="481642A0" w14:textId="77777777" w:rsidR="005A4ED4" w:rsidRPr="005A4ED4" w:rsidRDefault="005A4ED4" w:rsidP="005A4ED4">
      <w:pPr>
        <w:pStyle w:val="squarebullets"/>
      </w:pPr>
      <w:r w:rsidRPr="005A4ED4">
        <w:t>Have clear arrangements for dealing with requests.</w:t>
      </w:r>
    </w:p>
    <w:p w14:paraId="1906D05D" w14:textId="77777777" w:rsidR="005A4ED4" w:rsidRPr="005A4ED4" w:rsidRDefault="005A4ED4" w:rsidP="005A4ED4">
      <w:pPr>
        <w:pStyle w:val="squarebullets"/>
      </w:pPr>
      <w:r w:rsidRPr="005A4ED4">
        <w:t>Have a monitoring system to record and monitor requests.</w:t>
      </w:r>
    </w:p>
    <w:p w14:paraId="4951DB4F" w14:textId="2279F4E3" w:rsidR="005A4ED4" w:rsidRPr="005A4ED4" w:rsidRDefault="005A4ED4" w:rsidP="005A4ED4">
      <w:pPr>
        <w:pStyle w:val="squarebullets"/>
      </w:pPr>
      <w:r w:rsidRPr="005A4ED4">
        <w:t xml:space="preserve">Have a clear process for dealing with complaints relating to FOI and </w:t>
      </w:r>
      <w:smartTag w:uri="urn:schemas-microsoft-com:office:smarttags" w:element="stockticker">
        <w:r w:rsidRPr="005A4ED4">
          <w:t>EIR</w:t>
        </w:r>
      </w:smartTag>
      <w:r w:rsidRPr="005A4ED4">
        <w:t xml:space="preserve"> requests.</w:t>
      </w:r>
    </w:p>
    <w:p w14:paraId="023BC22A" w14:textId="220E3B89" w:rsidR="005A4ED4" w:rsidRPr="005A4ED4" w:rsidRDefault="00E717EE" w:rsidP="001326D2">
      <w:pPr>
        <w:pStyle w:val="Heading3"/>
      </w:pPr>
      <w:r>
        <w:t>4</w:t>
      </w:r>
      <w:r w:rsidR="005A4ED4" w:rsidRPr="005A4ED4">
        <w:t>.3</w:t>
      </w:r>
      <w:r w:rsidR="005A4ED4" w:rsidRPr="005A4ED4">
        <w:tab/>
        <w:t>Publication Scheme</w:t>
      </w:r>
    </w:p>
    <w:p w14:paraId="7C08E697" w14:textId="546770CE" w:rsidR="005A4ED4" w:rsidRPr="005A4ED4" w:rsidRDefault="001326D2" w:rsidP="005A4ED4">
      <w:r>
        <w:t>T</w:t>
      </w:r>
      <w:r w:rsidR="005A4ED4" w:rsidRPr="005A4ED4">
        <w:t>orbay Council is required to publish and maintain a Publication Scheme approved by the ICO.  The Publication Scheme is both a public commitment to make certain information available and a guide as to how that information can be obtained.  The Council’s Publication Scheme can be found on our website.</w:t>
      </w:r>
    </w:p>
    <w:p w14:paraId="4C8C4868" w14:textId="67179C17" w:rsidR="005A4ED4" w:rsidRPr="005A4ED4" w:rsidRDefault="00E717EE" w:rsidP="004600CB">
      <w:pPr>
        <w:pStyle w:val="Heading3"/>
      </w:pPr>
      <w:r>
        <w:t>4</w:t>
      </w:r>
      <w:r w:rsidR="005A4ED4" w:rsidRPr="005A4ED4">
        <w:t>.3.1</w:t>
      </w:r>
      <w:r w:rsidR="005A4ED4" w:rsidRPr="005A4ED4">
        <w:tab/>
        <w:t>Disclosure Log</w:t>
      </w:r>
    </w:p>
    <w:p w14:paraId="2EAC7D9D" w14:textId="0DBF66AD" w:rsidR="004600CB" w:rsidRDefault="005A4ED4" w:rsidP="005A4ED4">
      <w:r w:rsidRPr="005A4ED4">
        <w:t>As part of its Publication Scheme and in accordance with ICO good practice, the Council also produces and maintains a log of requests called "</w:t>
      </w:r>
      <w:hyperlink r:id="rId12" w:tgtFrame="_blank" w:history="1">
        <w:r w:rsidRPr="005A4ED4">
          <w:t>the Disclosure Log</w:t>
        </w:r>
      </w:hyperlink>
      <w:r w:rsidRPr="005A4ED4">
        <w:t xml:space="preserve">". The Disclosure Log provides details of responses to information requests which have been received and are deemed to be of public interest.  </w:t>
      </w:r>
      <w:proofErr w:type="gramStart"/>
      <w:r w:rsidRPr="005A4ED4">
        <w:t>In order to</w:t>
      </w:r>
      <w:proofErr w:type="gramEnd"/>
      <w:r w:rsidRPr="005A4ED4">
        <w:t xml:space="preserve"> maintain our commitment to the public; these logs are depersonalised in accordance with Data Protection Law.</w:t>
      </w:r>
    </w:p>
    <w:p w14:paraId="250E8B3B" w14:textId="5EFF1391" w:rsidR="005A4ED4" w:rsidRPr="005A4ED4" w:rsidRDefault="00E717EE" w:rsidP="004600CB">
      <w:pPr>
        <w:pStyle w:val="Heading3"/>
      </w:pPr>
      <w:r>
        <w:t>4</w:t>
      </w:r>
      <w:r w:rsidR="005A4ED4" w:rsidRPr="005A4ED4">
        <w:t>.4</w:t>
      </w:r>
      <w:r w:rsidR="005A4ED4" w:rsidRPr="005A4ED4">
        <w:tab/>
        <w:t>Making a request</w:t>
      </w:r>
    </w:p>
    <w:p w14:paraId="7D86A5D6" w14:textId="5939B50B" w:rsidR="005A4ED4" w:rsidRPr="005A4ED4" w:rsidRDefault="005A4ED4" w:rsidP="005A4ED4">
      <w:r w:rsidRPr="005A4ED4">
        <w:t>To make a request under FOI you must:</w:t>
      </w:r>
    </w:p>
    <w:p w14:paraId="3194FE9A" w14:textId="77777777" w:rsidR="005A4ED4" w:rsidRPr="005A4ED4" w:rsidRDefault="005A4ED4" w:rsidP="004600CB">
      <w:pPr>
        <w:pStyle w:val="squarebullets"/>
      </w:pPr>
      <w:r w:rsidRPr="005A4ED4">
        <w:t>Submit your request in writing.</w:t>
      </w:r>
    </w:p>
    <w:p w14:paraId="3BF8172A" w14:textId="77777777" w:rsidR="005A4ED4" w:rsidRPr="005A4ED4" w:rsidRDefault="005A4ED4" w:rsidP="004600CB">
      <w:pPr>
        <w:pStyle w:val="squarebullets"/>
      </w:pPr>
      <w:r w:rsidRPr="005A4ED4">
        <w:t>Provide your name and address (postal or email).</w:t>
      </w:r>
    </w:p>
    <w:p w14:paraId="2CD59875" w14:textId="4626F5E6" w:rsidR="005A4ED4" w:rsidRPr="005A4ED4" w:rsidRDefault="005A4ED4" w:rsidP="005A4ED4">
      <w:pPr>
        <w:pStyle w:val="squarebullets"/>
      </w:pPr>
      <w:r w:rsidRPr="005A4ED4">
        <w:t>Clearly describe the information you are requesting to enable the Council to locate it.</w:t>
      </w:r>
    </w:p>
    <w:p w14:paraId="446B15D7" w14:textId="626AF597" w:rsidR="005A4ED4" w:rsidRDefault="005A4ED4" w:rsidP="005A4ED4">
      <w:r w:rsidRPr="005A4ED4">
        <w:t xml:space="preserve">Under Section 8(1) of the Act, </w:t>
      </w:r>
      <w:proofErr w:type="gramStart"/>
      <w:r w:rsidRPr="005A4ED4">
        <w:t>in order for</w:t>
      </w:r>
      <w:proofErr w:type="gramEnd"/>
      <w:r w:rsidRPr="005A4ED4">
        <w:t xml:space="preserve"> a request to be valid, an applicant must supply what is deemed to be a “real name”. </w:t>
      </w:r>
      <w:r w:rsidRPr="006D4357">
        <w:t xml:space="preserve"> </w:t>
      </w:r>
      <w:proofErr w:type="gramStart"/>
      <w:r>
        <w:t>Therefore</w:t>
      </w:r>
      <w:proofErr w:type="gramEnd"/>
      <w:r>
        <w:t xml:space="preserve"> your title and/or first name along with your surname is required.</w:t>
      </w:r>
    </w:p>
    <w:p w14:paraId="71636B44" w14:textId="2A864A3F" w:rsidR="005A4ED4" w:rsidRDefault="005A4ED4" w:rsidP="005A4ED4">
      <w:r w:rsidRPr="005A4ED4">
        <w:lastRenderedPageBreak/>
        <w:t xml:space="preserve">For </w:t>
      </w:r>
      <w:proofErr w:type="gramStart"/>
      <w:r w:rsidRPr="005A4ED4">
        <w:t>example</w:t>
      </w:r>
      <w:proofErr w:type="gramEnd"/>
      <w:r w:rsidRPr="005A4ED4">
        <w:t xml:space="preserve"> Mr Arthur Thomas Roberts could satisfy Section 8(1)(b) of the Act by stating his name in a request for information as “Arthur Roberts”, “A. T. Roberts”, or “Mr Roberts”, but not by stating his name as “Arthur” or “A.T.R”.</w:t>
      </w:r>
    </w:p>
    <w:p w14:paraId="7CDB1725" w14:textId="09F19227" w:rsidR="00193F4C" w:rsidRPr="005A4ED4" w:rsidRDefault="00193F4C" w:rsidP="005A4ED4">
      <w:r>
        <w:t xml:space="preserve">An EIR request can be made </w:t>
      </w:r>
      <w:r w:rsidR="006C4DDB">
        <w:t>verbally or in writing</w:t>
      </w:r>
      <w:r w:rsidR="00E52462">
        <w:t xml:space="preserve">, however we will </w:t>
      </w:r>
      <w:r w:rsidR="005911F9">
        <w:t xml:space="preserve">require your contact details as we are required to respond to an EIR request in writing. </w:t>
      </w:r>
    </w:p>
    <w:p w14:paraId="2476D84A" w14:textId="5D2F94EC" w:rsidR="005A4ED4" w:rsidRPr="005A4ED4" w:rsidRDefault="00E717EE" w:rsidP="004600CB">
      <w:pPr>
        <w:pStyle w:val="Heading3"/>
      </w:pPr>
      <w:r>
        <w:t>4</w:t>
      </w:r>
      <w:r w:rsidR="005A4ED4" w:rsidRPr="005A4ED4">
        <w:t>.5</w:t>
      </w:r>
      <w:r w:rsidR="005A4ED4" w:rsidRPr="005A4ED4">
        <w:tab/>
        <w:t>Processing a request</w:t>
      </w:r>
    </w:p>
    <w:p w14:paraId="065F3D19" w14:textId="7722BA8C" w:rsidR="005A4ED4" w:rsidRPr="005A4ED4" w:rsidRDefault="005A4ED4" w:rsidP="005A4ED4">
      <w:r w:rsidRPr="005A4ED4">
        <w:t>On receipt of a valid request, the Council will:</w:t>
      </w:r>
    </w:p>
    <w:p w14:paraId="0EB7ADD8" w14:textId="77777777" w:rsidR="005A4ED4" w:rsidRPr="005A4ED4" w:rsidRDefault="005A4ED4" w:rsidP="004600CB">
      <w:pPr>
        <w:pStyle w:val="squarebullets"/>
      </w:pPr>
      <w:r w:rsidRPr="005A4ED4">
        <w:t>Acknowledge your request within 3 working days</w:t>
      </w:r>
    </w:p>
    <w:p w14:paraId="3794EF11" w14:textId="77777777" w:rsidR="005A4ED4" w:rsidRPr="005A4ED4" w:rsidRDefault="005A4ED4" w:rsidP="004600CB">
      <w:pPr>
        <w:pStyle w:val="squarebullets"/>
      </w:pPr>
      <w:r w:rsidRPr="005A4ED4">
        <w:t>Provide a response within 20 working days of receipt unless the Public Interest Test needs to be considered in which case an extension of a further 20 working days may be applied. In these circumstances, we will advise you as soon as possible.</w:t>
      </w:r>
    </w:p>
    <w:p w14:paraId="67A43079" w14:textId="77777777" w:rsidR="005A4ED4" w:rsidRPr="005A4ED4" w:rsidRDefault="005A4ED4" w:rsidP="004600CB">
      <w:pPr>
        <w:pStyle w:val="squarebullets"/>
      </w:pPr>
      <w:r w:rsidRPr="005A4ED4">
        <w:t xml:space="preserve">Where an exemption has been applied to any </w:t>
      </w:r>
      <w:proofErr w:type="gramStart"/>
      <w:r w:rsidRPr="005A4ED4">
        <w:t>information</w:t>
      </w:r>
      <w:proofErr w:type="gramEnd"/>
      <w:r w:rsidRPr="005A4ED4">
        <w:t xml:space="preserve"> we will notify you of the exemption being applied</w:t>
      </w:r>
    </w:p>
    <w:p w14:paraId="20E46EDF" w14:textId="77777777" w:rsidR="005A4ED4" w:rsidRPr="005A4ED4" w:rsidRDefault="005A4ED4" w:rsidP="004600CB">
      <w:pPr>
        <w:pStyle w:val="squarebullets"/>
      </w:pPr>
      <w:r w:rsidRPr="005A4ED4">
        <w:t>Advise you as soon as possible if the information requested is held by a different organisation</w:t>
      </w:r>
    </w:p>
    <w:p w14:paraId="767E1D7A" w14:textId="77777777" w:rsidR="005A4ED4" w:rsidRPr="005A4ED4" w:rsidRDefault="005A4ED4" w:rsidP="004600CB">
      <w:pPr>
        <w:pStyle w:val="squarebullets"/>
      </w:pPr>
      <w:r w:rsidRPr="005A4ED4">
        <w:t>Provide you with advice on how to make a complaint if you are dissatisfied with how your request has been handled</w:t>
      </w:r>
    </w:p>
    <w:p w14:paraId="5F378F0C" w14:textId="5186EF30" w:rsidR="005A4ED4" w:rsidRPr="005A4ED4" w:rsidRDefault="00E717EE" w:rsidP="005D5898">
      <w:pPr>
        <w:pStyle w:val="Heading3"/>
      </w:pPr>
      <w:r>
        <w:t>4</w:t>
      </w:r>
      <w:r w:rsidR="005A4ED4" w:rsidRPr="005A4ED4">
        <w:t>.6</w:t>
      </w:r>
      <w:r w:rsidR="005A4ED4" w:rsidRPr="005A4ED4">
        <w:tab/>
        <w:t>Exemptions</w:t>
      </w:r>
    </w:p>
    <w:p w14:paraId="15931BD0" w14:textId="77777777" w:rsidR="005A4ED4" w:rsidRPr="005A4ED4" w:rsidRDefault="005A4ED4" w:rsidP="005A4ED4">
      <w:r w:rsidRPr="005A4ED4">
        <w:t xml:space="preserve">Under FOI and EIR there are </w:t>
      </w:r>
      <w:proofErr w:type="gramStart"/>
      <w:r w:rsidRPr="005A4ED4">
        <w:t>a number of</w:t>
      </w:r>
      <w:proofErr w:type="gramEnd"/>
      <w:r w:rsidRPr="005A4ED4">
        <w:t xml:space="preserve"> exemptions that remove the right of access, these are:</w:t>
      </w:r>
    </w:p>
    <w:tbl>
      <w:tblPr>
        <w:tblStyle w:val="ListTable3-Accent4"/>
        <w:tblW w:w="10080" w:type="dxa"/>
        <w:tblLook w:val="01E0" w:firstRow="1" w:lastRow="1" w:firstColumn="1" w:lastColumn="1" w:noHBand="0" w:noVBand="0"/>
      </w:tblPr>
      <w:tblGrid>
        <w:gridCol w:w="1443"/>
        <w:gridCol w:w="7204"/>
        <w:gridCol w:w="1433"/>
      </w:tblGrid>
      <w:tr w:rsidR="005A4ED4" w:rsidRPr="00A0314C" w14:paraId="6C866D22" w14:textId="77777777" w:rsidTr="00550B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0" w:type="dxa"/>
            <w:gridSpan w:val="3"/>
          </w:tcPr>
          <w:p w14:paraId="2EB83999" w14:textId="77777777" w:rsidR="005A4ED4" w:rsidRPr="005A4ED4" w:rsidRDefault="005A4ED4" w:rsidP="005A4ED4">
            <w:r w:rsidRPr="005A4ED4">
              <w:t>Freedom of Information Act 2000 Exemptions (All Qualified Exemptions are subject to the Public Interest Test)</w:t>
            </w:r>
          </w:p>
        </w:tc>
      </w:tr>
      <w:tr w:rsidR="005A4ED4" w:rsidRPr="00A0314C" w14:paraId="4E136B3F"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7C15A749" w14:textId="77777777" w:rsidR="005A4ED4" w:rsidRPr="008F65DE" w:rsidRDefault="005A4ED4" w:rsidP="005A4ED4">
            <w:pPr>
              <w:rPr>
                <w:sz w:val="22"/>
                <w:szCs w:val="22"/>
              </w:rPr>
            </w:pPr>
            <w:r w:rsidRPr="008F65DE">
              <w:rPr>
                <w:sz w:val="22"/>
                <w:szCs w:val="22"/>
              </w:rPr>
              <w:t>Exemption</w:t>
            </w:r>
          </w:p>
        </w:tc>
        <w:tc>
          <w:tcPr>
            <w:cnfStyle w:val="000010000000" w:firstRow="0" w:lastRow="0" w:firstColumn="0" w:lastColumn="0" w:oddVBand="1" w:evenVBand="0" w:oddHBand="0" w:evenHBand="0" w:firstRowFirstColumn="0" w:firstRowLastColumn="0" w:lastRowFirstColumn="0" w:lastRowLastColumn="0"/>
            <w:tcW w:w="7204" w:type="dxa"/>
          </w:tcPr>
          <w:p w14:paraId="65BF9820" w14:textId="77777777" w:rsidR="005A4ED4" w:rsidRPr="008F65DE" w:rsidRDefault="005A4ED4" w:rsidP="005A4ED4">
            <w:pPr>
              <w:rPr>
                <w:b/>
                <w:bCs/>
                <w:sz w:val="22"/>
                <w:szCs w:val="22"/>
              </w:rPr>
            </w:pPr>
            <w:r w:rsidRPr="008F65DE">
              <w:rPr>
                <w:b/>
                <w:bCs/>
                <w:sz w:val="22"/>
                <w:szCs w:val="22"/>
              </w:rPr>
              <w:t>Description</w:t>
            </w:r>
          </w:p>
        </w:tc>
        <w:tc>
          <w:tcPr>
            <w:cnfStyle w:val="000100000000" w:firstRow="0" w:lastRow="0" w:firstColumn="0" w:lastColumn="1" w:oddVBand="0" w:evenVBand="0" w:oddHBand="0" w:evenHBand="0" w:firstRowFirstColumn="0" w:firstRowLastColumn="0" w:lastRowFirstColumn="0" w:lastRowLastColumn="0"/>
            <w:tcW w:w="1433" w:type="dxa"/>
          </w:tcPr>
          <w:p w14:paraId="023BE02A" w14:textId="77777777" w:rsidR="005A4ED4" w:rsidRPr="008F65DE" w:rsidRDefault="005A4ED4" w:rsidP="005A4ED4">
            <w:pPr>
              <w:rPr>
                <w:sz w:val="22"/>
                <w:szCs w:val="22"/>
              </w:rPr>
            </w:pPr>
          </w:p>
        </w:tc>
      </w:tr>
      <w:tr w:rsidR="005A4ED4" w:rsidRPr="00A0314C" w14:paraId="101FC53E"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5A062E5F" w14:textId="77777777" w:rsidR="005A4ED4" w:rsidRPr="008F65DE" w:rsidRDefault="005A4ED4" w:rsidP="005A4ED4">
            <w:pPr>
              <w:rPr>
                <w:b w:val="0"/>
                <w:bCs w:val="0"/>
                <w:sz w:val="22"/>
                <w:szCs w:val="22"/>
              </w:rPr>
            </w:pPr>
            <w:r w:rsidRPr="008F65DE">
              <w:rPr>
                <w:b w:val="0"/>
                <w:bCs w:val="0"/>
                <w:sz w:val="22"/>
                <w:szCs w:val="22"/>
              </w:rPr>
              <w:t>Section 21</w:t>
            </w:r>
          </w:p>
        </w:tc>
        <w:tc>
          <w:tcPr>
            <w:cnfStyle w:val="000010000000" w:firstRow="0" w:lastRow="0" w:firstColumn="0" w:lastColumn="0" w:oddVBand="1" w:evenVBand="0" w:oddHBand="0" w:evenHBand="0" w:firstRowFirstColumn="0" w:firstRowLastColumn="0" w:lastRowFirstColumn="0" w:lastRowLastColumn="0"/>
            <w:tcW w:w="7204" w:type="dxa"/>
          </w:tcPr>
          <w:p w14:paraId="3A2DE53A" w14:textId="77777777" w:rsidR="005A4ED4" w:rsidRPr="008F65DE" w:rsidRDefault="005A4ED4" w:rsidP="005A4ED4">
            <w:pPr>
              <w:rPr>
                <w:sz w:val="22"/>
                <w:szCs w:val="22"/>
              </w:rPr>
            </w:pPr>
            <w:r w:rsidRPr="008F65DE">
              <w:rPr>
                <w:sz w:val="22"/>
                <w:szCs w:val="22"/>
              </w:rPr>
              <w:t>Information accessible by other means (including where a fee is payable)</w:t>
            </w:r>
          </w:p>
        </w:tc>
        <w:tc>
          <w:tcPr>
            <w:cnfStyle w:val="000100000000" w:firstRow="0" w:lastRow="0" w:firstColumn="0" w:lastColumn="1" w:oddVBand="0" w:evenVBand="0" w:oddHBand="0" w:evenHBand="0" w:firstRowFirstColumn="0" w:firstRowLastColumn="0" w:lastRowFirstColumn="0" w:lastRowLastColumn="0"/>
            <w:tcW w:w="1433" w:type="dxa"/>
          </w:tcPr>
          <w:p w14:paraId="0DBFBF6F" w14:textId="77777777" w:rsidR="005A4ED4" w:rsidRPr="008F65DE" w:rsidRDefault="005A4ED4" w:rsidP="005A4ED4">
            <w:pPr>
              <w:rPr>
                <w:b w:val="0"/>
                <w:bCs w:val="0"/>
                <w:sz w:val="22"/>
                <w:szCs w:val="22"/>
              </w:rPr>
            </w:pPr>
            <w:r w:rsidRPr="008F65DE">
              <w:rPr>
                <w:b w:val="0"/>
                <w:bCs w:val="0"/>
                <w:sz w:val="22"/>
                <w:szCs w:val="22"/>
              </w:rPr>
              <w:t>Absolute</w:t>
            </w:r>
          </w:p>
        </w:tc>
      </w:tr>
      <w:tr w:rsidR="005A4ED4" w:rsidRPr="00A0314C" w14:paraId="12005051"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2DDE8CAE" w14:textId="77777777" w:rsidR="005A4ED4" w:rsidRPr="008F65DE" w:rsidRDefault="005A4ED4" w:rsidP="005A4ED4">
            <w:pPr>
              <w:rPr>
                <w:b w:val="0"/>
                <w:bCs w:val="0"/>
                <w:sz w:val="22"/>
                <w:szCs w:val="22"/>
              </w:rPr>
            </w:pPr>
            <w:r w:rsidRPr="008F65DE">
              <w:rPr>
                <w:b w:val="0"/>
                <w:bCs w:val="0"/>
                <w:sz w:val="22"/>
                <w:szCs w:val="22"/>
              </w:rPr>
              <w:t>Section 22</w:t>
            </w:r>
          </w:p>
        </w:tc>
        <w:tc>
          <w:tcPr>
            <w:cnfStyle w:val="000010000000" w:firstRow="0" w:lastRow="0" w:firstColumn="0" w:lastColumn="0" w:oddVBand="1" w:evenVBand="0" w:oddHBand="0" w:evenHBand="0" w:firstRowFirstColumn="0" w:firstRowLastColumn="0" w:lastRowFirstColumn="0" w:lastRowLastColumn="0"/>
            <w:tcW w:w="7204" w:type="dxa"/>
          </w:tcPr>
          <w:p w14:paraId="4DC7A8AE" w14:textId="77777777" w:rsidR="005A4ED4" w:rsidRPr="008F65DE" w:rsidRDefault="005A4ED4" w:rsidP="005A4ED4">
            <w:pPr>
              <w:rPr>
                <w:sz w:val="22"/>
                <w:szCs w:val="22"/>
              </w:rPr>
            </w:pPr>
            <w:r w:rsidRPr="008F65DE">
              <w:rPr>
                <w:sz w:val="22"/>
                <w:szCs w:val="22"/>
              </w:rPr>
              <w:t>Information intended for future publication</w:t>
            </w:r>
          </w:p>
        </w:tc>
        <w:tc>
          <w:tcPr>
            <w:cnfStyle w:val="000100000000" w:firstRow="0" w:lastRow="0" w:firstColumn="0" w:lastColumn="1" w:oddVBand="0" w:evenVBand="0" w:oddHBand="0" w:evenHBand="0" w:firstRowFirstColumn="0" w:firstRowLastColumn="0" w:lastRowFirstColumn="0" w:lastRowLastColumn="0"/>
            <w:tcW w:w="1433" w:type="dxa"/>
          </w:tcPr>
          <w:p w14:paraId="7F9F0142"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37B947FE"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3115F956" w14:textId="77777777" w:rsidR="005A4ED4" w:rsidRPr="008F65DE" w:rsidRDefault="005A4ED4" w:rsidP="005A4ED4">
            <w:pPr>
              <w:rPr>
                <w:b w:val="0"/>
                <w:bCs w:val="0"/>
                <w:sz w:val="22"/>
                <w:szCs w:val="22"/>
              </w:rPr>
            </w:pPr>
            <w:r w:rsidRPr="008F65DE">
              <w:rPr>
                <w:b w:val="0"/>
                <w:bCs w:val="0"/>
                <w:sz w:val="22"/>
                <w:szCs w:val="22"/>
              </w:rPr>
              <w:t>Section 23</w:t>
            </w:r>
          </w:p>
        </w:tc>
        <w:tc>
          <w:tcPr>
            <w:cnfStyle w:val="000010000000" w:firstRow="0" w:lastRow="0" w:firstColumn="0" w:lastColumn="0" w:oddVBand="1" w:evenVBand="0" w:oddHBand="0" w:evenHBand="0" w:firstRowFirstColumn="0" w:firstRowLastColumn="0" w:lastRowFirstColumn="0" w:lastRowLastColumn="0"/>
            <w:tcW w:w="7204" w:type="dxa"/>
          </w:tcPr>
          <w:p w14:paraId="330B1DC7" w14:textId="77777777" w:rsidR="005A4ED4" w:rsidRPr="008F65DE" w:rsidRDefault="005A4ED4" w:rsidP="005A4ED4">
            <w:pPr>
              <w:rPr>
                <w:sz w:val="22"/>
                <w:szCs w:val="22"/>
              </w:rPr>
            </w:pPr>
            <w:r w:rsidRPr="008F65DE">
              <w:rPr>
                <w:sz w:val="22"/>
                <w:szCs w:val="22"/>
              </w:rPr>
              <w:t>Information supplied by, or relating to, bodies dealing with security matters</w:t>
            </w:r>
          </w:p>
        </w:tc>
        <w:tc>
          <w:tcPr>
            <w:cnfStyle w:val="000100000000" w:firstRow="0" w:lastRow="0" w:firstColumn="0" w:lastColumn="1" w:oddVBand="0" w:evenVBand="0" w:oddHBand="0" w:evenHBand="0" w:firstRowFirstColumn="0" w:firstRowLastColumn="0" w:lastRowFirstColumn="0" w:lastRowLastColumn="0"/>
            <w:tcW w:w="1433" w:type="dxa"/>
          </w:tcPr>
          <w:p w14:paraId="4C822459" w14:textId="77777777" w:rsidR="005A4ED4" w:rsidRPr="008F65DE" w:rsidRDefault="005A4ED4" w:rsidP="005A4ED4">
            <w:pPr>
              <w:rPr>
                <w:b w:val="0"/>
                <w:bCs w:val="0"/>
                <w:sz w:val="22"/>
                <w:szCs w:val="22"/>
              </w:rPr>
            </w:pPr>
            <w:r w:rsidRPr="008F65DE">
              <w:rPr>
                <w:b w:val="0"/>
                <w:bCs w:val="0"/>
                <w:sz w:val="22"/>
                <w:szCs w:val="22"/>
              </w:rPr>
              <w:t>Absolute</w:t>
            </w:r>
          </w:p>
        </w:tc>
      </w:tr>
      <w:tr w:rsidR="005A4ED4" w:rsidRPr="00A0314C" w14:paraId="368D9270"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5A0BB70F" w14:textId="77777777" w:rsidR="005A4ED4" w:rsidRPr="008F65DE" w:rsidRDefault="005A4ED4" w:rsidP="005A4ED4">
            <w:pPr>
              <w:rPr>
                <w:b w:val="0"/>
                <w:bCs w:val="0"/>
                <w:sz w:val="22"/>
                <w:szCs w:val="22"/>
              </w:rPr>
            </w:pPr>
            <w:r w:rsidRPr="008F65DE">
              <w:rPr>
                <w:b w:val="0"/>
                <w:bCs w:val="0"/>
                <w:sz w:val="22"/>
                <w:szCs w:val="22"/>
              </w:rPr>
              <w:t>Section 24</w:t>
            </w:r>
          </w:p>
        </w:tc>
        <w:tc>
          <w:tcPr>
            <w:cnfStyle w:val="000010000000" w:firstRow="0" w:lastRow="0" w:firstColumn="0" w:lastColumn="0" w:oddVBand="1" w:evenVBand="0" w:oddHBand="0" w:evenHBand="0" w:firstRowFirstColumn="0" w:firstRowLastColumn="0" w:lastRowFirstColumn="0" w:lastRowLastColumn="0"/>
            <w:tcW w:w="7204" w:type="dxa"/>
          </w:tcPr>
          <w:p w14:paraId="0E7AA7D9" w14:textId="77777777" w:rsidR="005A4ED4" w:rsidRPr="008F65DE" w:rsidRDefault="005A4ED4" w:rsidP="005A4ED4">
            <w:pPr>
              <w:rPr>
                <w:sz w:val="22"/>
                <w:szCs w:val="22"/>
              </w:rPr>
            </w:pPr>
            <w:r w:rsidRPr="008F65DE">
              <w:rPr>
                <w:sz w:val="22"/>
                <w:szCs w:val="22"/>
              </w:rPr>
              <w:t>Safeguarding national security</w:t>
            </w:r>
          </w:p>
        </w:tc>
        <w:tc>
          <w:tcPr>
            <w:cnfStyle w:val="000100000000" w:firstRow="0" w:lastRow="0" w:firstColumn="0" w:lastColumn="1" w:oddVBand="0" w:evenVBand="0" w:oddHBand="0" w:evenHBand="0" w:firstRowFirstColumn="0" w:firstRowLastColumn="0" w:lastRowFirstColumn="0" w:lastRowLastColumn="0"/>
            <w:tcW w:w="1433" w:type="dxa"/>
          </w:tcPr>
          <w:p w14:paraId="1285EACE"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2CE18BC9"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7037B5F7" w14:textId="77777777" w:rsidR="005A4ED4" w:rsidRPr="008F65DE" w:rsidRDefault="005A4ED4" w:rsidP="005A4ED4">
            <w:pPr>
              <w:rPr>
                <w:b w:val="0"/>
                <w:bCs w:val="0"/>
                <w:sz w:val="22"/>
                <w:szCs w:val="22"/>
              </w:rPr>
            </w:pPr>
            <w:r w:rsidRPr="008F65DE">
              <w:rPr>
                <w:b w:val="0"/>
                <w:bCs w:val="0"/>
                <w:sz w:val="22"/>
                <w:szCs w:val="22"/>
              </w:rPr>
              <w:t>Section 26</w:t>
            </w:r>
          </w:p>
        </w:tc>
        <w:tc>
          <w:tcPr>
            <w:cnfStyle w:val="000010000000" w:firstRow="0" w:lastRow="0" w:firstColumn="0" w:lastColumn="0" w:oddVBand="1" w:evenVBand="0" w:oddHBand="0" w:evenHBand="0" w:firstRowFirstColumn="0" w:firstRowLastColumn="0" w:lastRowFirstColumn="0" w:lastRowLastColumn="0"/>
            <w:tcW w:w="7204" w:type="dxa"/>
          </w:tcPr>
          <w:p w14:paraId="244CB86C" w14:textId="77777777" w:rsidR="005A4ED4" w:rsidRPr="008F65DE" w:rsidRDefault="005A4ED4" w:rsidP="005A4ED4">
            <w:pPr>
              <w:rPr>
                <w:sz w:val="22"/>
                <w:szCs w:val="22"/>
              </w:rPr>
            </w:pPr>
            <w:r w:rsidRPr="008F65DE">
              <w:rPr>
                <w:sz w:val="22"/>
                <w:szCs w:val="22"/>
              </w:rPr>
              <w:t>Prejudice to defence</w:t>
            </w:r>
          </w:p>
        </w:tc>
        <w:tc>
          <w:tcPr>
            <w:cnfStyle w:val="000100000000" w:firstRow="0" w:lastRow="0" w:firstColumn="0" w:lastColumn="1" w:oddVBand="0" w:evenVBand="0" w:oddHBand="0" w:evenHBand="0" w:firstRowFirstColumn="0" w:firstRowLastColumn="0" w:lastRowFirstColumn="0" w:lastRowLastColumn="0"/>
            <w:tcW w:w="1433" w:type="dxa"/>
          </w:tcPr>
          <w:p w14:paraId="2E4BCC18"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10F619CB"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63BC7A67" w14:textId="77777777" w:rsidR="005A4ED4" w:rsidRPr="008F65DE" w:rsidRDefault="005A4ED4" w:rsidP="005A4ED4">
            <w:pPr>
              <w:rPr>
                <w:b w:val="0"/>
                <w:bCs w:val="0"/>
                <w:sz w:val="22"/>
                <w:szCs w:val="22"/>
              </w:rPr>
            </w:pPr>
            <w:r w:rsidRPr="008F65DE">
              <w:rPr>
                <w:b w:val="0"/>
                <w:bCs w:val="0"/>
                <w:sz w:val="22"/>
                <w:szCs w:val="22"/>
              </w:rPr>
              <w:t>Section 27</w:t>
            </w:r>
          </w:p>
        </w:tc>
        <w:tc>
          <w:tcPr>
            <w:cnfStyle w:val="000010000000" w:firstRow="0" w:lastRow="0" w:firstColumn="0" w:lastColumn="0" w:oddVBand="1" w:evenVBand="0" w:oddHBand="0" w:evenHBand="0" w:firstRowFirstColumn="0" w:firstRowLastColumn="0" w:lastRowFirstColumn="0" w:lastRowLastColumn="0"/>
            <w:tcW w:w="7204" w:type="dxa"/>
          </w:tcPr>
          <w:p w14:paraId="50B0C032" w14:textId="77777777" w:rsidR="005A4ED4" w:rsidRPr="008F65DE" w:rsidRDefault="005A4ED4" w:rsidP="005A4ED4">
            <w:pPr>
              <w:rPr>
                <w:sz w:val="22"/>
                <w:szCs w:val="22"/>
              </w:rPr>
            </w:pPr>
            <w:r w:rsidRPr="008F65DE">
              <w:rPr>
                <w:sz w:val="22"/>
                <w:szCs w:val="22"/>
              </w:rPr>
              <w:t>Prejudice to international relations</w:t>
            </w:r>
          </w:p>
        </w:tc>
        <w:tc>
          <w:tcPr>
            <w:cnfStyle w:val="000100000000" w:firstRow="0" w:lastRow="0" w:firstColumn="0" w:lastColumn="1" w:oddVBand="0" w:evenVBand="0" w:oddHBand="0" w:evenHBand="0" w:firstRowFirstColumn="0" w:firstRowLastColumn="0" w:lastRowFirstColumn="0" w:lastRowLastColumn="0"/>
            <w:tcW w:w="1433" w:type="dxa"/>
          </w:tcPr>
          <w:p w14:paraId="27CA24E4"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5377DDD6"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4C4847DA" w14:textId="77777777" w:rsidR="005A4ED4" w:rsidRPr="008F65DE" w:rsidRDefault="005A4ED4" w:rsidP="005A4ED4">
            <w:pPr>
              <w:rPr>
                <w:b w:val="0"/>
                <w:bCs w:val="0"/>
                <w:sz w:val="22"/>
                <w:szCs w:val="22"/>
              </w:rPr>
            </w:pPr>
            <w:r w:rsidRPr="008F65DE">
              <w:rPr>
                <w:b w:val="0"/>
                <w:bCs w:val="0"/>
                <w:sz w:val="22"/>
                <w:szCs w:val="22"/>
              </w:rPr>
              <w:t>Section 28</w:t>
            </w:r>
          </w:p>
        </w:tc>
        <w:tc>
          <w:tcPr>
            <w:cnfStyle w:val="000010000000" w:firstRow="0" w:lastRow="0" w:firstColumn="0" w:lastColumn="0" w:oddVBand="1" w:evenVBand="0" w:oddHBand="0" w:evenHBand="0" w:firstRowFirstColumn="0" w:firstRowLastColumn="0" w:lastRowFirstColumn="0" w:lastRowLastColumn="0"/>
            <w:tcW w:w="7204" w:type="dxa"/>
          </w:tcPr>
          <w:p w14:paraId="0BF95E80" w14:textId="77777777" w:rsidR="005A4ED4" w:rsidRPr="008F65DE" w:rsidRDefault="005A4ED4" w:rsidP="005A4ED4">
            <w:pPr>
              <w:rPr>
                <w:sz w:val="22"/>
                <w:szCs w:val="22"/>
              </w:rPr>
            </w:pPr>
            <w:r w:rsidRPr="008F65DE">
              <w:rPr>
                <w:sz w:val="22"/>
                <w:szCs w:val="22"/>
              </w:rPr>
              <w:t>Prejudice to relations within the UK</w:t>
            </w:r>
          </w:p>
        </w:tc>
        <w:tc>
          <w:tcPr>
            <w:cnfStyle w:val="000100000000" w:firstRow="0" w:lastRow="0" w:firstColumn="0" w:lastColumn="1" w:oddVBand="0" w:evenVBand="0" w:oddHBand="0" w:evenHBand="0" w:firstRowFirstColumn="0" w:firstRowLastColumn="0" w:lastRowFirstColumn="0" w:lastRowLastColumn="0"/>
            <w:tcW w:w="1433" w:type="dxa"/>
          </w:tcPr>
          <w:p w14:paraId="78AB01FA"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7A1DA756"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38864B0F" w14:textId="77777777" w:rsidR="005A4ED4" w:rsidRPr="008F65DE" w:rsidRDefault="005A4ED4" w:rsidP="005A4ED4">
            <w:pPr>
              <w:rPr>
                <w:b w:val="0"/>
                <w:bCs w:val="0"/>
                <w:sz w:val="22"/>
                <w:szCs w:val="22"/>
              </w:rPr>
            </w:pPr>
            <w:r w:rsidRPr="008F65DE">
              <w:rPr>
                <w:b w:val="0"/>
                <w:bCs w:val="0"/>
                <w:sz w:val="22"/>
                <w:szCs w:val="22"/>
              </w:rPr>
              <w:t>Section 29</w:t>
            </w:r>
          </w:p>
        </w:tc>
        <w:tc>
          <w:tcPr>
            <w:cnfStyle w:val="000010000000" w:firstRow="0" w:lastRow="0" w:firstColumn="0" w:lastColumn="0" w:oddVBand="1" w:evenVBand="0" w:oddHBand="0" w:evenHBand="0" w:firstRowFirstColumn="0" w:firstRowLastColumn="0" w:lastRowFirstColumn="0" w:lastRowLastColumn="0"/>
            <w:tcW w:w="7204" w:type="dxa"/>
          </w:tcPr>
          <w:p w14:paraId="12FA6302" w14:textId="77777777" w:rsidR="005A4ED4" w:rsidRPr="008F65DE" w:rsidRDefault="005A4ED4" w:rsidP="005A4ED4">
            <w:pPr>
              <w:rPr>
                <w:sz w:val="22"/>
                <w:szCs w:val="22"/>
              </w:rPr>
            </w:pPr>
            <w:r w:rsidRPr="008F65DE">
              <w:rPr>
                <w:sz w:val="22"/>
                <w:szCs w:val="22"/>
              </w:rPr>
              <w:t>Prejudice to the economy</w:t>
            </w:r>
          </w:p>
        </w:tc>
        <w:tc>
          <w:tcPr>
            <w:cnfStyle w:val="000100000000" w:firstRow="0" w:lastRow="0" w:firstColumn="0" w:lastColumn="1" w:oddVBand="0" w:evenVBand="0" w:oddHBand="0" w:evenHBand="0" w:firstRowFirstColumn="0" w:firstRowLastColumn="0" w:lastRowFirstColumn="0" w:lastRowLastColumn="0"/>
            <w:tcW w:w="1433" w:type="dxa"/>
          </w:tcPr>
          <w:p w14:paraId="2AB4EE10"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73518773"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5EA9920A" w14:textId="77777777" w:rsidR="005A4ED4" w:rsidRPr="008F65DE" w:rsidRDefault="005A4ED4" w:rsidP="005A4ED4">
            <w:pPr>
              <w:rPr>
                <w:b w:val="0"/>
                <w:bCs w:val="0"/>
                <w:sz w:val="22"/>
                <w:szCs w:val="22"/>
              </w:rPr>
            </w:pPr>
            <w:r w:rsidRPr="008F65DE">
              <w:rPr>
                <w:b w:val="0"/>
                <w:bCs w:val="0"/>
                <w:sz w:val="22"/>
                <w:szCs w:val="22"/>
              </w:rPr>
              <w:t>Section 30</w:t>
            </w:r>
          </w:p>
        </w:tc>
        <w:tc>
          <w:tcPr>
            <w:cnfStyle w:val="000010000000" w:firstRow="0" w:lastRow="0" w:firstColumn="0" w:lastColumn="0" w:oddVBand="1" w:evenVBand="0" w:oddHBand="0" w:evenHBand="0" w:firstRowFirstColumn="0" w:firstRowLastColumn="0" w:lastRowFirstColumn="0" w:lastRowLastColumn="0"/>
            <w:tcW w:w="7204" w:type="dxa"/>
          </w:tcPr>
          <w:p w14:paraId="2A5476F4" w14:textId="77777777" w:rsidR="005A4ED4" w:rsidRPr="008F65DE" w:rsidRDefault="005A4ED4" w:rsidP="005A4ED4">
            <w:pPr>
              <w:rPr>
                <w:sz w:val="22"/>
                <w:szCs w:val="22"/>
              </w:rPr>
            </w:pPr>
            <w:r w:rsidRPr="008F65DE">
              <w:rPr>
                <w:sz w:val="22"/>
                <w:szCs w:val="22"/>
              </w:rPr>
              <w:t>Investigations and proceedings conducted by public bodies</w:t>
            </w:r>
          </w:p>
        </w:tc>
        <w:tc>
          <w:tcPr>
            <w:cnfStyle w:val="000100000000" w:firstRow="0" w:lastRow="0" w:firstColumn="0" w:lastColumn="1" w:oddVBand="0" w:evenVBand="0" w:oddHBand="0" w:evenHBand="0" w:firstRowFirstColumn="0" w:firstRowLastColumn="0" w:lastRowFirstColumn="0" w:lastRowLastColumn="0"/>
            <w:tcW w:w="1433" w:type="dxa"/>
          </w:tcPr>
          <w:p w14:paraId="05644902"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79D33738"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19C629AF" w14:textId="77777777" w:rsidR="005A4ED4" w:rsidRPr="008F65DE" w:rsidRDefault="005A4ED4" w:rsidP="005A4ED4">
            <w:pPr>
              <w:rPr>
                <w:b w:val="0"/>
                <w:bCs w:val="0"/>
                <w:sz w:val="22"/>
                <w:szCs w:val="22"/>
              </w:rPr>
            </w:pPr>
            <w:r w:rsidRPr="008F65DE">
              <w:rPr>
                <w:b w:val="0"/>
                <w:bCs w:val="0"/>
                <w:sz w:val="22"/>
                <w:szCs w:val="22"/>
              </w:rPr>
              <w:t>Section 31</w:t>
            </w:r>
          </w:p>
        </w:tc>
        <w:tc>
          <w:tcPr>
            <w:cnfStyle w:val="000010000000" w:firstRow="0" w:lastRow="0" w:firstColumn="0" w:lastColumn="0" w:oddVBand="1" w:evenVBand="0" w:oddHBand="0" w:evenHBand="0" w:firstRowFirstColumn="0" w:firstRowLastColumn="0" w:lastRowFirstColumn="0" w:lastRowLastColumn="0"/>
            <w:tcW w:w="7204" w:type="dxa"/>
          </w:tcPr>
          <w:p w14:paraId="6239EF6C" w14:textId="77777777" w:rsidR="005A4ED4" w:rsidRPr="008F65DE" w:rsidRDefault="005A4ED4" w:rsidP="005A4ED4">
            <w:pPr>
              <w:rPr>
                <w:sz w:val="22"/>
                <w:szCs w:val="22"/>
              </w:rPr>
            </w:pPr>
            <w:r w:rsidRPr="008F65DE">
              <w:rPr>
                <w:sz w:val="22"/>
                <w:szCs w:val="22"/>
              </w:rPr>
              <w:t>Prejudice to law enforcement</w:t>
            </w:r>
          </w:p>
        </w:tc>
        <w:tc>
          <w:tcPr>
            <w:cnfStyle w:val="000100000000" w:firstRow="0" w:lastRow="0" w:firstColumn="0" w:lastColumn="1" w:oddVBand="0" w:evenVBand="0" w:oddHBand="0" w:evenHBand="0" w:firstRowFirstColumn="0" w:firstRowLastColumn="0" w:lastRowFirstColumn="0" w:lastRowLastColumn="0"/>
            <w:tcW w:w="1433" w:type="dxa"/>
          </w:tcPr>
          <w:p w14:paraId="63A2DBB2"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32AA5810"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36FA4D57" w14:textId="77777777" w:rsidR="005A4ED4" w:rsidRPr="008F65DE" w:rsidRDefault="005A4ED4" w:rsidP="005A4ED4">
            <w:pPr>
              <w:rPr>
                <w:b w:val="0"/>
                <w:bCs w:val="0"/>
                <w:sz w:val="22"/>
                <w:szCs w:val="22"/>
              </w:rPr>
            </w:pPr>
            <w:r w:rsidRPr="008F65DE">
              <w:rPr>
                <w:b w:val="0"/>
                <w:bCs w:val="0"/>
                <w:sz w:val="22"/>
                <w:szCs w:val="22"/>
              </w:rPr>
              <w:t>Section 32</w:t>
            </w:r>
          </w:p>
        </w:tc>
        <w:tc>
          <w:tcPr>
            <w:cnfStyle w:val="000010000000" w:firstRow="0" w:lastRow="0" w:firstColumn="0" w:lastColumn="0" w:oddVBand="1" w:evenVBand="0" w:oddHBand="0" w:evenHBand="0" w:firstRowFirstColumn="0" w:firstRowLastColumn="0" w:lastRowFirstColumn="0" w:lastRowLastColumn="0"/>
            <w:tcW w:w="7204" w:type="dxa"/>
          </w:tcPr>
          <w:p w14:paraId="3B75CEF5" w14:textId="77777777" w:rsidR="005A4ED4" w:rsidRPr="008F65DE" w:rsidRDefault="005A4ED4" w:rsidP="005A4ED4">
            <w:pPr>
              <w:rPr>
                <w:sz w:val="22"/>
                <w:szCs w:val="22"/>
              </w:rPr>
            </w:pPr>
            <w:r w:rsidRPr="008F65DE">
              <w:rPr>
                <w:sz w:val="22"/>
                <w:szCs w:val="22"/>
              </w:rPr>
              <w:t>Court records (including tribunals)</w:t>
            </w:r>
          </w:p>
        </w:tc>
        <w:tc>
          <w:tcPr>
            <w:cnfStyle w:val="000100000000" w:firstRow="0" w:lastRow="0" w:firstColumn="0" w:lastColumn="1" w:oddVBand="0" w:evenVBand="0" w:oddHBand="0" w:evenHBand="0" w:firstRowFirstColumn="0" w:firstRowLastColumn="0" w:lastRowFirstColumn="0" w:lastRowLastColumn="0"/>
            <w:tcW w:w="1433" w:type="dxa"/>
          </w:tcPr>
          <w:p w14:paraId="31916A5E" w14:textId="77777777" w:rsidR="005A4ED4" w:rsidRPr="008F65DE" w:rsidRDefault="005A4ED4" w:rsidP="005A4ED4">
            <w:pPr>
              <w:rPr>
                <w:b w:val="0"/>
                <w:bCs w:val="0"/>
                <w:sz w:val="22"/>
                <w:szCs w:val="22"/>
              </w:rPr>
            </w:pPr>
            <w:r w:rsidRPr="008F65DE">
              <w:rPr>
                <w:b w:val="0"/>
                <w:bCs w:val="0"/>
                <w:sz w:val="22"/>
                <w:szCs w:val="22"/>
              </w:rPr>
              <w:t>Absolute</w:t>
            </w:r>
          </w:p>
        </w:tc>
      </w:tr>
      <w:tr w:rsidR="005A4ED4" w:rsidRPr="00A0314C" w14:paraId="12151394"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4C013554" w14:textId="77777777" w:rsidR="005A4ED4" w:rsidRPr="008F65DE" w:rsidRDefault="005A4ED4" w:rsidP="005A4ED4">
            <w:pPr>
              <w:rPr>
                <w:b w:val="0"/>
                <w:bCs w:val="0"/>
                <w:sz w:val="22"/>
                <w:szCs w:val="22"/>
              </w:rPr>
            </w:pPr>
            <w:r w:rsidRPr="008F65DE">
              <w:rPr>
                <w:b w:val="0"/>
                <w:bCs w:val="0"/>
                <w:sz w:val="22"/>
                <w:szCs w:val="22"/>
              </w:rPr>
              <w:t>Section 33</w:t>
            </w:r>
          </w:p>
        </w:tc>
        <w:tc>
          <w:tcPr>
            <w:cnfStyle w:val="000010000000" w:firstRow="0" w:lastRow="0" w:firstColumn="0" w:lastColumn="0" w:oddVBand="1" w:evenVBand="0" w:oddHBand="0" w:evenHBand="0" w:firstRowFirstColumn="0" w:firstRowLastColumn="0" w:lastRowFirstColumn="0" w:lastRowLastColumn="0"/>
            <w:tcW w:w="7204" w:type="dxa"/>
          </w:tcPr>
          <w:p w14:paraId="6567B759" w14:textId="77777777" w:rsidR="005A4ED4" w:rsidRPr="008F65DE" w:rsidRDefault="005A4ED4" w:rsidP="005A4ED4">
            <w:pPr>
              <w:rPr>
                <w:sz w:val="22"/>
                <w:szCs w:val="22"/>
              </w:rPr>
            </w:pPr>
            <w:r w:rsidRPr="008F65DE">
              <w:rPr>
                <w:sz w:val="22"/>
                <w:szCs w:val="22"/>
              </w:rPr>
              <w:t>Audits of Accounts / Audit functions</w:t>
            </w:r>
          </w:p>
        </w:tc>
        <w:tc>
          <w:tcPr>
            <w:cnfStyle w:val="000100000000" w:firstRow="0" w:lastRow="0" w:firstColumn="0" w:lastColumn="1" w:oddVBand="0" w:evenVBand="0" w:oddHBand="0" w:evenHBand="0" w:firstRowFirstColumn="0" w:firstRowLastColumn="0" w:lastRowFirstColumn="0" w:lastRowLastColumn="0"/>
            <w:tcW w:w="1433" w:type="dxa"/>
          </w:tcPr>
          <w:p w14:paraId="56F1B762"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71D0567C"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4D9CDA99" w14:textId="77777777" w:rsidR="005A4ED4" w:rsidRPr="008F65DE" w:rsidRDefault="005A4ED4" w:rsidP="005A4ED4">
            <w:pPr>
              <w:rPr>
                <w:b w:val="0"/>
                <w:bCs w:val="0"/>
                <w:sz w:val="22"/>
                <w:szCs w:val="22"/>
              </w:rPr>
            </w:pPr>
            <w:r w:rsidRPr="008F65DE">
              <w:rPr>
                <w:b w:val="0"/>
                <w:bCs w:val="0"/>
                <w:sz w:val="22"/>
                <w:szCs w:val="22"/>
              </w:rPr>
              <w:t>Section 34</w:t>
            </w:r>
          </w:p>
        </w:tc>
        <w:tc>
          <w:tcPr>
            <w:cnfStyle w:val="000010000000" w:firstRow="0" w:lastRow="0" w:firstColumn="0" w:lastColumn="0" w:oddVBand="1" w:evenVBand="0" w:oddHBand="0" w:evenHBand="0" w:firstRowFirstColumn="0" w:firstRowLastColumn="0" w:lastRowFirstColumn="0" w:lastRowLastColumn="0"/>
            <w:tcW w:w="7204" w:type="dxa"/>
          </w:tcPr>
          <w:p w14:paraId="157B0483" w14:textId="77777777" w:rsidR="005A4ED4" w:rsidRPr="008F65DE" w:rsidRDefault="005A4ED4" w:rsidP="005A4ED4">
            <w:pPr>
              <w:rPr>
                <w:sz w:val="22"/>
                <w:szCs w:val="22"/>
              </w:rPr>
            </w:pPr>
            <w:r w:rsidRPr="008F65DE">
              <w:rPr>
                <w:sz w:val="22"/>
                <w:szCs w:val="22"/>
              </w:rPr>
              <w:t>Parliamentary privilege</w:t>
            </w:r>
          </w:p>
        </w:tc>
        <w:tc>
          <w:tcPr>
            <w:cnfStyle w:val="000100000000" w:firstRow="0" w:lastRow="0" w:firstColumn="0" w:lastColumn="1" w:oddVBand="0" w:evenVBand="0" w:oddHBand="0" w:evenHBand="0" w:firstRowFirstColumn="0" w:firstRowLastColumn="0" w:lastRowFirstColumn="0" w:lastRowLastColumn="0"/>
            <w:tcW w:w="1433" w:type="dxa"/>
          </w:tcPr>
          <w:p w14:paraId="2B68E2C4" w14:textId="77777777" w:rsidR="005A4ED4" w:rsidRPr="008F65DE" w:rsidRDefault="005A4ED4" w:rsidP="005A4ED4">
            <w:pPr>
              <w:rPr>
                <w:b w:val="0"/>
                <w:bCs w:val="0"/>
                <w:sz w:val="22"/>
                <w:szCs w:val="22"/>
              </w:rPr>
            </w:pPr>
            <w:r w:rsidRPr="008F65DE">
              <w:rPr>
                <w:b w:val="0"/>
                <w:bCs w:val="0"/>
                <w:sz w:val="22"/>
                <w:szCs w:val="22"/>
              </w:rPr>
              <w:t>Absolute</w:t>
            </w:r>
          </w:p>
        </w:tc>
      </w:tr>
      <w:tr w:rsidR="005A4ED4" w:rsidRPr="00A0314C" w14:paraId="7C983ACC"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6092D8B8" w14:textId="77777777" w:rsidR="005A4ED4" w:rsidRPr="008F65DE" w:rsidRDefault="005A4ED4" w:rsidP="005A4ED4">
            <w:pPr>
              <w:rPr>
                <w:b w:val="0"/>
                <w:bCs w:val="0"/>
                <w:sz w:val="22"/>
                <w:szCs w:val="22"/>
              </w:rPr>
            </w:pPr>
            <w:r w:rsidRPr="008F65DE">
              <w:rPr>
                <w:b w:val="0"/>
                <w:bCs w:val="0"/>
                <w:sz w:val="22"/>
                <w:szCs w:val="22"/>
              </w:rPr>
              <w:lastRenderedPageBreak/>
              <w:t>Section 35</w:t>
            </w:r>
          </w:p>
        </w:tc>
        <w:tc>
          <w:tcPr>
            <w:cnfStyle w:val="000010000000" w:firstRow="0" w:lastRow="0" w:firstColumn="0" w:lastColumn="0" w:oddVBand="1" w:evenVBand="0" w:oddHBand="0" w:evenHBand="0" w:firstRowFirstColumn="0" w:firstRowLastColumn="0" w:lastRowFirstColumn="0" w:lastRowLastColumn="0"/>
            <w:tcW w:w="7204" w:type="dxa"/>
          </w:tcPr>
          <w:p w14:paraId="7C90E67A" w14:textId="77777777" w:rsidR="005A4ED4" w:rsidRPr="008F65DE" w:rsidRDefault="005A4ED4" w:rsidP="005A4ED4">
            <w:pPr>
              <w:rPr>
                <w:sz w:val="22"/>
                <w:szCs w:val="22"/>
              </w:rPr>
            </w:pPr>
            <w:r w:rsidRPr="008F65DE">
              <w:rPr>
                <w:sz w:val="22"/>
                <w:szCs w:val="22"/>
              </w:rPr>
              <w:t>Formulation of Government Policy</w:t>
            </w:r>
          </w:p>
        </w:tc>
        <w:tc>
          <w:tcPr>
            <w:cnfStyle w:val="000100000000" w:firstRow="0" w:lastRow="0" w:firstColumn="0" w:lastColumn="1" w:oddVBand="0" w:evenVBand="0" w:oddHBand="0" w:evenHBand="0" w:firstRowFirstColumn="0" w:firstRowLastColumn="0" w:lastRowFirstColumn="0" w:lastRowLastColumn="0"/>
            <w:tcW w:w="1433" w:type="dxa"/>
          </w:tcPr>
          <w:p w14:paraId="5DE6DC24"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4675F382"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7714AF9F" w14:textId="77777777" w:rsidR="005A4ED4" w:rsidRPr="008F65DE" w:rsidRDefault="005A4ED4" w:rsidP="005A4ED4">
            <w:pPr>
              <w:rPr>
                <w:b w:val="0"/>
                <w:bCs w:val="0"/>
                <w:sz w:val="22"/>
                <w:szCs w:val="22"/>
              </w:rPr>
            </w:pPr>
            <w:r w:rsidRPr="008F65DE">
              <w:rPr>
                <w:b w:val="0"/>
                <w:bCs w:val="0"/>
                <w:sz w:val="22"/>
                <w:szCs w:val="22"/>
              </w:rPr>
              <w:t>Section 36</w:t>
            </w:r>
          </w:p>
        </w:tc>
        <w:tc>
          <w:tcPr>
            <w:cnfStyle w:val="000010000000" w:firstRow="0" w:lastRow="0" w:firstColumn="0" w:lastColumn="0" w:oddVBand="1" w:evenVBand="0" w:oddHBand="0" w:evenHBand="0" w:firstRowFirstColumn="0" w:firstRowLastColumn="0" w:lastRowFirstColumn="0" w:lastRowLastColumn="0"/>
            <w:tcW w:w="7204" w:type="dxa"/>
          </w:tcPr>
          <w:p w14:paraId="6FA26F5A" w14:textId="77777777" w:rsidR="005A4ED4" w:rsidRPr="008F65DE" w:rsidRDefault="005A4ED4" w:rsidP="005A4ED4">
            <w:pPr>
              <w:rPr>
                <w:sz w:val="22"/>
                <w:szCs w:val="22"/>
              </w:rPr>
            </w:pPr>
            <w:r w:rsidRPr="008F65DE">
              <w:rPr>
                <w:sz w:val="22"/>
                <w:szCs w:val="22"/>
              </w:rPr>
              <w:t>Prejudice to effective conduct of public affairs</w:t>
            </w:r>
          </w:p>
        </w:tc>
        <w:tc>
          <w:tcPr>
            <w:cnfStyle w:val="000100000000" w:firstRow="0" w:lastRow="0" w:firstColumn="0" w:lastColumn="1" w:oddVBand="0" w:evenVBand="0" w:oddHBand="0" w:evenHBand="0" w:firstRowFirstColumn="0" w:firstRowLastColumn="0" w:lastRowFirstColumn="0" w:lastRowLastColumn="0"/>
            <w:tcW w:w="1433" w:type="dxa"/>
          </w:tcPr>
          <w:p w14:paraId="4596D4FE" w14:textId="77777777" w:rsidR="005A4ED4" w:rsidRPr="008F65DE" w:rsidRDefault="005A4ED4" w:rsidP="005A4ED4">
            <w:pPr>
              <w:rPr>
                <w:b w:val="0"/>
                <w:bCs w:val="0"/>
                <w:sz w:val="22"/>
                <w:szCs w:val="22"/>
              </w:rPr>
            </w:pPr>
            <w:r w:rsidRPr="008F65DE">
              <w:rPr>
                <w:b w:val="0"/>
                <w:bCs w:val="0"/>
                <w:sz w:val="22"/>
                <w:szCs w:val="22"/>
              </w:rPr>
              <w:t>Both</w:t>
            </w:r>
          </w:p>
        </w:tc>
      </w:tr>
      <w:tr w:rsidR="005A4ED4" w:rsidRPr="00A0314C" w14:paraId="00C5F1F2"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360B96E5" w14:textId="77777777" w:rsidR="005A4ED4" w:rsidRPr="008F65DE" w:rsidRDefault="005A4ED4" w:rsidP="005A4ED4">
            <w:pPr>
              <w:rPr>
                <w:b w:val="0"/>
                <w:bCs w:val="0"/>
                <w:sz w:val="22"/>
                <w:szCs w:val="22"/>
              </w:rPr>
            </w:pPr>
            <w:r w:rsidRPr="008F65DE">
              <w:rPr>
                <w:b w:val="0"/>
                <w:bCs w:val="0"/>
                <w:sz w:val="22"/>
                <w:szCs w:val="22"/>
              </w:rPr>
              <w:t>Section 37</w:t>
            </w:r>
          </w:p>
        </w:tc>
        <w:tc>
          <w:tcPr>
            <w:cnfStyle w:val="000010000000" w:firstRow="0" w:lastRow="0" w:firstColumn="0" w:lastColumn="0" w:oddVBand="1" w:evenVBand="0" w:oddHBand="0" w:evenHBand="0" w:firstRowFirstColumn="0" w:firstRowLastColumn="0" w:lastRowFirstColumn="0" w:lastRowLastColumn="0"/>
            <w:tcW w:w="7204" w:type="dxa"/>
          </w:tcPr>
          <w:p w14:paraId="75A8B2C5" w14:textId="77777777" w:rsidR="005A4ED4" w:rsidRPr="008F65DE" w:rsidRDefault="005A4ED4" w:rsidP="005A4ED4">
            <w:pPr>
              <w:rPr>
                <w:sz w:val="22"/>
                <w:szCs w:val="22"/>
              </w:rPr>
            </w:pPr>
            <w:r w:rsidRPr="008F65DE">
              <w:rPr>
                <w:sz w:val="22"/>
                <w:szCs w:val="22"/>
              </w:rPr>
              <w:t>Communications with Her Majesty etc. and Honours</w:t>
            </w:r>
          </w:p>
        </w:tc>
        <w:tc>
          <w:tcPr>
            <w:cnfStyle w:val="000100000000" w:firstRow="0" w:lastRow="0" w:firstColumn="0" w:lastColumn="1" w:oddVBand="0" w:evenVBand="0" w:oddHBand="0" w:evenHBand="0" w:firstRowFirstColumn="0" w:firstRowLastColumn="0" w:lastRowFirstColumn="0" w:lastRowLastColumn="0"/>
            <w:tcW w:w="1433" w:type="dxa"/>
          </w:tcPr>
          <w:p w14:paraId="63DF18C4"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660B6A51"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44DF831E" w14:textId="77777777" w:rsidR="005A4ED4" w:rsidRPr="008F65DE" w:rsidRDefault="005A4ED4" w:rsidP="005A4ED4">
            <w:pPr>
              <w:rPr>
                <w:b w:val="0"/>
                <w:bCs w:val="0"/>
                <w:sz w:val="22"/>
                <w:szCs w:val="22"/>
              </w:rPr>
            </w:pPr>
            <w:r w:rsidRPr="008F65DE">
              <w:rPr>
                <w:b w:val="0"/>
                <w:bCs w:val="0"/>
                <w:sz w:val="22"/>
                <w:szCs w:val="22"/>
              </w:rPr>
              <w:t>Section 38</w:t>
            </w:r>
          </w:p>
        </w:tc>
        <w:tc>
          <w:tcPr>
            <w:cnfStyle w:val="000010000000" w:firstRow="0" w:lastRow="0" w:firstColumn="0" w:lastColumn="0" w:oddVBand="1" w:evenVBand="0" w:oddHBand="0" w:evenHBand="0" w:firstRowFirstColumn="0" w:firstRowLastColumn="0" w:lastRowFirstColumn="0" w:lastRowLastColumn="0"/>
            <w:tcW w:w="7204" w:type="dxa"/>
          </w:tcPr>
          <w:p w14:paraId="4DB5E433" w14:textId="77777777" w:rsidR="005A4ED4" w:rsidRPr="008F65DE" w:rsidRDefault="005A4ED4" w:rsidP="005A4ED4">
            <w:pPr>
              <w:rPr>
                <w:sz w:val="22"/>
                <w:szCs w:val="22"/>
              </w:rPr>
            </w:pPr>
            <w:r w:rsidRPr="008F65DE">
              <w:rPr>
                <w:sz w:val="22"/>
                <w:szCs w:val="22"/>
              </w:rPr>
              <w:t>Health and Safety</w:t>
            </w:r>
          </w:p>
        </w:tc>
        <w:tc>
          <w:tcPr>
            <w:cnfStyle w:val="000100000000" w:firstRow="0" w:lastRow="0" w:firstColumn="0" w:lastColumn="1" w:oddVBand="0" w:evenVBand="0" w:oddHBand="0" w:evenHBand="0" w:firstRowFirstColumn="0" w:firstRowLastColumn="0" w:lastRowFirstColumn="0" w:lastRowLastColumn="0"/>
            <w:tcW w:w="1433" w:type="dxa"/>
          </w:tcPr>
          <w:p w14:paraId="560056B6"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79346699"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5EFA9C56" w14:textId="77777777" w:rsidR="005A4ED4" w:rsidRPr="008F65DE" w:rsidRDefault="005A4ED4" w:rsidP="005A4ED4">
            <w:pPr>
              <w:rPr>
                <w:b w:val="0"/>
                <w:bCs w:val="0"/>
                <w:sz w:val="22"/>
                <w:szCs w:val="22"/>
              </w:rPr>
            </w:pPr>
            <w:r w:rsidRPr="008F65DE">
              <w:rPr>
                <w:b w:val="0"/>
                <w:bCs w:val="0"/>
                <w:sz w:val="22"/>
                <w:szCs w:val="22"/>
              </w:rPr>
              <w:t>Section 39</w:t>
            </w:r>
          </w:p>
        </w:tc>
        <w:tc>
          <w:tcPr>
            <w:cnfStyle w:val="000010000000" w:firstRow="0" w:lastRow="0" w:firstColumn="0" w:lastColumn="0" w:oddVBand="1" w:evenVBand="0" w:oddHBand="0" w:evenHBand="0" w:firstRowFirstColumn="0" w:firstRowLastColumn="0" w:lastRowFirstColumn="0" w:lastRowLastColumn="0"/>
            <w:tcW w:w="7204" w:type="dxa"/>
          </w:tcPr>
          <w:p w14:paraId="4F4C7332" w14:textId="77777777" w:rsidR="005A4ED4" w:rsidRPr="008F65DE" w:rsidRDefault="005A4ED4" w:rsidP="005A4ED4">
            <w:pPr>
              <w:rPr>
                <w:sz w:val="22"/>
                <w:szCs w:val="22"/>
              </w:rPr>
            </w:pPr>
            <w:r w:rsidRPr="008F65DE">
              <w:rPr>
                <w:sz w:val="22"/>
                <w:szCs w:val="22"/>
              </w:rPr>
              <w:t>Environmental Information</w:t>
            </w:r>
          </w:p>
        </w:tc>
        <w:tc>
          <w:tcPr>
            <w:cnfStyle w:val="000100000000" w:firstRow="0" w:lastRow="0" w:firstColumn="0" w:lastColumn="1" w:oddVBand="0" w:evenVBand="0" w:oddHBand="0" w:evenHBand="0" w:firstRowFirstColumn="0" w:firstRowLastColumn="0" w:lastRowFirstColumn="0" w:lastRowLastColumn="0"/>
            <w:tcW w:w="1433" w:type="dxa"/>
          </w:tcPr>
          <w:p w14:paraId="42EC2AD8"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29CB1A0A" w14:textId="77777777" w:rsidTr="003A7186">
        <w:tc>
          <w:tcPr>
            <w:cnfStyle w:val="001000000000" w:firstRow="0" w:lastRow="0" w:firstColumn="1" w:lastColumn="0" w:oddVBand="0" w:evenVBand="0" w:oddHBand="0" w:evenHBand="0" w:firstRowFirstColumn="0" w:firstRowLastColumn="0" w:lastRowFirstColumn="0" w:lastRowLastColumn="0"/>
            <w:tcW w:w="1443" w:type="dxa"/>
          </w:tcPr>
          <w:p w14:paraId="6A50FC62" w14:textId="77777777" w:rsidR="005A4ED4" w:rsidRPr="008F65DE" w:rsidRDefault="005A4ED4" w:rsidP="005A4ED4">
            <w:pPr>
              <w:rPr>
                <w:b w:val="0"/>
                <w:bCs w:val="0"/>
                <w:sz w:val="22"/>
                <w:szCs w:val="22"/>
              </w:rPr>
            </w:pPr>
            <w:r w:rsidRPr="008F65DE">
              <w:rPr>
                <w:b w:val="0"/>
                <w:bCs w:val="0"/>
                <w:sz w:val="22"/>
                <w:szCs w:val="22"/>
              </w:rPr>
              <w:t>Section 40</w:t>
            </w:r>
          </w:p>
        </w:tc>
        <w:tc>
          <w:tcPr>
            <w:cnfStyle w:val="000010000000" w:firstRow="0" w:lastRow="0" w:firstColumn="0" w:lastColumn="0" w:oddVBand="1" w:evenVBand="0" w:oddHBand="0" w:evenHBand="0" w:firstRowFirstColumn="0" w:firstRowLastColumn="0" w:lastRowFirstColumn="0" w:lastRowLastColumn="0"/>
            <w:tcW w:w="7204" w:type="dxa"/>
          </w:tcPr>
          <w:p w14:paraId="3FEF1EBB" w14:textId="77777777" w:rsidR="005A4ED4" w:rsidRPr="008F65DE" w:rsidRDefault="005A4ED4" w:rsidP="005A4ED4">
            <w:pPr>
              <w:rPr>
                <w:sz w:val="22"/>
                <w:szCs w:val="22"/>
              </w:rPr>
            </w:pPr>
            <w:r w:rsidRPr="008F65DE">
              <w:rPr>
                <w:sz w:val="22"/>
                <w:szCs w:val="22"/>
              </w:rPr>
              <w:t>Personal Information</w:t>
            </w:r>
          </w:p>
        </w:tc>
        <w:tc>
          <w:tcPr>
            <w:cnfStyle w:val="000100000000" w:firstRow="0" w:lastRow="0" w:firstColumn="0" w:lastColumn="1" w:oddVBand="0" w:evenVBand="0" w:oddHBand="0" w:evenHBand="0" w:firstRowFirstColumn="0" w:firstRowLastColumn="0" w:lastRowFirstColumn="0" w:lastRowLastColumn="0"/>
            <w:tcW w:w="1433" w:type="dxa"/>
          </w:tcPr>
          <w:p w14:paraId="537AD1AF" w14:textId="77777777" w:rsidR="005A4ED4" w:rsidRPr="008F65DE" w:rsidRDefault="005A4ED4" w:rsidP="005A4ED4">
            <w:pPr>
              <w:rPr>
                <w:b w:val="0"/>
                <w:bCs w:val="0"/>
                <w:sz w:val="22"/>
                <w:szCs w:val="22"/>
              </w:rPr>
            </w:pPr>
            <w:r w:rsidRPr="008F65DE">
              <w:rPr>
                <w:b w:val="0"/>
                <w:bCs w:val="0"/>
                <w:sz w:val="22"/>
                <w:szCs w:val="22"/>
              </w:rPr>
              <w:t>Both</w:t>
            </w:r>
          </w:p>
        </w:tc>
      </w:tr>
      <w:tr w:rsidR="005A4ED4" w:rsidRPr="00A0314C" w14:paraId="795CE34D"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6FB2C7F3" w14:textId="77777777" w:rsidR="005A4ED4" w:rsidRPr="008F65DE" w:rsidRDefault="005A4ED4" w:rsidP="005A4ED4">
            <w:pPr>
              <w:rPr>
                <w:b w:val="0"/>
                <w:bCs w:val="0"/>
                <w:sz w:val="22"/>
                <w:szCs w:val="22"/>
              </w:rPr>
            </w:pPr>
            <w:r w:rsidRPr="008F65DE">
              <w:rPr>
                <w:b w:val="0"/>
                <w:bCs w:val="0"/>
                <w:sz w:val="22"/>
                <w:szCs w:val="22"/>
              </w:rPr>
              <w:t>Section 41</w:t>
            </w:r>
          </w:p>
        </w:tc>
        <w:tc>
          <w:tcPr>
            <w:cnfStyle w:val="000010000000" w:firstRow="0" w:lastRow="0" w:firstColumn="0" w:lastColumn="0" w:oddVBand="1" w:evenVBand="0" w:oddHBand="0" w:evenHBand="0" w:firstRowFirstColumn="0" w:firstRowLastColumn="0" w:lastRowFirstColumn="0" w:lastRowLastColumn="0"/>
            <w:tcW w:w="7204" w:type="dxa"/>
          </w:tcPr>
          <w:p w14:paraId="38AD98B5" w14:textId="77777777" w:rsidR="005A4ED4" w:rsidRPr="008F65DE" w:rsidRDefault="005A4ED4" w:rsidP="005A4ED4">
            <w:pPr>
              <w:rPr>
                <w:sz w:val="22"/>
                <w:szCs w:val="22"/>
              </w:rPr>
            </w:pPr>
            <w:r w:rsidRPr="008F65DE">
              <w:rPr>
                <w:sz w:val="22"/>
                <w:szCs w:val="22"/>
              </w:rPr>
              <w:t>Information provided in confidence</w:t>
            </w:r>
          </w:p>
        </w:tc>
        <w:tc>
          <w:tcPr>
            <w:cnfStyle w:val="000100000000" w:firstRow="0" w:lastRow="0" w:firstColumn="0" w:lastColumn="1" w:oddVBand="0" w:evenVBand="0" w:oddHBand="0" w:evenHBand="0" w:firstRowFirstColumn="0" w:firstRowLastColumn="0" w:lastRowFirstColumn="0" w:lastRowLastColumn="0"/>
            <w:tcW w:w="1433" w:type="dxa"/>
          </w:tcPr>
          <w:p w14:paraId="76C83317" w14:textId="77777777" w:rsidR="005A4ED4" w:rsidRPr="008F65DE" w:rsidRDefault="005A4ED4" w:rsidP="005A4ED4">
            <w:pPr>
              <w:rPr>
                <w:b w:val="0"/>
                <w:bCs w:val="0"/>
                <w:sz w:val="22"/>
                <w:szCs w:val="22"/>
              </w:rPr>
            </w:pPr>
            <w:r w:rsidRPr="008F65DE">
              <w:rPr>
                <w:b w:val="0"/>
                <w:bCs w:val="0"/>
                <w:sz w:val="22"/>
                <w:szCs w:val="22"/>
              </w:rPr>
              <w:t>Absolute</w:t>
            </w:r>
          </w:p>
        </w:tc>
      </w:tr>
      <w:tr w:rsidR="005A4ED4" w:rsidRPr="00A0314C" w14:paraId="434CA305" w14:textId="77777777" w:rsidTr="00277C9D">
        <w:tc>
          <w:tcPr>
            <w:cnfStyle w:val="001000000000" w:firstRow="0" w:lastRow="0" w:firstColumn="1" w:lastColumn="0" w:oddVBand="0" w:evenVBand="0" w:oddHBand="0" w:evenHBand="0" w:firstRowFirstColumn="0" w:firstRowLastColumn="0" w:lastRowFirstColumn="0" w:lastRowLastColumn="0"/>
            <w:tcW w:w="1443" w:type="dxa"/>
            <w:tcBorders>
              <w:bottom w:val="single" w:sz="4" w:space="0" w:color="FFBF3F" w:themeColor="accent4"/>
            </w:tcBorders>
          </w:tcPr>
          <w:p w14:paraId="7B88FB2D" w14:textId="77777777" w:rsidR="005A4ED4" w:rsidRPr="008F65DE" w:rsidRDefault="005A4ED4" w:rsidP="005A4ED4">
            <w:pPr>
              <w:rPr>
                <w:b w:val="0"/>
                <w:bCs w:val="0"/>
                <w:sz w:val="22"/>
                <w:szCs w:val="22"/>
              </w:rPr>
            </w:pPr>
            <w:r w:rsidRPr="008F65DE">
              <w:rPr>
                <w:b w:val="0"/>
                <w:bCs w:val="0"/>
                <w:sz w:val="22"/>
                <w:szCs w:val="22"/>
              </w:rPr>
              <w:t>Section 42</w:t>
            </w:r>
          </w:p>
        </w:tc>
        <w:tc>
          <w:tcPr>
            <w:cnfStyle w:val="000010000000" w:firstRow="0" w:lastRow="0" w:firstColumn="0" w:lastColumn="0" w:oddVBand="1" w:evenVBand="0" w:oddHBand="0" w:evenHBand="0" w:firstRowFirstColumn="0" w:firstRowLastColumn="0" w:lastRowFirstColumn="0" w:lastRowLastColumn="0"/>
            <w:tcW w:w="7204" w:type="dxa"/>
            <w:tcBorders>
              <w:bottom w:val="single" w:sz="4" w:space="0" w:color="FFBF3F" w:themeColor="accent4"/>
            </w:tcBorders>
          </w:tcPr>
          <w:p w14:paraId="5118F771" w14:textId="77777777" w:rsidR="005A4ED4" w:rsidRPr="008F65DE" w:rsidRDefault="005A4ED4" w:rsidP="005A4ED4">
            <w:pPr>
              <w:rPr>
                <w:sz w:val="22"/>
                <w:szCs w:val="22"/>
              </w:rPr>
            </w:pPr>
            <w:r w:rsidRPr="008F65DE">
              <w:rPr>
                <w:sz w:val="22"/>
                <w:szCs w:val="22"/>
              </w:rPr>
              <w:t>Legal professional privilege</w:t>
            </w:r>
          </w:p>
        </w:tc>
        <w:tc>
          <w:tcPr>
            <w:cnfStyle w:val="000100000000" w:firstRow="0" w:lastRow="0" w:firstColumn="0" w:lastColumn="1" w:oddVBand="0" w:evenVBand="0" w:oddHBand="0" w:evenHBand="0" w:firstRowFirstColumn="0" w:firstRowLastColumn="0" w:lastRowFirstColumn="0" w:lastRowLastColumn="0"/>
            <w:tcW w:w="1433" w:type="dxa"/>
            <w:tcBorders>
              <w:bottom w:val="single" w:sz="4" w:space="0" w:color="FFBF3F" w:themeColor="accent4"/>
            </w:tcBorders>
          </w:tcPr>
          <w:p w14:paraId="45D97AE6" w14:textId="77777777" w:rsidR="005A4ED4" w:rsidRPr="008F65DE" w:rsidRDefault="005A4ED4" w:rsidP="005A4ED4">
            <w:pPr>
              <w:rPr>
                <w:b w:val="0"/>
                <w:bCs w:val="0"/>
                <w:sz w:val="22"/>
                <w:szCs w:val="22"/>
              </w:rPr>
            </w:pPr>
            <w:r w:rsidRPr="008F65DE">
              <w:rPr>
                <w:b w:val="0"/>
                <w:bCs w:val="0"/>
                <w:sz w:val="22"/>
                <w:szCs w:val="22"/>
              </w:rPr>
              <w:t>Qualified</w:t>
            </w:r>
          </w:p>
        </w:tc>
      </w:tr>
      <w:tr w:rsidR="005A4ED4" w:rsidRPr="00A0314C" w14:paraId="5D9F2262" w14:textId="77777777" w:rsidTr="003A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14:paraId="6E16CC02" w14:textId="77777777" w:rsidR="005A4ED4" w:rsidRPr="008F65DE" w:rsidRDefault="005A4ED4" w:rsidP="005A4ED4">
            <w:pPr>
              <w:rPr>
                <w:b w:val="0"/>
                <w:bCs w:val="0"/>
                <w:sz w:val="22"/>
                <w:szCs w:val="22"/>
              </w:rPr>
            </w:pPr>
            <w:r w:rsidRPr="008F65DE">
              <w:rPr>
                <w:b w:val="0"/>
                <w:bCs w:val="0"/>
                <w:sz w:val="22"/>
                <w:szCs w:val="22"/>
              </w:rPr>
              <w:t>Section 43</w:t>
            </w:r>
          </w:p>
        </w:tc>
        <w:tc>
          <w:tcPr>
            <w:cnfStyle w:val="000010000000" w:firstRow="0" w:lastRow="0" w:firstColumn="0" w:lastColumn="0" w:oddVBand="1" w:evenVBand="0" w:oddHBand="0" w:evenHBand="0" w:firstRowFirstColumn="0" w:firstRowLastColumn="0" w:lastRowFirstColumn="0" w:lastRowLastColumn="0"/>
            <w:tcW w:w="7204" w:type="dxa"/>
          </w:tcPr>
          <w:p w14:paraId="7B9D56B8" w14:textId="77777777" w:rsidR="005A4ED4" w:rsidRPr="008F65DE" w:rsidRDefault="005A4ED4" w:rsidP="005A4ED4">
            <w:pPr>
              <w:rPr>
                <w:sz w:val="22"/>
                <w:szCs w:val="22"/>
              </w:rPr>
            </w:pPr>
            <w:r w:rsidRPr="008F65DE">
              <w:rPr>
                <w:sz w:val="22"/>
                <w:szCs w:val="22"/>
              </w:rPr>
              <w:t>Commercial Interests</w:t>
            </w:r>
          </w:p>
        </w:tc>
        <w:tc>
          <w:tcPr>
            <w:cnfStyle w:val="000100000000" w:firstRow="0" w:lastRow="0" w:firstColumn="0" w:lastColumn="1" w:oddVBand="0" w:evenVBand="0" w:oddHBand="0" w:evenHBand="0" w:firstRowFirstColumn="0" w:firstRowLastColumn="0" w:lastRowFirstColumn="0" w:lastRowLastColumn="0"/>
            <w:tcW w:w="1433" w:type="dxa"/>
          </w:tcPr>
          <w:p w14:paraId="5E14C38F" w14:textId="77777777" w:rsidR="005A4ED4" w:rsidRPr="008F65DE" w:rsidRDefault="005A4ED4" w:rsidP="005A4ED4">
            <w:pPr>
              <w:rPr>
                <w:b w:val="0"/>
                <w:bCs w:val="0"/>
                <w:sz w:val="22"/>
                <w:szCs w:val="22"/>
              </w:rPr>
            </w:pPr>
            <w:r w:rsidRPr="008F65DE">
              <w:rPr>
                <w:b w:val="0"/>
                <w:bCs w:val="0"/>
                <w:sz w:val="22"/>
                <w:szCs w:val="22"/>
              </w:rPr>
              <w:t>Qualified</w:t>
            </w:r>
          </w:p>
        </w:tc>
      </w:tr>
      <w:tr w:rsidR="003A7186" w:rsidRPr="00A0314C" w14:paraId="71B34F87" w14:textId="77777777" w:rsidTr="00277C9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443" w:type="dxa"/>
            <w:tcBorders>
              <w:top w:val="single" w:sz="4" w:space="0" w:color="FFBF3F" w:themeColor="accent4"/>
              <w:bottom w:val="single" w:sz="4" w:space="0" w:color="FFBF3F" w:themeColor="accent4"/>
            </w:tcBorders>
          </w:tcPr>
          <w:p w14:paraId="36194C60" w14:textId="6080A385" w:rsidR="003A7186" w:rsidRPr="008F65DE" w:rsidRDefault="003A7186" w:rsidP="003A7186">
            <w:pPr>
              <w:rPr>
                <w:b w:val="0"/>
                <w:bCs w:val="0"/>
                <w:sz w:val="22"/>
                <w:szCs w:val="22"/>
              </w:rPr>
            </w:pPr>
            <w:r w:rsidRPr="008F65DE">
              <w:rPr>
                <w:b w:val="0"/>
                <w:bCs w:val="0"/>
                <w:sz w:val="22"/>
                <w:szCs w:val="22"/>
              </w:rPr>
              <w:t>Section 44</w:t>
            </w:r>
          </w:p>
        </w:tc>
        <w:tc>
          <w:tcPr>
            <w:cnfStyle w:val="000010000000" w:firstRow="0" w:lastRow="0" w:firstColumn="0" w:lastColumn="0" w:oddVBand="1" w:evenVBand="0" w:oddHBand="0" w:evenHBand="0" w:firstRowFirstColumn="0" w:firstRowLastColumn="0" w:lastRowFirstColumn="0" w:lastRowLastColumn="0"/>
            <w:tcW w:w="7204" w:type="dxa"/>
            <w:tcBorders>
              <w:top w:val="single" w:sz="4" w:space="0" w:color="FFBF3F" w:themeColor="accent4"/>
              <w:bottom w:val="single" w:sz="4" w:space="0" w:color="FFBF3F" w:themeColor="accent4"/>
            </w:tcBorders>
          </w:tcPr>
          <w:p w14:paraId="0393E0F6" w14:textId="0F079561" w:rsidR="003A7186" w:rsidRPr="008F65DE" w:rsidRDefault="003A7186" w:rsidP="003A7186">
            <w:pPr>
              <w:rPr>
                <w:sz w:val="22"/>
                <w:szCs w:val="22"/>
              </w:rPr>
            </w:pPr>
            <w:r w:rsidRPr="008F65DE">
              <w:rPr>
                <w:b w:val="0"/>
                <w:bCs w:val="0"/>
                <w:sz w:val="22"/>
                <w:szCs w:val="22"/>
              </w:rPr>
              <w:t>Disclosure prohibited under another Statute; prohibitions on disclosure</w:t>
            </w:r>
          </w:p>
        </w:tc>
        <w:tc>
          <w:tcPr>
            <w:cnfStyle w:val="000100000010" w:firstRow="0" w:lastRow="0" w:firstColumn="0" w:lastColumn="1" w:oddVBand="0" w:evenVBand="0" w:oddHBand="0" w:evenHBand="0" w:firstRowFirstColumn="0" w:firstRowLastColumn="0" w:lastRowFirstColumn="0" w:lastRowLastColumn="1"/>
            <w:tcW w:w="1433" w:type="dxa"/>
            <w:tcBorders>
              <w:top w:val="single" w:sz="4" w:space="0" w:color="FFBF3F" w:themeColor="accent4"/>
              <w:bottom w:val="single" w:sz="4" w:space="0" w:color="FFBF3F" w:themeColor="accent4"/>
            </w:tcBorders>
          </w:tcPr>
          <w:p w14:paraId="5B29E7ED" w14:textId="486994CE" w:rsidR="003A7186" w:rsidRPr="008F65DE" w:rsidRDefault="003A7186" w:rsidP="003A7186">
            <w:pPr>
              <w:rPr>
                <w:b w:val="0"/>
                <w:bCs w:val="0"/>
                <w:sz w:val="22"/>
                <w:szCs w:val="22"/>
              </w:rPr>
            </w:pPr>
            <w:r w:rsidRPr="008F65DE">
              <w:rPr>
                <w:b w:val="0"/>
                <w:bCs w:val="0"/>
                <w:sz w:val="22"/>
                <w:szCs w:val="22"/>
              </w:rPr>
              <w:t>Absolute</w:t>
            </w:r>
          </w:p>
        </w:tc>
      </w:tr>
    </w:tbl>
    <w:p w14:paraId="2EC05999" w14:textId="77777777" w:rsidR="005A4ED4" w:rsidRPr="005A4ED4" w:rsidRDefault="005A4ED4" w:rsidP="005A4ED4"/>
    <w:tbl>
      <w:tblPr>
        <w:tblStyle w:val="ListTable3-Accent4"/>
        <w:tblW w:w="10080" w:type="dxa"/>
        <w:tblLook w:val="01E0" w:firstRow="1" w:lastRow="1" w:firstColumn="1" w:lastColumn="1" w:noHBand="0" w:noVBand="0"/>
      </w:tblPr>
      <w:tblGrid>
        <w:gridCol w:w="2700"/>
        <w:gridCol w:w="7380"/>
      </w:tblGrid>
      <w:tr w:rsidR="005A4ED4" w:rsidRPr="00A0314C" w14:paraId="51C2341C" w14:textId="77777777" w:rsidTr="0072648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80" w:type="dxa"/>
            <w:gridSpan w:val="2"/>
            <w:tcBorders>
              <w:bottom w:val="single" w:sz="4" w:space="0" w:color="FFBF3F" w:themeColor="accent4"/>
            </w:tcBorders>
          </w:tcPr>
          <w:p w14:paraId="62B4EBAD" w14:textId="77777777" w:rsidR="005A4ED4" w:rsidRPr="005A4ED4" w:rsidRDefault="005A4ED4" w:rsidP="00277C9D">
            <w:r w:rsidRPr="005A4ED4">
              <w:t xml:space="preserve">Environmental Information Regulations 2004 Exceptions (All Exceptions under </w:t>
            </w:r>
            <w:smartTag w:uri="urn:schemas-microsoft-com:office:smarttags" w:element="stockticker">
              <w:r w:rsidRPr="005A4ED4">
                <w:t>EIR</w:t>
              </w:r>
            </w:smartTag>
            <w:r w:rsidRPr="005A4ED4">
              <w:t xml:space="preserve"> are subject to the Public Interest Test)</w:t>
            </w:r>
          </w:p>
        </w:tc>
      </w:tr>
      <w:tr w:rsidR="005A4ED4" w:rsidRPr="00A0314C" w14:paraId="7038921F" w14:textId="77777777" w:rsidTr="00726489">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100" w:firstRow="0" w:lastRow="0" w:firstColumn="1" w:lastColumn="0" w:oddVBand="0" w:evenVBand="0" w:oddHBand="0" w:evenHBand="0" w:firstRowFirstColumn="1" w:firstRowLastColumn="0" w:lastRowFirstColumn="0" w:lastRowLastColumn="0"/>
            <w:tcW w:w="2700" w:type="dxa"/>
            <w:tcBorders>
              <w:right w:val="single" w:sz="4" w:space="0" w:color="FFBF3F" w:themeColor="accent4"/>
            </w:tcBorders>
            <w:shd w:val="clear" w:color="auto" w:fill="FFFFFF" w:themeFill="background1"/>
          </w:tcPr>
          <w:p w14:paraId="2255F9AE" w14:textId="77777777" w:rsidR="005A4ED4" w:rsidRPr="00726489" w:rsidRDefault="005A4ED4" w:rsidP="00277C9D">
            <w:pPr>
              <w:rPr>
                <w:color w:val="auto"/>
              </w:rPr>
            </w:pPr>
            <w:r w:rsidRPr="00726489">
              <w:rPr>
                <w:color w:val="auto"/>
              </w:rPr>
              <w:t>Exception</w:t>
            </w:r>
          </w:p>
        </w:tc>
        <w:tc>
          <w:tcPr>
            <w:cnfStyle w:val="000100001000" w:firstRow="0" w:lastRow="0" w:firstColumn="0" w:lastColumn="1" w:oddVBand="0" w:evenVBand="0" w:oddHBand="0" w:evenHBand="0" w:firstRowFirstColumn="0" w:firstRowLastColumn="1" w:lastRowFirstColumn="0" w:lastRowLastColumn="0"/>
            <w:tcW w:w="7380" w:type="dxa"/>
            <w:tcBorders>
              <w:left w:val="single" w:sz="4" w:space="0" w:color="FFBF3F" w:themeColor="accent4"/>
            </w:tcBorders>
            <w:shd w:val="clear" w:color="auto" w:fill="FFFFFF" w:themeFill="background1"/>
          </w:tcPr>
          <w:p w14:paraId="57584414" w14:textId="77777777" w:rsidR="005A4ED4" w:rsidRPr="00726489" w:rsidRDefault="005A4ED4" w:rsidP="00277C9D">
            <w:pPr>
              <w:rPr>
                <w:color w:val="auto"/>
              </w:rPr>
            </w:pPr>
            <w:r w:rsidRPr="00726489">
              <w:rPr>
                <w:color w:val="auto"/>
              </w:rPr>
              <w:t>Description</w:t>
            </w:r>
          </w:p>
        </w:tc>
      </w:tr>
      <w:tr w:rsidR="005A4ED4" w:rsidRPr="00A0314C" w14:paraId="23C1F296"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454AADD1" w14:textId="77777777" w:rsidR="005A4ED4" w:rsidRPr="00277C9D" w:rsidRDefault="005A4ED4" w:rsidP="00277C9D">
            <w:pPr>
              <w:rPr>
                <w:b w:val="0"/>
                <w:bCs w:val="0"/>
                <w:sz w:val="22"/>
                <w:szCs w:val="22"/>
              </w:rPr>
            </w:pPr>
            <w:r w:rsidRPr="00277C9D">
              <w:rPr>
                <w:b w:val="0"/>
                <w:bCs w:val="0"/>
                <w:sz w:val="22"/>
                <w:szCs w:val="22"/>
              </w:rPr>
              <w:t>Regulation 12(3)</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5CFAFCD2" w14:textId="77777777" w:rsidR="005A4ED4" w:rsidRPr="00277C9D" w:rsidRDefault="005A4ED4" w:rsidP="00277C9D">
            <w:pPr>
              <w:rPr>
                <w:b w:val="0"/>
                <w:bCs w:val="0"/>
                <w:sz w:val="22"/>
                <w:szCs w:val="22"/>
              </w:rPr>
            </w:pPr>
            <w:r w:rsidRPr="00277C9D">
              <w:rPr>
                <w:b w:val="0"/>
                <w:bCs w:val="0"/>
                <w:sz w:val="22"/>
                <w:szCs w:val="22"/>
              </w:rPr>
              <w:t>Personal Information</w:t>
            </w:r>
          </w:p>
        </w:tc>
      </w:tr>
      <w:tr w:rsidR="005A4ED4" w:rsidRPr="00A0314C" w14:paraId="2414E19A"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6284265A" w14:textId="77777777" w:rsidR="005A4ED4" w:rsidRPr="00277C9D" w:rsidRDefault="005A4ED4" w:rsidP="00277C9D">
            <w:pPr>
              <w:rPr>
                <w:b w:val="0"/>
                <w:bCs w:val="0"/>
                <w:sz w:val="22"/>
                <w:szCs w:val="22"/>
              </w:rPr>
            </w:pPr>
            <w:r w:rsidRPr="00277C9D">
              <w:rPr>
                <w:b w:val="0"/>
                <w:bCs w:val="0"/>
                <w:sz w:val="22"/>
                <w:szCs w:val="22"/>
              </w:rPr>
              <w:t>Regulation 12(4)(a)</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02C03DF0" w14:textId="77777777" w:rsidR="005A4ED4" w:rsidRPr="00277C9D" w:rsidRDefault="005A4ED4" w:rsidP="00277C9D">
            <w:pPr>
              <w:rPr>
                <w:b w:val="0"/>
                <w:bCs w:val="0"/>
                <w:sz w:val="22"/>
                <w:szCs w:val="22"/>
              </w:rPr>
            </w:pPr>
            <w:r w:rsidRPr="00277C9D">
              <w:rPr>
                <w:b w:val="0"/>
                <w:bCs w:val="0"/>
                <w:sz w:val="22"/>
                <w:szCs w:val="22"/>
              </w:rPr>
              <w:t>Information not held when request received</w:t>
            </w:r>
          </w:p>
        </w:tc>
      </w:tr>
      <w:tr w:rsidR="005A4ED4" w:rsidRPr="00A0314C" w14:paraId="25F4EBEF"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501F9A60" w14:textId="77777777" w:rsidR="005A4ED4" w:rsidRPr="00277C9D" w:rsidRDefault="005A4ED4" w:rsidP="00277C9D">
            <w:pPr>
              <w:rPr>
                <w:b w:val="0"/>
                <w:bCs w:val="0"/>
                <w:sz w:val="22"/>
                <w:szCs w:val="22"/>
              </w:rPr>
            </w:pPr>
            <w:r w:rsidRPr="00277C9D">
              <w:rPr>
                <w:b w:val="0"/>
                <w:bCs w:val="0"/>
                <w:sz w:val="22"/>
                <w:szCs w:val="22"/>
              </w:rPr>
              <w:t>Regulation 12(4)(b)</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67724604" w14:textId="77777777" w:rsidR="005A4ED4" w:rsidRPr="00277C9D" w:rsidRDefault="005A4ED4" w:rsidP="00277C9D">
            <w:pPr>
              <w:rPr>
                <w:b w:val="0"/>
                <w:bCs w:val="0"/>
                <w:sz w:val="22"/>
                <w:szCs w:val="22"/>
              </w:rPr>
            </w:pPr>
            <w:r w:rsidRPr="00277C9D">
              <w:rPr>
                <w:b w:val="0"/>
                <w:bCs w:val="0"/>
                <w:sz w:val="22"/>
                <w:szCs w:val="22"/>
              </w:rPr>
              <w:t>Manifestly unreasonable</w:t>
            </w:r>
          </w:p>
        </w:tc>
      </w:tr>
      <w:tr w:rsidR="005A4ED4" w:rsidRPr="00A0314C" w14:paraId="6D1DB6DB"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400BF98E" w14:textId="77777777" w:rsidR="005A4ED4" w:rsidRPr="00277C9D" w:rsidRDefault="005A4ED4" w:rsidP="00277C9D">
            <w:pPr>
              <w:rPr>
                <w:b w:val="0"/>
                <w:bCs w:val="0"/>
                <w:sz w:val="22"/>
                <w:szCs w:val="22"/>
              </w:rPr>
            </w:pPr>
            <w:r w:rsidRPr="00277C9D">
              <w:rPr>
                <w:b w:val="0"/>
                <w:bCs w:val="0"/>
                <w:sz w:val="22"/>
                <w:szCs w:val="22"/>
              </w:rPr>
              <w:t>Regulation 12(4)(c)</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26718C3D" w14:textId="77777777" w:rsidR="005A4ED4" w:rsidRPr="00277C9D" w:rsidRDefault="005A4ED4" w:rsidP="00277C9D">
            <w:pPr>
              <w:rPr>
                <w:b w:val="0"/>
                <w:bCs w:val="0"/>
                <w:sz w:val="22"/>
                <w:szCs w:val="22"/>
              </w:rPr>
            </w:pPr>
            <w:r w:rsidRPr="00277C9D">
              <w:rPr>
                <w:b w:val="0"/>
                <w:bCs w:val="0"/>
                <w:sz w:val="22"/>
                <w:szCs w:val="22"/>
              </w:rPr>
              <w:t>Request is too general</w:t>
            </w:r>
          </w:p>
        </w:tc>
      </w:tr>
      <w:tr w:rsidR="005A4ED4" w:rsidRPr="00A0314C" w14:paraId="6D466E5F"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27FCE054" w14:textId="77777777" w:rsidR="005A4ED4" w:rsidRPr="00277C9D" w:rsidRDefault="005A4ED4" w:rsidP="00277C9D">
            <w:pPr>
              <w:rPr>
                <w:b w:val="0"/>
                <w:bCs w:val="0"/>
                <w:sz w:val="22"/>
                <w:szCs w:val="22"/>
              </w:rPr>
            </w:pPr>
            <w:r w:rsidRPr="00277C9D">
              <w:rPr>
                <w:b w:val="0"/>
                <w:bCs w:val="0"/>
                <w:sz w:val="22"/>
                <w:szCs w:val="22"/>
              </w:rPr>
              <w:t>Regulation 12(4)(d)</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2B36B83B" w14:textId="77777777" w:rsidR="005A4ED4" w:rsidRPr="00277C9D" w:rsidRDefault="005A4ED4" w:rsidP="00277C9D">
            <w:pPr>
              <w:rPr>
                <w:b w:val="0"/>
                <w:bCs w:val="0"/>
                <w:sz w:val="22"/>
                <w:szCs w:val="22"/>
              </w:rPr>
            </w:pPr>
            <w:r w:rsidRPr="00277C9D">
              <w:rPr>
                <w:b w:val="0"/>
                <w:bCs w:val="0"/>
                <w:sz w:val="22"/>
                <w:szCs w:val="22"/>
              </w:rPr>
              <w:t>Information which is unfinished or in the course of being completed</w:t>
            </w:r>
          </w:p>
        </w:tc>
      </w:tr>
      <w:tr w:rsidR="005A4ED4" w:rsidRPr="00A0314C" w14:paraId="607D010B"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42052288" w14:textId="77777777" w:rsidR="005A4ED4" w:rsidRPr="00277C9D" w:rsidRDefault="005A4ED4" w:rsidP="00277C9D">
            <w:pPr>
              <w:rPr>
                <w:b w:val="0"/>
                <w:bCs w:val="0"/>
                <w:sz w:val="22"/>
                <w:szCs w:val="22"/>
              </w:rPr>
            </w:pPr>
            <w:r w:rsidRPr="00277C9D">
              <w:rPr>
                <w:b w:val="0"/>
                <w:bCs w:val="0"/>
                <w:sz w:val="22"/>
                <w:szCs w:val="22"/>
              </w:rPr>
              <w:t>Regulation 12(4)(e)</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5A0A8429" w14:textId="77777777" w:rsidR="005A4ED4" w:rsidRPr="00277C9D" w:rsidRDefault="005A4ED4" w:rsidP="00277C9D">
            <w:pPr>
              <w:rPr>
                <w:b w:val="0"/>
                <w:bCs w:val="0"/>
                <w:sz w:val="22"/>
                <w:szCs w:val="22"/>
              </w:rPr>
            </w:pPr>
            <w:r w:rsidRPr="00277C9D">
              <w:rPr>
                <w:b w:val="0"/>
                <w:bCs w:val="0"/>
                <w:sz w:val="22"/>
                <w:szCs w:val="22"/>
              </w:rPr>
              <w:t>Internal communications</w:t>
            </w:r>
          </w:p>
        </w:tc>
      </w:tr>
      <w:tr w:rsidR="005A4ED4" w:rsidRPr="00A0314C" w14:paraId="2D24B000"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369DEF45" w14:textId="77777777" w:rsidR="005A4ED4" w:rsidRPr="00277C9D" w:rsidRDefault="005A4ED4" w:rsidP="00277C9D">
            <w:pPr>
              <w:rPr>
                <w:b w:val="0"/>
                <w:bCs w:val="0"/>
                <w:sz w:val="22"/>
                <w:szCs w:val="22"/>
              </w:rPr>
            </w:pPr>
            <w:r w:rsidRPr="00277C9D">
              <w:rPr>
                <w:b w:val="0"/>
                <w:bCs w:val="0"/>
                <w:sz w:val="22"/>
                <w:szCs w:val="22"/>
              </w:rPr>
              <w:t>Regulation 12(5)(a)</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63F0EF99" w14:textId="77777777" w:rsidR="005A4ED4" w:rsidRPr="00277C9D" w:rsidRDefault="005A4ED4" w:rsidP="00277C9D">
            <w:pPr>
              <w:rPr>
                <w:b w:val="0"/>
                <w:bCs w:val="0"/>
                <w:sz w:val="22"/>
                <w:szCs w:val="22"/>
              </w:rPr>
            </w:pPr>
            <w:proofErr w:type="spellStart"/>
            <w:r w:rsidRPr="00277C9D">
              <w:rPr>
                <w:b w:val="0"/>
                <w:bCs w:val="0"/>
                <w:sz w:val="22"/>
                <w:szCs w:val="22"/>
              </w:rPr>
              <w:t>Adverse affect</w:t>
            </w:r>
            <w:proofErr w:type="spellEnd"/>
            <w:r w:rsidRPr="00277C9D">
              <w:rPr>
                <w:b w:val="0"/>
                <w:bCs w:val="0"/>
                <w:sz w:val="22"/>
                <w:szCs w:val="22"/>
              </w:rPr>
              <w:t xml:space="preserve"> on international relations, defence, national </w:t>
            </w:r>
            <w:proofErr w:type="gramStart"/>
            <w:r w:rsidRPr="00277C9D">
              <w:rPr>
                <w:b w:val="0"/>
                <w:bCs w:val="0"/>
                <w:sz w:val="22"/>
                <w:szCs w:val="22"/>
              </w:rPr>
              <w:t>security</w:t>
            </w:r>
            <w:proofErr w:type="gramEnd"/>
            <w:r w:rsidRPr="00277C9D">
              <w:rPr>
                <w:b w:val="0"/>
                <w:bCs w:val="0"/>
                <w:sz w:val="22"/>
                <w:szCs w:val="22"/>
              </w:rPr>
              <w:t xml:space="preserve"> and public safety</w:t>
            </w:r>
          </w:p>
        </w:tc>
      </w:tr>
      <w:tr w:rsidR="005A4ED4" w:rsidRPr="00A0314C" w14:paraId="5D66DA2E"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7380CDA8" w14:textId="77777777" w:rsidR="005A4ED4" w:rsidRPr="00277C9D" w:rsidRDefault="005A4ED4" w:rsidP="00277C9D">
            <w:pPr>
              <w:rPr>
                <w:b w:val="0"/>
                <w:bCs w:val="0"/>
                <w:sz w:val="22"/>
                <w:szCs w:val="22"/>
              </w:rPr>
            </w:pPr>
            <w:r w:rsidRPr="00277C9D">
              <w:rPr>
                <w:b w:val="0"/>
                <w:bCs w:val="0"/>
                <w:sz w:val="22"/>
                <w:szCs w:val="22"/>
              </w:rPr>
              <w:t>Regulation 12(5)(b)</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2F5EA82F" w14:textId="77777777" w:rsidR="005A4ED4" w:rsidRPr="00277C9D" w:rsidRDefault="005A4ED4" w:rsidP="00277C9D">
            <w:pPr>
              <w:rPr>
                <w:b w:val="0"/>
                <w:bCs w:val="0"/>
                <w:sz w:val="22"/>
                <w:szCs w:val="22"/>
              </w:rPr>
            </w:pPr>
            <w:proofErr w:type="spellStart"/>
            <w:r w:rsidRPr="00277C9D">
              <w:rPr>
                <w:b w:val="0"/>
                <w:bCs w:val="0"/>
                <w:sz w:val="22"/>
                <w:szCs w:val="22"/>
              </w:rPr>
              <w:t>Adverse affect</w:t>
            </w:r>
            <w:proofErr w:type="spellEnd"/>
            <w:r w:rsidRPr="00277C9D">
              <w:rPr>
                <w:b w:val="0"/>
                <w:bCs w:val="0"/>
                <w:sz w:val="22"/>
                <w:szCs w:val="22"/>
              </w:rPr>
              <w:t xml:space="preserve"> on course of justice, ability to obtain fair trial or ability to conduct an inquiry or a criminal or disciplinary nature</w:t>
            </w:r>
          </w:p>
        </w:tc>
      </w:tr>
      <w:tr w:rsidR="005A4ED4" w:rsidRPr="00A0314C" w14:paraId="169E597B"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4DCCFF03" w14:textId="77777777" w:rsidR="005A4ED4" w:rsidRPr="00277C9D" w:rsidRDefault="005A4ED4" w:rsidP="00277C9D">
            <w:pPr>
              <w:rPr>
                <w:b w:val="0"/>
                <w:bCs w:val="0"/>
                <w:sz w:val="22"/>
                <w:szCs w:val="22"/>
              </w:rPr>
            </w:pPr>
            <w:r w:rsidRPr="00277C9D">
              <w:rPr>
                <w:b w:val="0"/>
                <w:bCs w:val="0"/>
                <w:sz w:val="22"/>
                <w:szCs w:val="22"/>
              </w:rPr>
              <w:t>Regulation 12(5)(c)</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4C5FE9EF" w14:textId="77777777" w:rsidR="005A4ED4" w:rsidRPr="00277C9D" w:rsidRDefault="005A4ED4" w:rsidP="00277C9D">
            <w:pPr>
              <w:rPr>
                <w:b w:val="0"/>
                <w:bCs w:val="0"/>
                <w:sz w:val="22"/>
                <w:szCs w:val="22"/>
              </w:rPr>
            </w:pPr>
            <w:r w:rsidRPr="00277C9D">
              <w:rPr>
                <w:b w:val="0"/>
                <w:bCs w:val="0"/>
                <w:sz w:val="22"/>
                <w:szCs w:val="22"/>
              </w:rPr>
              <w:t>Intellectual property rights</w:t>
            </w:r>
          </w:p>
        </w:tc>
      </w:tr>
      <w:tr w:rsidR="005A4ED4" w:rsidRPr="00A0314C" w14:paraId="46ACA47C"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53DB8D7D" w14:textId="77777777" w:rsidR="005A4ED4" w:rsidRPr="00277C9D" w:rsidRDefault="005A4ED4" w:rsidP="00277C9D">
            <w:pPr>
              <w:rPr>
                <w:b w:val="0"/>
                <w:bCs w:val="0"/>
                <w:sz w:val="22"/>
                <w:szCs w:val="22"/>
              </w:rPr>
            </w:pPr>
            <w:r w:rsidRPr="00277C9D">
              <w:rPr>
                <w:b w:val="0"/>
                <w:bCs w:val="0"/>
                <w:sz w:val="22"/>
                <w:szCs w:val="22"/>
              </w:rPr>
              <w:t>Regulation 12(5)(d)</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28CFCB07" w14:textId="77777777" w:rsidR="005A4ED4" w:rsidRPr="00277C9D" w:rsidRDefault="005A4ED4" w:rsidP="00277C9D">
            <w:pPr>
              <w:rPr>
                <w:b w:val="0"/>
                <w:bCs w:val="0"/>
                <w:sz w:val="22"/>
                <w:szCs w:val="22"/>
              </w:rPr>
            </w:pPr>
            <w:r w:rsidRPr="00277C9D">
              <w:rPr>
                <w:b w:val="0"/>
                <w:bCs w:val="0"/>
                <w:sz w:val="22"/>
                <w:szCs w:val="22"/>
              </w:rPr>
              <w:t>Confidential proceedings as provided by law</w:t>
            </w:r>
          </w:p>
        </w:tc>
      </w:tr>
      <w:tr w:rsidR="005A4ED4" w:rsidRPr="00A0314C" w14:paraId="58F34414"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682EF3D3" w14:textId="77777777" w:rsidR="005A4ED4" w:rsidRPr="00277C9D" w:rsidRDefault="005A4ED4" w:rsidP="00277C9D">
            <w:pPr>
              <w:rPr>
                <w:b w:val="0"/>
                <w:bCs w:val="0"/>
                <w:sz w:val="22"/>
                <w:szCs w:val="22"/>
              </w:rPr>
            </w:pPr>
            <w:r w:rsidRPr="00277C9D">
              <w:rPr>
                <w:b w:val="0"/>
                <w:bCs w:val="0"/>
                <w:sz w:val="22"/>
                <w:szCs w:val="22"/>
              </w:rPr>
              <w:t>Regulation 12(5)(e)</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6C4CCA21" w14:textId="77777777" w:rsidR="005A4ED4" w:rsidRPr="00277C9D" w:rsidRDefault="005A4ED4" w:rsidP="00277C9D">
            <w:pPr>
              <w:rPr>
                <w:b w:val="0"/>
                <w:bCs w:val="0"/>
                <w:sz w:val="22"/>
                <w:szCs w:val="22"/>
              </w:rPr>
            </w:pPr>
            <w:r w:rsidRPr="00277C9D">
              <w:rPr>
                <w:b w:val="0"/>
                <w:bCs w:val="0"/>
                <w:sz w:val="22"/>
                <w:szCs w:val="22"/>
              </w:rPr>
              <w:t>Commercial or industrial confidentiality as provided by law</w:t>
            </w:r>
          </w:p>
        </w:tc>
      </w:tr>
      <w:tr w:rsidR="005A4ED4" w:rsidRPr="00A0314C" w14:paraId="17FFCCF7"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0787A948" w14:textId="77777777" w:rsidR="005A4ED4" w:rsidRPr="00277C9D" w:rsidRDefault="005A4ED4" w:rsidP="00277C9D">
            <w:pPr>
              <w:rPr>
                <w:b w:val="0"/>
                <w:bCs w:val="0"/>
                <w:sz w:val="22"/>
                <w:szCs w:val="22"/>
              </w:rPr>
            </w:pPr>
            <w:r w:rsidRPr="00277C9D">
              <w:rPr>
                <w:b w:val="0"/>
                <w:bCs w:val="0"/>
                <w:sz w:val="22"/>
                <w:szCs w:val="22"/>
              </w:rPr>
              <w:t>Regulation 12(5)(f)</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7A75E5DA" w14:textId="77777777" w:rsidR="005A4ED4" w:rsidRPr="00277C9D" w:rsidRDefault="005A4ED4" w:rsidP="00277C9D">
            <w:pPr>
              <w:rPr>
                <w:b w:val="0"/>
                <w:bCs w:val="0"/>
                <w:sz w:val="22"/>
                <w:szCs w:val="22"/>
              </w:rPr>
            </w:pPr>
            <w:r w:rsidRPr="00277C9D">
              <w:rPr>
                <w:b w:val="0"/>
                <w:bCs w:val="0"/>
                <w:sz w:val="22"/>
                <w:szCs w:val="22"/>
              </w:rPr>
              <w:t>Commercial Interests</w:t>
            </w:r>
          </w:p>
        </w:tc>
      </w:tr>
      <w:tr w:rsidR="005A4ED4" w:rsidRPr="00A0314C" w14:paraId="694C19B6" w14:textId="77777777" w:rsidTr="0027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4B66E171" w14:textId="77777777" w:rsidR="005A4ED4" w:rsidRPr="00277C9D" w:rsidRDefault="005A4ED4" w:rsidP="00277C9D">
            <w:pPr>
              <w:rPr>
                <w:b w:val="0"/>
                <w:bCs w:val="0"/>
                <w:sz w:val="22"/>
                <w:szCs w:val="22"/>
              </w:rPr>
            </w:pPr>
            <w:r w:rsidRPr="00277C9D">
              <w:rPr>
                <w:b w:val="0"/>
                <w:bCs w:val="0"/>
                <w:sz w:val="22"/>
                <w:szCs w:val="22"/>
              </w:rPr>
              <w:t>Regulation 12(5)(g)</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44E3915B" w14:textId="77777777" w:rsidR="005A4ED4" w:rsidRPr="00277C9D" w:rsidRDefault="005A4ED4" w:rsidP="00277C9D">
            <w:pPr>
              <w:rPr>
                <w:b w:val="0"/>
                <w:bCs w:val="0"/>
                <w:sz w:val="22"/>
                <w:szCs w:val="22"/>
              </w:rPr>
            </w:pPr>
            <w:r w:rsidRPr="00277C9D">
              <w:rPr>
                <w:b w:val="0"/>
                <w:bCs w:val="0"/>
                <w:sz w:val="22"/>
                <w:szCs w:val="22"/>
              </w:rPr>
              <w:t>Protection of the Environment</w:t>
            </w:r>
          </w:p>
        </w:tc>
      </w:tr>
      <w:tr w:rsidR="005A4ED4" w:rsidRPr="00A0314C" w14:paraId="6D94114B" w14:textId="77777777" w:rsidTr="00277C9D">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FFBF3F" w:themeColor="accent4"/>
            </w:tcBorders>
          </w:tcPr>
          <w:p w14:paraId="27834A2A" w14:textId="77777777" w:rsidR="005A4ED4" w:rsidRPr="00277C9D" w:rsidRDefault="005A4ED4" w:rsidP="00277C9D">
            <w:pPr>
              <w:rPr>
                <w:b w:val="0"/>
                <w:bCs w:val="0"/>
                <w:sz w:val="22"/>
                <w:szCs w:val="22"/>
              </w:rPr>
            </w:pPr>
            <w:r w:rsidRPr="00277C9D">
              <w:rPr>
                <w:b w:val="0"/>
                <w:bCs w:val="0"/>
                <w:sz w:val="22"/>
                <w:szCs w:val="22"/>
              </w:rPr>
              <w:t>Regulation 12(6) and 12(7)</w:t>
            </w:r>
          </w:p>
        </w:tc>
        <w:tc>
          <w:tcPr>
            <w:cnfStyle w:val="000100000000" w:firstRow="0" w:lastRow="0" w:firstColumn="0" w:lastColumn="1" w:oddVBand="0" w:evenVBand="0" w:oddHBand="0" w:evenHBand="0" w:firstRowFirstColumn="0" w:firstRowLastColumn="0" w:lastRowFirstColumn="0" w:lastRowLastColumn="0"/>
            <w:tcW w:w="7380" w:type="dxa"/>
            <w:tcBorders>
              <w:left w:val="single" w:sz="4" w:space="0" w:color="FFBF3F" w:themeColor="accent4"/>
            </w:tcBorders>
          </w:tcPr>
          <w:p w14:paraId="72C0E813" w14:textId="77777777" w:rsidR="005A4ED4" w:rsidRPr="00277C9D" w:rsidRDefault="005A4ED4" w:rsidP="00277C9D">
            <w:pPr>
              <w:rPr>
                <w:b w:val="0"/>
                <w:bCs w:val="0"/>
                <w:sz w:val="22"/>
                <w:szCs w:val="22"/>
              </w:rPr>
            </w:pPr>
            <w:r w:rsidRPr="00277C9D">
              <w:rPr>
                <w:b w:val="0"/>
                <w:bCs w:val="0"/>
                <w:sz w:val="22"/>
                <w:szCs w:val="22"/>
              </w:rPr>
              <w:t>Neither Confirm nor Deny</w:t>
            </w:r>
          </w:p>
        </w:tc>
      </w:tr>
      <w:tr w:rsidR="005A4ED4" w:rsidRPr="00A0314C" w14:paraId="094CBE38" w14:textId="77777777" w:rsidTr="00277C9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700" w:type="dxa"/>
            <w:tcBorders>
              <w:top w:val="single" w:sz="4" w:space="0" w:color="FFBF3F" w:themeColor="accent4"/>
              <w:bottom w:val="single" w:sz="4" w:space="0" w:color="FFBF3F" w:themeColor="accent4"/>
              <w:right w:val="single" w:sz="4" w:space="0" w:color="FFBF3F" w:themeColor="accent4"/>
            </w:tcBorders>
          </w:tcPr>
          <w:p w14:paraId="646855C4" w14:textId="77777777" w:rsidR="005A4ED4" w:rsidRPr="00277C9D" w:rsidRDefault="005A4ED4" w:rsidP="00277C9D">
            <w:pPr>
              <w:rPr>
                <w:b w:val="0"/>
                <w:bCs w:val="0"/>
                <w:sz w:val="22"/>
                <w:szCs w:val="22"/>
              </w:rPr>
            </w:pPr>
            <w:r w:rsidRPr="00277C9D">
              <w:rPr>
                <w:b w:val="0"/>
                <w:bCs w:val="0"/>
                <w:sz w:val="22"/>
                <w:szCs w:val="22"/>
              </w:rPr>
              <w:t>Regulation 12(9)</w:t>
            </w:r>
          </w:p>
        </w:tc>
        <w:tc>
          <w:tcPr>
            <w:cnfStyle w:val="000100000010" w:firstRow="0" w:lastRow="0" w:firstColumn="0" w:lastColumn="1" w:oddVBand="0" w:evenVBand="0" w:oddHBand="0" w:evenHBand="0" w:firstRowFirstColumn="0" w:firstRowLastColumn="0" w:lastRowFirstColumn="0" w:lastRowLastColumn="1"/>
            <w:tcW w:w="7380" w:type="dxa"/>
            <w:tcBorders>
              <w:top w:val="single" w:sz="4" w:space="0" w:color="FFBF3F" w:themeColor="accent4"/>
              <w:left w:val="single" w:sz="4" w:space="0" w:color="FFBF3F" w:themeColor="accent4"/>
              <w:bottom w:val="single" w:sz="4" w:space="0" w:color="FFBF3F" w:themeColor="accent4"/>
            </w:tcBorders>
          </w:tcPr>
          <w:p w14:paraId="11AF3339" w14:textId="77777777" w:rsidR="005A4ED4" w:rsidRPr="00277C9D" w:rsidRDefault="005A4ED4" w:rsidP="00277C9D">
            <w:pPr>
              <w:rPr>
                <w:b w:val="0"/>
                <w:bCs w:val="0"/>
                <w:sz w:val="22"/>
                <w:szCs w:val="22"/>
              </w:rPr>
            </w:pPr>
            <w:r w:rsidRPr="00277C9D">
              <w:rPr>
                <w:b w:val="0"/>
                <w:bCs w:val="0"/>
                <w:sz w:val="22"/>
                <w:szCs w:val="22"/>
              </w:rPr>
              <w:t>Emissions</w:t>
            </w:r>
          </w:p>
        </w:tc>
      </w:tr>
    </w:tbl>
    <w:p w14:paraId="7699E0BE" w14:textId="77777777" w:rsidR="00726489" w:rsidRDefault="00726489" w:rsidP="005A4ED4"/>
    <w:p w14:paraId="05BDAAAA" w14:textId="31DB92DC" w:rsidR="005A4ED4" w:rsidRPr="006D4357" w:rsidRDefault="005A4ED4" w:rsidP="005A4ED4">
      <w:r>
        <w:t xml:space="preserve">Where an exemption is used to withhold </w:t>
      </w:r>
      <w:proofErr w:type="gramStart"/>
      <w:r>
        <w:t>information</w:t>
      </w:r>
      <w:proofErr w:type="gramEnd"/>
      <w:r>
        <w:t xml:space="preserve"> we will issue a refusal notice in response to a request.</w:t>
      </w:r>
    </w:p>
    <w:p w14:paraId="0208B739" w14:textId="0AF55EA1" w:rsidR="005A4ED4" w:rsidRPr="005A4ED4" w:rsidRDefault="00E717EE" w:rsidP="00726489">
      <w:pPr>
        <w:pStyle w:val="Heading3"/>
      </w:pPr>
      <w:r>
        <w:t>4</w:t>
      </w:r>
      <w:r w:rsidR="005A4ED4" w:rsidRPr="005A4ED4">
        <w:t>.7</w:t>
      </w:r>
      <w:r w:rsidR="005A4ED4" w:rsidRPr="005A4ED4">
        <w:tab/>
        <w:t>Public Interest Test</w:t>
      </w:r>
    </w:p>
    <w:p w14:paraId="27E4096B" w14:textId="77777777" w:rsidR="005A4ED4" w:rsidRPr="005A4ED4" w:rsidRDefault="005A4ED4" w:rsidP="005A4ED4">
      <w:r w:rsidRPr="005A4ED4">
        <w:lastRenderedPageBreak/>
        <w:t xml:space="preserve">Where the Council is applying an exemption to any information requested and the exemption is qualified, it is required to consider the public interest test. The public interest test determines whether the public interest is best served by, </w:t>
      </w:r>
      <w:proofErr w:type="gramStart"/>
      <w:r w:rsidRPr="005A4ED4">
        <w:t>withholding</w:t>
      </w:r>
      <w:proofErr w:type="gramEnd"/>
      <w:r w:rsidRPr="005A4ED4">
        <w:t xml:space="preserve"> or releasing the information.</w:t>
      </w:r>
    </w:p>
    <w:p w14:paraId="13A37D39" w14:textId="77777777" w:rsidR="00726489" w:rsidRDefault="00726489" w:rsidP="005A4ED4"/>
    <w:p w14:paraId="2AAF7E9D" w14:textId="29435840" w:rsidR="005A4ED4" w:rsidRPr="005A4ED4" w:rsidRDefault="00E717EE" w:rsidP="00726489">
      <w:pPr>
        <w:pStyle w:val="Heading3"/>
      </w:pPr>
      <w:r>
        <w:t>4</w:t>
      </w:r>
      <w:r w:rsidR="005A4ED4" w:rsidRPr="005A4ED4">
        <w:t xml:space="preserve">.8 </w:t>
      </w:r>
      <w:r w:rsidR="005A4ED4" w:rsidRPr="005A4ED4">
        <w:tab/>
        <w:t>Fees and Charges under FOI and EIR</w:t>
      </w:r>
    </w:p>
    <w:p w14:paraId="6FA3DD04" w14:textId="77777777" w:rsidR="005A4ED4" w:rsidRPr="005A4ED4" w:rsidRDefault="005A4ED4" w:rsidP="005A4ED4">
      <w:r w:rsidRPr="005A4ED4">
        <w:t>When the cost of providing information rises above the appropriate limit the Council is not obliged, under the Freedom of Information Act 2000, to respond to your request under Section 12(1) of the legislation.</w:t>
      </w:r>
    </w:p>
    <w:p w14:paraId="33660210" w14:textId="0BE2AD10" w:rsidR="005A4ED4" w:rsidRPr="005A4ED4" w:rsidRDefault="005A4ED4" w:rsidP="005A4ED4">
      <w:r w:rsidRPr="005A4ED4">
        <w:t xml:space="preserve">The appropriate limit is specified in regulations for local government as £450 which represents the estimated cost of spending eighteen hours in determining whether the Council holds the information, locating, </w:t>
      </w:r>
      <w:proofErr w:type="gramStart"/>
      <w:r w:rsidRPr="005A4ED4">
        <w:t>retrieving</w:t>
      </w:r>
      <w:proofErr w:type="gramEnd"/>
      <w:r w:rsidRPr="005A4ED4">
        <w:t xml:space="preserve"> and extracting it. </w:t>
      </w:r>
    </w:p>
    <w:p w14:paraId="6B69E006" w14:textId="77777777" w:rsidR="005A4ED4" w:rsidRPr="005A4ED4" w:rsidRDefault="005A4ED4" w:rsidP="005A4ED4">
      <w:r w:rsidRPr="005A4ED4">
        <w:t xml:space="preserve">The Council has discretion whether to proceed with a request which exceeds the appropriate limit.  If so, there is no requirement to issue </w:t>
      </w:r>
      <w:proofErr w:type="gramStart"/>
      <w:r w:rsidRPr="005A4ED4">
        <w:t>a fees</w:t>
      </w:r>
      <w:proofErr w:type="gramEnd"/>
      <w:r w:rsidRPr="005A4ED4">
        <w:t xml:space="preserve"> notice as there is no obligation to comply with the request.</w:t>
      </w:r>
    </w:p>
    <w:p w14:paraId="1DE16564" w14:textId="77777777" w:rsidR="005A4ED4" w:rsidRPr="005A4ED4" w:rsidRDefault="005A4ED4" w:rsidP="005A4ED4">
      <w:r w:rsidRPr="005A4ED4">
        <w:t xml:space="preserve">Under </w:t>
      </w:r>
      <w:smartTag w:uri="urn:schemas-microsoft-com:office:smarttags" w:element="stockticker">
        <w:r w:rsidRPr="005A4ED4">
          <w:t>EIR</w:t>
        </w:r>
      </w:smartTag>
      <w:r w:rsidRPr="005A4ED4">
        <w:t xml:space="preserve"> there is no “cost limit” for dealing with requests.  However, requests that cost a disproportionate amount can be refused on the basis they are manifestly unreasonable or too general, subject to the public interest test (Regulation 12).  We may also charge a fee for providing information in a certain format as detailed in the Council’s published Charging Policy.</w:t>
      </w:r>
    </w:p>
    <w:p w14:paraId="2A38E48A" w14:textId="195A7FE2" w:rsidR="00C94541" w:rsidRPr="00C94541" w:rsidRDefault="00726489" w:rsidP="00C94541">
      <w:pPr>
        <w:pStyle w:val="Heading1"/>
      </w:pPr>
      <w:bookmarkStart w:id="18" w:name="_Toc513753495"/>
      <w:bookmarkStart w:id="19" w:name="_Toc85624694"/>
      <w:r>
        <w:t>5</w:t>
      </w:r>
      <w:r w:rsidR="00C94541">
        <w:t xml:space="preserve">. </w:t>
      </w:r>
      <w:bookmarkEnd w:id="18"/>
      <w:r w:rsidR="009F631C">
        <w:t>Complaints and Internal Reviews</w:t>
      </w:r>
      <w:bookmarkEnd w:id="19"/>
    </w:p>
    <w:p w14:paraId="215E9980" w14:textId="77777777" w:rsidR="00602162" w:rsidRDefault="00602162" w:rsidP="00602162">
      <w:pPr>
        <w:spacing w:after="60"/>
        <w:rPr>
          <w:rFonts w:ascii="Arial" w:hAnsi="Arial" w:cs="Arial"/>
        </w:rPr>
      </w:pPr>
      <w:r>
        <w:rPr>
          <w:rFonts w:ascii="Arial" w:hAnsi="Arial" w:cs="Arial"/>
        </w:rPr>
        <w:t>If a customer is unhappy with the Council’s response to a request they have made, they have a right to make a complaint.  These complaints will be processed as Internal Reviews in line with this policy.</w:t>
      </w:r>
    </w:p>
    <w:p w14:paraId="7C00F205" w14:textId="77F4331A" w:rsidR="00602162" w:rsidRPr="004D7D07" w:rsidRDefault="00602162" w:rsidP="004D7D07">
      <w:pPr>
        <w:spacing w:after="60"/>
        <w:rPr>
          <w:rFonts w:ascii="Arial" w:hAnsi="Arial" w:cs="Arial"/>
        </w:rPr>
      </w:pPr>
      <w:r>
        <w:rPr>
          <w:rFonts w:ascii="Arial" w:hAnsi="Arial" w:cs="Arial"/>
        </w:rPr>
        <w:t xml:space="preserve">Although the Council only has a statutory duty to have an Internal Review Procedure in place for use with complaints about requests made under the Environmental Information Regulations 2004, the Council also adopts these procedures for complaints about Freedom of Information Act Requests and requests made under the Data Protection Law. </w:t>
      </w:r>
    </w:p>
    <w:p w14:paraId="4B51A2D3" w14:textId="35EFFED5" w:rsidR="00602162" w:rsidRPr="00D64673" w:rsidRDefault="00E717EE" w:rsidP="00602162">
      <w:pPr>
        <w:pStyle w:val="Heading3"/>
        <w:rPr>
          <w:rFonts w:eastAsia="Calibri"/>
        </w:rPr>
      </w:pPr>
      <w:r>
        <w:rPr>
          <w:rFonts w:eastAsia="Calibri"/>
        </w:rPr>
        <w:t>5</w:t>
      </w:r>
      <w:r w:rsidR="00602162">
        <w:rPr>
          <w:rFonts w:eastAsia="Calibri"/>
        </w:rPr>
        <w:t xml:space="preserve">.1 </w:t>
      </w:r>
      <w:r w:rsidR="00602162">
        <w:rPr>
          <w:rFonts w:eastAsia="Calibri"/>
        </w:rPr>
        <w:tab/>
        <w:t>What is an internal Review?</w:t>
      </w:r>
    </w:p>
    <w:p w14:paraId="5BCEE62A" w14:textId="0204CE53" w:rsidR="00602162" w:rsidRPr="000E56D4" w:rsidRDefault="00602162" w:rsidP="00602162">
      <w:pPr>
        <w:spacing w:before="60" w:after="60"/>
        <w:rPr>
          <w:rFonts w:ascii="Arial" w:hAnsi="Arial" w:cs="Arial"/>
        </w:rPr>
      </w:pPr>
      <w:r>
        <w:rPr>
          <w:rFonts w:ascii="Arial" w:hAnsi="Arial" w:cs="Arial"/>
        </w:rPr>
        <w:t xml:space="preserve">The Information Governance Team considers an internal review will be where a customer advising us that they are unhappy </w:t>
      </w:r>
      <w:r w:rsidRPr="000E56D4">
        <w:rPr>
          <w:rFonts w:ascii="Arial" w:hAnsi="Arial" w:cs="Arial"/>
        </w:rPr>
        <w:t xml:space="preserve">about </w:t>
      </w:r>
      <w:r>
        <w:rPr>
          <w:rFonts w:ascii="Arial" w:hAnsi="Arial" w:cs="Arial"/>
        </w:rPr>
        <w:t>the Council’s</w:t>
      </w:r>
      <w:r w:rsidRPr="000E56D4">
        <w:rPr>
          <w:rFonts w:ascii="Arial" w:hAnsi="Arial" w:cs="Arial"/>
        </w:rPr>
        <w:t xml:space="preserve"> decision to withhold</w:t>
      </w:r>
      <w:r>
        <w:rPr>
          <w:rFonts w:ascii="Arial" w:hAnsi="Arial" w:cs="Arial"/>
        </w:rPr>
        <w:t xml:space="preserve"> information or about the way in which their request has been dealt including where the customer considers that the Council has</w:t>
      </w:r>
      <w:r w:rsidRPr="000E56D4">
        <w:rPr>
          <w:rFonts w:ascii="Arial" w:hAnsi="Arial" w:cs="Arial"/>
        </w:rPr>
        <w:t>:</w:t>
      </w:r>
    </w:p>
    <w:p w14:paraId="3B83AC8F" w14:textId="77777777" w:rsidR="00602162" w:rsidRPr="000E56D4" w:rsidRDefault="00602162" w:rsidP="00762228">
      <w:pPr>
        <w:pStyle w:val="squarebullets"/>
      </w:pPr>
      <w:r>
        <w:t>F</w:t>
      </w:r>
      <w:r w:rsidRPr="000E56D4">
        <w:t xml:space="preserve">ailed to provide the information asked </w:t>
      </w:r>
      <w:proofErr w:type="gramStart"/>
      <w:r w:rsidRPr="000E56D4">
        <w:t>for;</w:t>
      </w:r>
      <w:proofErr w:type="gramEnd"/>
      <w:r w:rsidRPr="000E56D4">
        <w:t xml:space="preserve"> </w:t>
      </w:r>
    </w:p>
    <w:p w14:paraId="457FC7FC" w14:textId="77777777" w:rsidR="00602162" w:rsidRPr="000E56D4" w:rsidRDefault="00602162" w:rsidP="00762228">
      <w:pPr>
        <w:pStyle w:val="squarebullets"/>
      </w:pPr>
      <w:r>
        <w:lastRenderedPageBreak/>
        <w:t>F</w:t>
      </w:r>
      <w:r w:rsidRPr="000E56D4">
        <w:t xml:space="preserve">ailed to tell them whether or not we hold </w:t>
      </w:r>
      <w:proofErr w:type="gramStart"/>
      <w:r w:rsidRPr="000E56D4">
        <w:t>information;</w:t>
      </w:r>
      <w:proofErr w:type="gramEnd"/>
      <w:r w:rsidRPr="000E56D4">
        <w:t xml:space="preserve"> </w:t>
      </w:r>
    </w:p>
    <w:p w14:paraId="5227E6D0" w14:textId="77777777" w:rsidR="00602162" w:rsidRPr="000E56D4" w:rsidRDefault="00602162" w:rsidP="00762228">
      <w:pPr>
        <w:pStyle w:val="squarebullets"/>
      </w:pPr>
      <w:r>
        <w:t>F</w:t>
      </w:r>
      <w:r w:rsidRPr="000E56D4">
        <w:t xml:space="preserve">ailed to respond to their request within time </w:t>
      </w:r>
      <w:proofErr w:type="gramStart"/>
      <w:r w:rsidRPr="000E56D4">
        <w:t>l</w:t>
      </w:r>
      <w:r>
        <w:t>imits</w:t>
      </w:r>
      <w:r w:rsidRPr="000E56D4">
        <w:t>;</w:t>
      </w:r>
      <w:proofErr w:type="gramEnd"/>
      <w:r w:rsidRPr="000E56D4">
        <w:t xml:space="preserve"> </w:t>
      </w:r>
    </w:p>
    <w:p w14:paraId="5FCE925A" w14:textId="77777777" w:rsidR="00602162" w:rsidRPr="000E56D4" w:rsidRDefault="00602162" w:rsidP="00762228">
      <w:pPr>
        <w:pStyle w:val="squarebullets"/>
      </w:pPr>
      <w:r>
        <w:t>F</w:t>
      </w:r>
      <w:r w:rsidRPr="000E56D4">
        <w:t xml:space="preserve">ailed to give them proper advice and </w:t>
      </w:r>
      <w:proofErr w:type="gramStart"/>
      <w:r w:rsidRPr="000E56D4">
        <w:t>help;</w:t>
      </w:r>
      <w:proofErr w:type="gramEnd"/>
      <w:r w:rsidRPr="000E56D4">
        <w:t xml:space="preserve"> </w:t>
      </w:r>
    </w:p>
    <w:p w14:paraId="12D169E7" w14:textId="77777777" w:rsidR="00602162" w:rsidRPr="000E56D4" w:rsidRDefault="00602162" w:rsidP="00762228">
      <w:pPr>
        <w:pStyle w:val="squarebullets"/>
      </w:pPr>
      <w:r>
        <w:t>F</w:t>
      </w:r>
      <w:r w:rsidRPr="000E56D4">
        <w:t xml:space="preserve">ailed to give information in the form in which they requested </w:t>
      </w:r>
      <w:proofErr w:type="gramStart"/>
      <w:r w:rsidRPr="000E56D4">
        <w:t>it;</w:t>
      </w:r>
      <w:proofErr w:type="gramEnd"/>
      <w:r w:rsidRPr="000E56D4">
        <w:t xml:space="preserve"> </w:t>
      </w:r>
    </w:p>
    <w:p w14:paraId="06D88948" w14:textId="77777777" w:rsidR="00602162" w:rsidRPr="000E56D4" w:rsidRDefault="00602162" w:rsidP="00762228">
      <w:pPr>
        <w:pStyle w:val="squarebullets"/>
      </w:pPr>
      <w:r>
        <w:t>F</w:t>
      </w:r>
      <w:r w:rsidRPr="000E56D4">
        <w:t>ailed to properly expl</w:t>
      </w:r>
      <w:r>
        <w:t>ain the reasons for refusing a</w:t>
      </w:r>
      <w:r w:rsidRPr="000E56D4">
        <w:t xml:space="preserve"> </w:t>
      </w:r>
      <w:proofErr w:type="gramStart"/>
      <w:r w:rsidRPr="000E56D4">
        <w:t>request;</w:t>
      </w:r>
      <w:proofErr w:type="gramEnd"/>
      <w:r w:rsidRPr="000E56D4">
        <w:t xml:space="preserve"> </w:t>
      </w:r>
    </w:p>
    <w:p w14:paraId="3C1731C6" w14:textId="62D07448" w:rsidR="00602162" w:rsidRDefault="00602162" w:rsidP="00762228">
      <w:pPr>
        <w:pStyle w:val="squarebullets"/>
      </w:pPr>
      <w:r>
        <w:t>F</w:t>
      </w:r>
      <w:r w:rsidRPr="000E56D4">
        <w:t>ailed to correctly apply an exemption under the</w:t>
      </w:r>
      <w:r>
        <w:t xml:space="preserve"> relevant</w:t>
      </w:r>
      <w:r w:rsidRPr="000E56D4">
        <w:t xml:space="preserve"> Act – in other words, we have </w:t>
      </w:r>
      <w:proofErr w:type="spellStart"/>
      <w:r w:rsidR="00A36DED">
        <w:t>witheld</w:t>
      </w:r>
      <w:proofErr w:type="spellEnd"/>
      <w:r w:rsidRPr="000E56D4">
        <w:t xml:space="preserve"> information for the wrong reason</w:t>
      </w:r>
      <w:r>
        <w:t>.</w:t>
      </w:r>
      <w:r w:rsidR="00A36DED">
        <w:t xml:space="preserve"> </w:t>
      </w:r>
    </w:p>
    <w:p w14:paraId="0D0398EF" w14:textId="1EBDEAA6" w:rsidR="00602162" w:rsidRDefault="00602162" w:rsidP="00602162">
      <w:pPr>
        <w:rPr>
          <w:rFonts w:ascii="Arial" w:hAnsi="Arial" w:cs="Arial"/>
        </w:rPr>
      </w:pPr>
      <w:r>
        <w:rPr>
          <w:rFonts w:ascii="Arial" w:hAnsi="Arial" w:cs="Arial"/>
        </w:rPr>
        <w:t xml:space="preserve">Where a complaint does not fall under the examples given above, we may deal with the complaint under the Council’s Corporate Complaint Procedures.  For more information about our </w:t>
      </w:r>
      <w:proofErr w:type="gramStart"/>
      <w:r>
        <w:rPr>
          <w:rFonts w:ascii="Arial" w:hAnsi="Arial" w:cs="Arial"/>
        </w:rPr>
        <w:t>Corporate</w:t>
      </w:r>
      <w:proofErr w:type="gramEnd"/>
      <w:r>
        <w:rPr>
          <w:rFonts w:ascii="Arial" w:hAnsi="Arial" w:cs="Arial"/>
        </w:rPr>
        <w:t xml:space="preserve"> procedures please visit our website at </w:t>
      </w:r>
      <w:hyperlink r:id="rId13" w:history="1">
        <w:r w:rsidRPr="00320372">
          <w:rPr>
            <w:rStyle w:val="Hyperlink"/>
            <w:rFonts w:ascii="Arial" w:hAnsi="Arial" w:cs="Arial"/>
            <w:color w:val="000080"/>
          </w:rPr>
          <w:t>www.torbay.gov.uk/complaints</w:t>
        </w:r>
      </w:hyperlink>
      <w:r>
        <w:rPr>
          <w:rFonts w:ascii="Arial" w:hAnsi="Arial" w:cs="Arial"/>
        </w:rPr>
        <w:t xml:space="preserve"> </w:t>
      </w:r>
    </w:p>
    <w:p w14:paraId="7929474F" w14:textId="7F4C9DE8" w:rsidR="00602162" w:rsidRPr="00166D67" w:rsidRDefault="00E717EE" w:rsidP="00166D67">
      <w:pPr>
        <w:pStyle w:val="Heading3"/>
        <w:rPr>
          <w:rFonts w:eastAsia="Calibri"/>
        </w:rPr>
      </w:pPr>
      <w:r>
        <w:rPr>
          <w:rFonts w:eastAsia="Calibri"/>
        </w:rPr>
        <w:t>5</w:t>
      </w:r>
      <w:r w:rsidR="00602162">
        <w:rPr>
          <w:rFonts w:eastAsia="Calibri"/>
        </w:rPr>
        <w:t xml:space="preserve">.2 </w:t>
      </w:r>
      <w:r w:rsidR="00602162">
        <w:rPr>
          <w:rFonts w:eastAsia="Calibri"/>
        </w:rPr>
        <w:tab/>
        <w:t>How your complaint will be handled</w:t>
      </w:r>
    </w:p>
    <w:p w14:paraId="379063DF" w14:textId="63E989FF" w:rsidR="00602162" w:rsidRDefault="00602162" w:rsidP="00602162">
      <w:pPr>
        <w:spacing w:after="60"/>
        <w:rPr>
          <w:rFonts w:ascii="Arial" w:hAnsi="Arial" w:cs="Arial"/>
        </w:rPr>
      </w:pPr>
      <w:r>
        <w:rPr>
          <w:rFonts w:ascii="Arial" w:hAnsi="Arial" w:cs="Arial"/>
        </w:rPr>
        <w:t xml:space="preserve">If possible, the Information </w:t>
      </w:r>
      <w:r w:rsidR="00166D67">
        <w:rPr>
          <w:rFonts w:ascii="Arial" w:hAnsi="Arial" w:cs="Arial"/>
        </w:rPr>
        <w:t>Governance</w:t>
      </w:r>
      <w:r>
        <w:rPr>
          <w:rFonts w:ascii="Arial" w:hAnsi="Arial" w:cs="Arial"/>
        </w:rPr>
        <w:t xml:space="preserve"> Team will try to resolve your complaint </w:t>
      </w:r>
      <w:r w:rsidRPr="00504AF3">
        <w:rPr>
          <w:rFonts w:ascii="Arial" w:hAnsi="Arial" w:cs="Arial"/>
          <w:bCs/>
        </w:rPr>
        <w:t>informally</w:t>
      </w:r>
      <w:r>
        <w:rPr>
          <w:rFonts w:ascii="Arial" w:hAnsi="Arial" w:cs="Arial"/>
        </w:rPr>
        <w:t xml:space="preserve"> and provide you with a response within 15 working days. </w:t>
      </w:r>
      <w:r w:rsidR="00FF6C32">
        <w:rPr>
          <w:rFonts w:ascii="Arial" w:hAnsi="Arial" w:cs="Arial"/>
        </w:rPr>
        <w:t>We will consider whether we can handle a complaint informally based on the information requested, the exe</w:t>
      </w:r>
      <w:r w:rsidR="00627CEF">
        <w:rPr>
          <w:rFonts w:ascii="Arial" w:hAnsi="Arial" w:cs="Arial"/>
        </w:rPr>
        <w:t>m</w:t>
      </w:r>
      <w:r w:rsidR="00FF6C32">
        <w:rPr>
          <w:rFonts w:ascii="Arial" w:hAnsi="Arial" w:cs="Arial"/>
        </w:rPr>
        <w:t>ptions applied</w:t>
      </w:r>
      <w:r w:rsidR="00C24682">
        <w:rPr>
          <w:rFonts w:ascii="Arial" w:hAnsi="Arial" w:cs="Arial"/>
        </w:rPr>
        <w:t>, or</w:t>
      </w:r>
      <w:r w:rsidR="00627CEF">
        <w:rPr>
          <w:rFonts w:ascii="Arial" w:hAnsi="Arial" w:cs="Arial"/>
        </w:rPr>
        <w:t xml:space="preserve"> any</w:t>
      </w:r>
      <w:r w:rsidR="00C24682">
        <w:rPr>
          <w:rFonts w:ascii="Arial" w:hAnsi="Arial" w:cs="Arial"/>
        </w:rPr>
        <w:t xml:space="preserve"> other related circumstances. If </w:t>
      </w:r>
      <w:r w:rsidR="00E3188B">
        <w:rPr>
          <w:rFonts w:ascii="Arial" w:hAnsi="Arial" w:cs="Arial"/>
        </w:rPr>
        <w:t>we consider we cannot handle the complaint informally we will carry out an Internal Review and will:</w:t>
      </w:r>
    </w:p>
    <w:p w14:paraId="395436AE" w14:textId="77777777" w:rsidR="00602162" w:rsidRPr="008B2B4A" w:rsidRDefault="00602162" w:rsidP="00166D67">
      <w:pPr>
        <w:pStyle w:val="squarebullets"/>
      </w:pPr>
      <w:r>
        <w:t>A</w:t>
      </w:r>
      <w:r w:rsidRPr="008B2B4A">
        <w:t xml:space="preserve">cknowledge your complaint </w:t>
      </w:r>
      <w:r>
        <w:t xml:space="preserve">within 3 working days advising you that it will be dealt with as an Internal </w:t>
      </w:r>
      <w:proofErr w:type="gramStart"/>
      <w:r>
        <w:t>Review;</w:t>
      </w:r>
      <w:proofErr w:type="gramEnd"/>
    </w:p>
    <w:p w14:paraId="6EC294CA" w14:textId="77777777" w:rsidR="00602162" w:rsidRDefault="00602162" w:rsidP="00166D67">
      <w:pPr>
        <w:pStyle w:val="squarebullets"/>
      </w:pPr>
      <w:r>
        <w:t>P</w:t>
      </w:r>
      <w:r w:rsidRPr="008B2B4A">
        <w:t>rovide you with a date for a response</w:t>
      </w:r>
      <w:r>
        <w:t xml:space="preserve"> </w:t>
      </w:r>
      <w:r w:rsidRPr="00FB7F24">
        <w:t xml:space="preserve">(either 20 working days or 40 working days depending on which </w:t>
      </w:r>
      <w:r>
        <w:t xml:space="preserve">piece of </w:t>
      </w:r>
      <w:r w:rsidRPr="00FB7F24">
        <w:t>legislation your complaint falls under)</w:t>
      </w:r>
      <w:r>
        <w:t>.</w:t>
      </w:r>
    </w:p>
    <w:p w14:paraId="00F7A3A5" w14:textId="0517DFB2" w:rsidR="00166D67" w:rsidRPr="004D7D07" w:rsidRDefault="00602162" w:rsidP="004D7D07">
      <w:pPr>
        <w:pStyle w:val="squarebullets"/>
      </w:pPr>
      <w:r>
        <w:t>Pass the complaint to an officer who is senior to the original decision maker (“appointed officer”)</w:t>
      </w:r>
      <w:r w:rsidR="00821003">
        <w:t xml:space="preserve"> and who was not involved in the original decision</w:t>
      </w:r>
      <w:r w:rsidR="00166D67">
        <w:t>.</w:t>
      </w:r>
    </w:p>
    <w:p w14:paraId="6113D536" w14:textId="77777777" w:rsidR="00602162" w:rsidRDefault="00602162" w:rsidP="00602162">
      <w:pPr>
        <w:spacing w:after="60"/>
        <w:rPr>
          <w:rFonts w:ascii="Arial" w:hAnsi="Arial" w:cs="Arial"/>
        </w:rPr>
      </w:pPr>
      <w:r>
        <w:rPr>
          <w:rFonts w:ascii="Arial" w:hAnsi="Arial" w:cs="Arial"/>
        </w:rPr>
        <w:t>The appointed officer will:</w:t>
      </w:r>
    </w:p>
    <w:p w14:paraId="595DF59E" w14:textId="77777777" w:rsidR="00602162" w:rsidRDefault="00602162" w:rsidP="00747A85">
      <w:pPr>
        <w:pStyle w:val="squarebullets"/>
      </w:pPr>
      <w:r>
        <w:t xml:space="preserve">Thoroughly reconsider the original request and make their </w:t>
      </w:r>
      <w:proofErr w:type="gramStart"/>
      <w:r>
        <w:t>decision;</w:t>
      </w:r>
      <w:proofErr w:type="gramEnd"/>
    </w:p>
    <w:p w14:paraId="12AA900F" w14:textId="4C0A1EE3" w:rsidR="00602162" w:rsidRPr="004D7D07" w:rsidRDefault="00602162" w:rsidP="00602162">
      <w:pPr>
        <w:pStyle w:val="squarebullets"/>
      </w:pPr>
      <w:r>
        <w:t>Provide a response informing you of their decision within the appropriate response time (see response times below)</w:t>
      </w:r>
      <w:r w:rsidR="00747A85">
        <w:t>.</w:t>
      </w:r>
    </w:p>
    <w:p w14:paraId="34654DA4" w14:textId="6A5060FE" w:rsidR="00602162" w:rsidRPr="00C06BE8" w:rsidRDefault="00E717EE" w:rsidP="00747A85">
      <w:pPr>
        <w:pStyle w:val="Heading3"/>
        <w:rPr>
          <w:rFonts w:eastAsia="Calibri"/>
        </w:rPr>
      </w:pPr>
      <w:r>
        <w:rPr>
          <w:rFonts w:eastAsia="Calibri"/>
        </w:rPr>
        <w:t>5</w:t>
      </w:r>
      <w:r w:rsidR="00602162">
        <w:rPr>
          <w:rFonts w:eastAsia="Calibri"/>
        </w:rPr>
        <w:t xml:space="preserve">.3 </w:t>
      </w:r>
      <w:r w:rsidR="00602162">
        <w:rPr>
          <w:rFonts w:eastAsia="Calibri"/>
        </w:rPr>
        <w:tab/>
        <w:t>Response times</w:t>
      </w:r>
    </w:p>
    <w:p w14:paraId="2D605D47" w14:textId="77777777" w:rsidR="00602162" w:rsidRDefault="00602162" w:rsidP="00602162">
      <w:pPr>
        <w:spacing w:after="60"/>
        <w:rPr>
          <w:rFonts w:ascii="Arial" w:hAnsi="Arial" w:cs="Arial"/>
        </w:rPr>
      </w:pPr>
    </w:p>
    <w:tbl>
      <w:tblPr>
        <w:tblStyle w:val="GridTable1Light-Accent4"/>
        <w:tblW w:w="0" w:type="auto"/>
        <w:tblLook w:val="01E0" w:firstRow="1" w:lastRow="1" w:firstColumn="1" w:lastColumn="1" w:noHBand="0" w:noVBand="0"/>
      </w:tblPr>
      <w:tblGrid>
        <w:gridCol w:w="6048"/>
        <w:gridCol w:w="3807"/>
      </w:tblGrid>
      <w:tr w:rsidR="00602162" w:rsidRPr="00BC0146" w14:paraId="64E59AF3" w14:textId="77777777" w:rsidTr="0008666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FFBF3F" w:themeColor="accent4"/>
              <w:left w:val="single" w:sz="4" w:space="0" w:color="FFBF3F" w:themeColor="accent4"/>
              <w:bottom w:val="single" w:sz="4" w:space="0" w:color="FFBF3F" w:themeColor="accent4"/>
              <w:right w:val="single" w:sz="4" w:space="0" w:color="FFBF3F" w:themeColor="accent4"/>
            </w:tcBorders>
          </w:tcPr>
          <w:p w14:paraId="64E73852" w14:textId="77777777" w:rsidR="00602162" w:rsidRPr="00086663" w:rsidRDefault="00602162" w:rsidP="00910534">
            <w:pPr>
              <w:keepNext/>
              <w:keepLines/>
              <w:spacing w:after="60"/>
              <w:rPr>
                <w:rFonts w:ascii="Arial" w:hAnsi="Arial" w:cs="Arial"/>
                <w:b w:val="0"/>
                <w:bCs w:val="0"/>
              </w:rPr>
            </w:pPr>
            <w:r w:rsidRPr="00086663">
              <w:rPr>
                <w:rFonts w:ascii="Arial" w:hAnsi="Arial" w:cs="Arial"/>
                <w:b w:val="0"/>
                <w:bCs w:val="0"/>
              </w:rPr>
              <w:t>Freedom of Information Act 2000</w:t>
            </w:r>
          </w:p>
        </w:tc>
        <w:tc>
          <w:tcPr>
            <w:cnfStyle w:val="000100000000" w:firstRow="0" w:lastRow="0" w:firstColumn="0" w:lastColumn="1" w:oddVBand="0" w:evenVBand="0" w:oddHBand="0" w:evenHBand="0" w:firstRowFirstColumn="0" w:firstRowLastColumn="0" w:lastRowFirstColumn="0" w:lastRowLastColumn="0"/>
            <w:tcW w:w="3807" w:type="dxa"/>
            <w:tcBorders>
              <w:top w:val="single" w:sz="4" w:space="0" w:color="FFBF3F" w:themeColor="accent4"/>
              <w:left w:val="single" w:sz="4" w:space="0" w:color="FFBF3F" w:themeColor="accent4"/>
              <w:bottom w:val="single" w:sz="4" w:space="0" w:color="FFBF3F" w:themeColor="accent4"/>
              <w:right w:val="single" w:sz="4" w:space="0" w:color="FFBF3F" w:themeColor="accent4"/>
            </w:tcBorders>
          </w:tcPr>
          <w:p w14:paraId="15687F3A" w14:textId="77777777" w:rsidR="00602162" w:rsidRPr="00086663" w:rsidRDefault="00602162" w:rsidP="00910534">
            <w:pPr>
              <w:keepNext/>
              <w:keepLines/>
              <w:spacing w:after="60"/>
              <w:rPr>
                <w:rFonts w:ascii="Arial" w:hAnsi="Arial" w:cs="Arial"/>
                <w:b w:val="0"/>
                <w:bCs w:val="0"/>
              </w:rPr>
            </w:pPr>
            <w:r w:rsidRPr="00086663">
              <w:rPr>
                <w:rFonts w:ascii="Arial" w:hAnsi="Arial" w:cs="Arial"/>
                <w:b w:val="0"/>
                <w:bCs w:val="0"/>
              </w:rPr>
              <w:t>20 working days *</w:t>
            </w:r>
          </w:p>
        </w:tc>
      </w:tr>
      <w:tr w:rsidR="00602162" w:rsidRPr="00BC0146" w14:paraId="3F2765DA" w14:textId="77777777" w:rsidTr="00086663">
        <w:trPr>
          <w:trHeight w:val="425"/>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FFBF3F" w:themeColor="accent4"/>
              <w:left w:val="single" w:sz="4" w:space="0" w:color="FFBF3F" w:themeColor="accent4"/>
              <w:bottom w:val="single" w:sz="4" w:space="0" w:color="FFBF3F" w:themeColor="accent4"/>
              <w:right w:val="single" w:sz="4" w:space="0" w:color="FFBF3F" w:themeColor="accent4"/>
            </w:tcBorders>
          </w:tcPr>
          <w:p w14:paraId="57765609" w14:textId="77777777" w:rsidR="00602162" w:rsidRPr="00086663" w:rsidRDefault="00602162" w:rsidP="00910534">
            <w:pPr>
              <w:keepNext/>
              <w:keepLines/>
              <w:spacing w:after="60"/>
              <w:rPr>
                <w:rFonts w:ascii="Arial" w:hAnsi="Arial" w:cs="Arial"/>
                <w:b w:val="0"/>
                <w:bCs w:val="0"/>
              </w:rPr>
            </w:pPr>
            <w:r w:rsidRPr="00086663">
              <w:rPr>
                <w:rFonts w:ascii="Arial" w:hAnsi="Arial" w:cs="Arial"/>
                <w:b w:val="0"/>
                <w:bCs w:val="0"/>
              </w:rPr>
              <w:t>Environmental Information Regulations 2004</w:t>
            </w:r>
          </w:p>
        </w:tc>
        <w:tc>
          <w:tcPr>
            <w:cnfStyle w:val="000100000000" w:firstRow="0" w:lastRow="0" w:firstColumn="0" w:lastColumn="1" w:oddVBand="0" w:evenVBand="0" w:oddHBand="0" w:evenHBand="0" w:firstRowFirstColumn="0" w:firstRowLastColumn="0" w:lastRowFirstColumn="0" w:lastRowLastColumn="0"/>
            <w:tcW w:w="3807" w:type="dxa"/>
            <w:tcBorders>
              <w:top w:val="single" w:sz="4" w:space="0" w:color="FFBF3F" w:themeColor="accent4"/>
              <w:left w:val="single" w:sz="4" w:space="0" w:color="FFBF3F" w:themeColor="accent4"/>
              <w:bottom w:val="single" w:sz="4" w:space="0" w:color="FFBF3F" w:themeColor="accent4"/>
              <w:right w:val="single" w:sz="4" w:space="0" w:color="FFBF3F" w:themeColor="accent4"/>
            </w:tcBorders>
          </w:tcPr>
          <w:p w14:paraId="71CF777A" w14:textId="77777777" w:rsidR="00602162" w:rsidRPr="00086663" w:rsidRDefault="00602162" w:rsidP="00910534">
            <w:pPr>
              <w:keepNext/>
              <w:keepLines/>
              <w:spacing w:after="60"/>
              <w:rPr>
                <w:rFonts w:ascii="Arial" w:hAnsi="Arial" w:cs="Arial"/>
                <w:b w:val="0"/>
                <w:bCs w:val="0"/>
              </w:rPr>
            </w:pPr>
            <w:r w:rsidRPr="00086663">
              <w:rPr>
                <w:rFonts w:ascii="Arial" w:hAnsi="Arial" w:cs="Arial"/>
                <w:b w:val="0"/>
                <w:bCs w:val="0"/>
              </w:rPr>
              <w:t>40 working days</w:t>
            </w:r>
          </w:p>
        </w:tc>
      </w:tr>
      <w:tr w:rsidR="00602162" w:rsidRPr="00BC0146" w14:paraId="745FD6CF" w14:textId="77777777" w:rsidTr="00086663">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FFBF3F" w:themeColor="accent4"/>
              <w:left w:val="single" w:sz="4" w:space="0" w:color="FFBF3F" w:themeColor="accent4"/>
              <w:bottom w:val="single" w:sz="4" w:space="0" w:color="FFBF3F" w:themeColor="accent4"/>
              <w:right w:val="single" w:sz="4" w:space="0" w:color="FFBF3F" w:themeColor="accent4"/>
            </w:tcBorders>
          </w:tcPr>
          <w:p w14:paraId="657B30A3" w14:textId="77777777" w:rsidR="00602162" w:rsidRPr="00086663" w:rsidRDefault="00602162" w:rsidP="00910534">
            <w:pPr>
              <w:keepNext/>
              <w:keepLines/>
              <w:spacing w:after="60"/>
              <w:rPr>
                <w:rFonts w:ascii="Arial" w:hAnsi="Arial" w:cs="Arial"/>
                <w:b w:val="0"/>
                <w:bCs w:val="0"/>
              </w:rPr>
            </w:pPr>
            <w:r w:rsidRPr="00086663">
              <w:rPr>
                <w:rFonts w:ascii="Arial" w:hAnsi="Arial" w:cs="Arial"/>
                <w:b w:val="0"/>
                <w:bCs w:val="0"/>
              </w:rPr>
              <w:t>Requests made under Data Protection Act Law</w:t>
            </w:r>
          </w:p>
        </w:tc>
        <w:tc>
          <w:tcPr>
            <w:cnfStyle w:val="000100000000" w:firstRow="0" w:lastRow="0" w:firstColumn="0" w:lastColumn="1" w:oddVBand="0" w:evenVBand="0" w:oddHBand="0" w:evenHBand="0" w:firstRowFirstColumn="0" w:firstRowLastColumn="0" w:lastRowFirstColumn="0" w:lastRowLastColumn="0"/>
            <w:tcW w:w="3807" w:type="dxa"/>
            <w:tcBorders>
              <w:top w:val="single" w:sz="4" w:space="0" w:color="FFBF3F" w:themeColor="accent4"/>
              <w:left w:val="single" w:sz="4" w:space="0" w:color="FFBF3F" w:themeColor="accent4"/>
              <w:bottom w:val="single" w:sz="4" w:space="0" w:color="FFBF3F" w:themeColor="accent4"/>
              <w:right w:val="single" w:sz="4" w:space="0" w:color="FFBF3F" w:themeColor="accent4"/>
            </w:tcBorders>
          </w:tcPr>
          <w:p w14:paraId="4205D241" w14:textId="77777777" w:rsidR="00602162" w:rsidRPr="00086663" w:rsidRDefault="00602162" w:rsidP="00910534">
            <w:pPr>
              <w:keepNext/>
              <w:keepLines/>
              <w:spacing w:after="60"/>
              <w:rPr>
                <w:rFonts w:ascii="Arial" w:hAnsi="Arial" w:cs="Arial"/>
                <w:b w:val="0"/>
                <w:bCs w:val="0"/>
              </w:rPr>
            </w:pPr>
            <w:r w:rsidRPr="00086663">
              <w:rPr>
                <w:rFonts w:ascii="Arial" w:hAnsi="Arial" w:cs="Arial"/>
                <w:b w:val="0"/>
                <w:bCs w:val="0"/>
              </w:rPr>
              <w:t>40 working days *</w:t>
            </w:r>
          </w:p>
        </w:tc>
      </w:tr>
    </w:tbl>
    <w:p w14:paraId="1BC0C32E" w14:textId="77777777" w:rsidR="00602162" w:rsidRDefault="00602162" w:rsidP="00602162">
      <w:pPr>
        <w:spacing w:after="60"/>
        <w:rPr>
          <w:rFonts w:ascii="Arial" w:hAnsi="Arial" w:cs="Arial"/>
        </w:rPr>
      </w:pPr>
    </w:p>
    <w:p w14:paraId="7276C612" w14:textId="74C91EDD" w:rsidR="00602162" w:rsidRPr="004D7D07" w:rsidRDefault="00602162" w:rsidP="004D7D07">
      <w:pPr>
        <w:spacing w:after="60"/>
        <w:rPr>
          <w:rFonts w:ascii="Arial" w:hAnsi="Arial" w:cs="Arial"/>
        </w:rPr>
      </w:pPr>
      <w:r>
        <w:rPr>
          <w:rFonts w:ascii="Arial" w:hAnsi="Arial" w:cs="Arial"/>
        </w:rPr>
        <w:t xml:space="preserve">* In exceptional circumstances it may be necessary to extend the response time by a further 20 working days.  </w:t>
      </w:r>
      <w:r>
        <w:t xml:space="preserve">If this is the </w:t>
      </w:r>
      <w:proofErr w:type="gramStart"/>
      <w:r>
        <w:t>case</w:t>
      </w:r>
      <w:proofErr w:type="gramEnd"/>
      <w:r>
        <w:t xml:space="preserve"> you will be notified as soon as possible with the reasons why alongside a revised response date.</w:t>
      </w:r>
    </w:p>
    <w:p w14:paraId="0BCFC0C2" w14:textId="129D641E" w:rsidR="00602162" w:rsidRPr="00086663" w:rsidRDefault="00E717EE" w:rsidP="00086663">
      <w:pPr>
        <w:pStyle w:val="Heading3"/>
        <w:rPr>
          <w:rFonts w:eastAsia="Calibri"/>
        </w:rPr>
      </w:pPr>
      <w:r>
        <w:rPr>
          <w:rFonts w:eastAsia="Calibri"/>
        </w:rPr>
        <w:lastRenderedPageBreak/>
        <w:t>5</w:t>
      </w:r>
      <w:r w:rsidR="00602162">
        <w:rPr>
          <w:rFonts w:eastAsia="Calibri"/>
        </w:rPr>
        <w:t xml:space="preserve">.4 </w:t>
      </w:r>
      <w:r w:rsidR="00602162">
        <w:rPr>
          <w:rFonts w:eastAsia="Calibri"/>
        </w:rPr>
        <w:tab/>
        <w:t>If you remain unhappy with the Council’s response</w:t>
      </w:r>
    </w:p>
    <w:p w14:paraId="3C229683" w14:textId="2F8A9D34" w:rsidR="00602162" w:rsidRDefault="00602162" w:rsidP="00602162">
      <w:pPr>
        <w:spacing w:after="60"/>
        <w:rPr>
          <w:rFonts w:ascii="Arial" w:hAnsi="Arial" w:cs="Arial"/>
        </w:rPr>
      </w:pPr>
      <w:r>
        <w:rPr>
          <w:rFonts w:ascii="Arial" w:hAnsi="Arial" w:cs="Arial"/>
        </w:rPr>
        <w:t>If, after going through the Council’s Internal Review Procedure, you remain unhappy with our decision you can contact the Information Commissioner’s Office</w:t>
      </w:r>
      <w:r w:rsidR="00397F6E">
        <w:rPr>
          <w:rFonts w:ascii="Arial" w:hAnsi="Arial" w:cs="Arial"/>
        </w:rPr>
        <w:t xml:space="preserve">, whose contact details are available on their website </w:t>
      </w:r>
      <w:hyperlink r:id="rId14" w:history="1">
        <w:r w:rsidR="00397F6E" w:rsidRPr="0073561D">
          <w:rPr>
            <w:rStyle w:val="Hyperlink"/>
            <w:rFonts w:ascii="Arial" w:hAnsi="Arial" w:cs="Arial"/>
          </w:rPr>
          <w:t>www.ico.org.uk</w:t>
        </w:r>
      </w:hyperlink>
      <w:r w:rsidR="00397F6E">
        <w:rPr>
          <w:rFonts w:ascii="Arial" w:hAnsi="Arial" w:cs="Arial"/>
        </w:rPr>
        <w:t xml:space="preserve"> </w:t>
      </w:r>
    </w:p>
    <w:tbl>
      <w:tblPr>
        <w:tblW w:w="0" w:type="auto"/>
        <w:tblCellMar>
          <w:left w:w="0" w:type="dxa"/>
          <w:right w:w="0" w:type="dxa"/>
        </w:tblCellMar>
        <w:tblLook w:val="0000" w:firstRow="0" w:lastRow="0" w:firstColumn="0" w:lastColumn="0" w:noHBand="0" w:noVBand="0"/>
      </w:tblPr>
      <w:tblGrid>
        <w:gridCol w:w="3652"/>
        <w:gridCol w:w="2552"/>
        <w:gridCol w:w="3509"/>
      </w:tblGrid>
      <w:tr w:rsidR="00602162" w14:paraId="72A3779D" w14:textId="77777777" w:rsidTr="00910534">
        <w:tc>
          <w:tcPr>
            <w:tcW w:w="3652" w:type="dxa"/>
            <w:tcMar>
              <w:top w:w="0" w:type="dxa"/>
              <w:left w:w="108" w:type="dxa"/>
              <w:bottom w:w="0" w:type="dxa"/>
              <w:right w:w="108" w:type="dxa"/>
            </w:tcMar>
          </w:tcPr>
          <w:p w14:paraId="4EFCA919" w14:textId="53A1805A" w:rsidR="00602162" w:rsidRPr="00EE51A1" w:rsidRDefault="00602162" w:rsidP="00910534">
            <w:pPr>
              <w:snapToGrid w:val="0"/>
              <w:rPr>
                <w:rFonts w:ascii="Arial" w:hAnsi="Arial" w:cs="Arial"/>
                <w:lang w:val="en-US" w:eastAsia="en-GB"/>
              </w:rPr>
            </w:pPr>
          </w:p>
        </w:tc>
        <w:tc>
          <w:tcPr>
            <w:tcW w:w="2552" w:type="dxa"/>
            <w:tcMar>
              <w:top w:w="0" w:type="dxa"/>
              <w:left w:w="108" w:type="dxa"/>
              <w:bottom w:w="0" w:type="dxa"/>
              <w:right w:w="108" w:type="dxa"/>
            </w:tcMar>
          </w:tcPr>
          <w:p w14:paraId="133B6E6E" w14:textId="4DE773AB" w:rsidR="00602162" w:rsidRPr="00EE51A1" w:rsidRDefault="00602162" w:rsidP="00910534">
            <w:pPr>
              <w:snapToGrid w:val="0"/>
              <w:rPr>
                <w:rFonts w:ascii="Arial" w:hAnsi="Arial" w:cs="Arial"/>
                <w:lang w:val="en-US" w:eastAsia="en-GB"/>
              </w:rPr>
            </w:pPr>
          </w:p>
        </w:tc>
        <w:tc>
          <w:tcPr>
            <w:tcW w:w="3509" w:type="dxa"/>
            <w:tcMar>
              <w:top w:w="0" w:type="dxa"/>
              <w:left w:w="108" w:type="dxa"/>
              <w:bottom w:w="0" w:type="dxa"/>
              <w:right w:w="108" w:type="dxa"/>
            </w:tcMar>
          </w:tcPr>
          <w:p w14:paraId="7941F6BC" w14:textId="20D3869F" w:rsidR="00602162" w:rsidRPr="00EE51A1" w:rsidRDefault="00602162" w:rsidP="00910534">
            <w:pPr>
              <w:snapToGrid w:val="0"/>
              <w:rPr>
                <w:rFonts w:ascii="Arial" w:hAnsi="Arial" w:cs="Arial"/>
                <w:lang w:val="en" w:eastAsia="en-GB"/>
              </w:rPr>
            </w:pPr>
          </w:p>
        </w:tc>
      </w:tr>
    </w:tbl>
    <w:p w14:paraId="2E3D46C4" w14:textId="459C14C1" w:rsidR="00602162" w:rsidRDefault="0074687D" w:rsidP="00397F6E">
      <w:pPr>
        <w:pStyle w:val="Heading3"/>
        <w:rPr>
          <w:rFonts w:eastAsia="Calibri"/>
        </w:rPr>
      </w:pPr>
      <w:r>
        <w:rPr>
          <w:rFonts w:eastAsia="Calibri"/>
        </w:rPr>
        <w:t>5</w:t>
      </w:r>
      <w:r w:rsidR="00602162">
        <w:rPr>
          <w:rFonts w:eastAsia="Calibri"/>
        </w:rPr>
        <w:t xml:space="preserve">.5 </w:t>
      </w:r>
      <w:r w:rsidR="00602162">
        <w:rPr>
          <w:rFonts w:eastAsia="Calibri"/>
        </w:rPr>
        <w:tab/>
        <w:t>Role of the Information Commissioner</w:t>
      </w:r>
    </w:p>
    <w:p w14:paraId="596D8219" w14:textId="1D50AD00" w:rsidR="00602162" w:rsidRDefault="00602162" w:rsidP="00602162">
      <w:pPr>
        <w:spacing w:after="60"/>
        <w:rPr>
          <w:rFonts w:ascii="Arial" w:hAnsi="Arial" w:cs="Arial"/>
        </w:rPr>
      </w:pPr>
      <w:r>
        <w:rPr>
          <w:rFonts w:ascii="Arial" w:hAnsi="Arial" w:cs="Arial"/>
        </w:rPr>
        <w:t>FOIA, EIR and DPA are enforced by the Information Commissioner.  The Information Commissioner is the UK’s independent authority set up to uphold information rights in the public interest, promoting openness by pub</w:t>
      </w:r>
      <w:r w:rsidR="00397F6E">
        <w:rPr>
          <w:rFonts w:ascii="Arial" w:hAnsi="Arial" w:cs="Arial"/>
        </w:rPr>
        <w:t>l</w:t>
      </w:r>
      <w:r>
        <w:rPr>
          <w:rFonts w:ascii="Arial" w:hAnsi="Arial" w:cs="Arial"/>
        </w:rPr>
        <w:t>ic bodies and data privacy for individuals.</w:t>
      </w:r>
    </w:p>
    <w:p w14:paraId="74F32269" w14:textId="302F921E" w:rsidR="00602162" w:rsidRDefault="00602162" w:rsidP="00602162">
      <w:pPr>
        <w:spacing w:after="60"/>
        <w:rPr>
          <w:rFonts w:ascii="Arial" w:hAnsi="Arial" w:cs="Arial"/>
        </w:rPr>
      </w:pPr>
      <w:r>
        <w:rPr>
          <w:rFonts w:ascii="Arial" w:hAnsi="Arial" w:cs="Arial"/>
        </w:rPr>
        <w:t xml:space="preserve">Complaints about decisions made by the Council relating to any of the Access to Information legislation can be made to the Information Commissioner who will </w:t>
      </w:r>
      <w:proofErr w:type="gramStart"/>
      <w:r>
        <w:rPr>
          <w:rFonts w:ascii="Arial" w:hAnsi="Arial" w:cs="Arial"/>
        </w:rPr>
        <w:t>make a decision</w:t>
      </w:r>
      <w:proofErr w:type="gramEnd"/>
      <w:r>
        <w:rPr>
          <w:rFonts w:ascii="Arial" w:hAnsi="Arial" w:cs="Arial"/>
        </w:rPr>
        <w:t xml:space="preserve"> as to whether the Council has dealt with the request in accordance with the relevant legislation.</w:t>
      </w:r>
    </w:p>
    <w:p w14:paraId="67F0F768" w14:textId="7CEB0E4C" w:rsidR="00602162" w:rsidRDefault="00602162" w:rsidP="00602162">
      <w:pPr>
        <w:spacing w:after="60"/>
        <w:rPr>
          <w:rFonts w:ascii="Arial" w:hAnsi="Arial" w:cs="Arial"/>
        </w:rPr>
      </w:pPr>
      <w:r>
        <w:rPr>
          <w:rFonts w:ascii="Arial" w:hAnsi="Arial" w:cs="Arial"/>
        </w:rPr>
        <w:t>The Information Commissioner can however refuse to investigate a complaint where a customer has not been through the Council’s own Internal Review Procedure.</w:t>
      </w:r>
    </w:p>
    <w:p w14:paraId="2A38E48B" w14:textId="22504047" w:rsidR="00C94541" w:rsidRDefault="00602162" w:rsidP="00602162">
      <w:r>
        <w:rPr>
          <w:rFonts w:ascii="Arial" w:hAnsi="Arial" w:cs="Arial"/>
        </w:rPr>
        <w:t xml:space="preserve">For more information about the Information Commissioner please visit </w:t>
      </w:r>
      <w:r w:rsidRPr="00EE51A1">
        <w:rPr>
          <w:rFonts w:ascii="Arial" w:hAnsi="Arial" w:cs="Arial"/>
          <w:b/>
          <w:color w:val="000080"/>
        </w:rPr>
        <w:t>www.ico.org.uk</w:t>
      </w:r>
      <w:r w:rsidR="00C94541">
        <w:t>.</w:t>
      </w:r>
    </w:p>
    <w:p w14:paraId="2A38E48C" w14:textId="79651649" w:rsidR="00C94541" w:rsidRDefault="00C94541" w:rsidP="00C94541">
      <w:pPr>
        <w:pStyle w:val="Heading1"/>
      </w:pPr>
      <w:bookmarkStart w:id="20" w:name="_Toc513753496"/>
      <w:bookmarkStart w:id="21" w:name="_Toc85624695"/>
      <w:r>
        <w:t xml:space="preserve">6. </w:t>
      </w:r>
      <w:bookmarkEnd w:id="20"/>
      <w:r w:rsidR="0074687D">
        <w:t>Monitoring and Review</w:t>
      </w:r>
      <w:bookmarkEnd w:id="21"/>
      <w:r w:rsidRPr="00C94541">
        <w:t xml:space="preserve"> </w:t>
      </w:r>
    </w:p>
    <w:p w14:paraId="5B92C6E7" w14:textId="77777777" w:rsidR="00E717EE" w:rsidRDefault="00E717EE" w:rsidP="00E717EE">
      <w:pPr>
        <w:spacing w:after="200"/>
      </w:pPr>
      <w:r>
        <w:t xml:space="preserve">This policy and those policies which sit underneath this framework will be reviewed every two years and updated accordingly. </w:t>
      </w:r>
    </w:p>
    <w:p w14:paraId="28E56A08" w14:textId="77777777" w:rsidR="00E717EE" w:rsidRPr="00AD03F3" w:rsidRDefault="00E717EE" w:rsidP="00E717EE">
      <w:pPr>
        <w:spacing w:after="200"/>
      </w:pPr>
      <w:r>
        <w:t xml:space="preserve">For further information please contact </w:t>
      </w:r>
      <w:hyperlink r:id="rId15" w:history="1">
        <w:r w:rsidRPr="00D72220">
          <w:rPr>
            <w:rStyle w:val="Hyperlink"/>
          </w:rPr>
          <w:t>Infocompliance@torbay.gov.uk</w:t>
        </w:r>
      </w:hyperlink>
      <w:r>
        <w:t xml:space="preserve"> </w:t>
      </w:r>
    </w:p>
    <w:p w14:paraId="3614EB47" w14:textId="77777777" w:rsidR="00E717EE" w:rsidRPr="00E717EE" w:rsidRDefault="00E717EE" w:rsidP="00E717EE"/>
    <w:sectPr w:rsidR="00E717EE" w:rsidRPr="00E717EE" w:rsidSect="00B30DE4">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F1F9" w14:textId="77777777" w:rsidR="00226CDC" w:rsidRDefault="00226CDC" w:rsidP="008952DF">
      <w:r>
        <w:separator/>
      </w:r>
    </w:p>
    <w:p w14:paraId="7B1196B3" w14:textId="77777777" w:rsidR="00226CDC" w:rsidRDefault="00226CDC"/>
  </w:endnote>
  <w:endnote w:type="continuationSeparator" w:id="0">
    <w:p w14:paraId="671EA52E" w14:textId="77777777" w:rsidR="00226CDC" w:rsidRDefault="00226CDC" w:rsidP="008952DF">
      <w:r>
        <w:continuationSeparator/>
      </w:r>
    </w:p>
    <w:p w14:paraId="1DB3C7D4" w14:textId="77777777" w:rsidR="00226CDC" w:rsidRDefault="0022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E4D3" w14:textId="77777777" w:rsidR="003E72CE" w:rsidRDefault="003E72CE">
    <w:pPr>
      <w:spacing w:after="0" w:line="240" w:lineRule="auto"/>
    </w:pPr>
  </w:p>
  <w:p w14:paraId="2A38E4D4" w14:textId="77777777" w:rsidR="003E72CE" w:rsidRDefault="003E72CE"/>
  <w:p w14:paraId="2A38E4D5" w14:textId="77777777" w:rsidR="003E72CE" w:rsidRDefault="003E72CE"/>
  <w:p w14:paraId="2A38E4D6" w14:textId="77777777" w:rsidR="003E72CE" w:rsidRDefault="003E72CE"/>
  <w:p w14:paraId="2A38E4D7" w14:textId="77777777" w:rsidR="0099701D" w:rsidRDefault="0099701D"/>
  <w:p w14:paraId="2A38E4D8" w14:textId="77777777" w:rsidR="0099701D" w:rsidRDefault="009970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6294"/>
      <w:docPartObj>
        <w:docPartGallery w:val="Page Numbers (Bottom of Page)"/>
        <w:docPartUnique/>
      </w:docPartObj>
    </w:sdtPr>
    <w:sdtEndPr>
      <w:rPr>
        <w:noProof/>
      </w:rPr>
    </w:sdtEndPr>
    <w:sdtContent>
      <w:p w14:paraId="2A38E4D9" w14:textId="77777777" w:rsidR="003E72CE" w:rsidRDefault="003E72CE" w:rsidP="00184A46">
        <w:pPr>
          <w:pStyle w:val="Footer"/>
          <w:pBdr>
            <w:top w:val="single" w:sz="24" w:space="4" w:color="002F6C" w:themeColor="text1"/>
          </w:pBdr>
          <w:jc w:val="center"/>
        </w:pPr>
        <w:r>
          <w:fldChar w:fldCharType="begin"/>
        </w:r>
        <w:r>
          <w:instrText xml:space="preserve"> PAGE   \* MERGEFORMAT </w:instrText>
        </w:r>
        <w:r>
          <w:fldChar w:fldCharType="separate"/>
        </w:r>
        <w:r w:rsidR="002E292E">
          <w:rPr>
            <w:noProof/>
          </w:rPr>
          <w:t>13</w:t>
        </w:r>
        <w:r>
          <w:rPr>
            <w:noProof/>
          </w:rPr>
          <w:fldChar w:fldCharType="end"/>
        </w:r>
      </w:p>
    </w:sdtContent>
  </w:sdt>
  <w:p w14:paraId="2A38E4DA" w14:textId="77777777" w:rsidR="0099701D" w:rsidRDefault="0099701D"/>
  <w:p w14:paraId="2A38E4DB" w14:textId="77777777" w:rsidR="0099701D" w:rsidRDefault="009970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E4E5" w14:textId="77777777" w:rsidR="00C94541" w:rsidRDefault="00C94541">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6F57" w14:textId="77777777" w:rsidR="00226CDC" w:rsidRDefault="00226CDC" w:rsidP="008952DF">
      <w:r>
        <w:separator/>
      </w:r>
    </w:p>
    <w:p w14:paraId="71C70716" w14:textId="77777777" w:rsidR="00226CDC" w:rsidRDefault="00226CDC"/>
  </w:footnote>
  <w:footnote w:type="continuationSeparator" w:id="0">
    <w:p w14:paraId="59A90BA2" w14:textId="77777777" w:rsidR="00226CDC" w:rsidRDefault="00226CDC" w:rsidP="008952DF">
      <w:r>
        <w:continuationSeparator/>
      </w:r>
    </w:p>
    <w:p w14:paraId="45301B7F" w14:textId="77777777" w:rsidR="00226CDC" w:rsidRDefault="00226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E4CA" w14:textId="77777777" w:rsidR="003E72CE" w:rsidRDefault="003E72CE">
    <w:pPr>
      <w:spacing w:after="0" w:line="240" w:lineRule="auto"/>
    </w:pPr>
  </w:p>
  <w:p w14:paraId="2A38E4CB" w14:textId="77777777" w:rsidR="003E72CE" w:rsidRDefault="003E72CE"/>
  <w:p w14:paraId="2A38E4CC" w14:textId="77777777" w:rsidR="003E72CE" w:rsidRDefault="003E72CE"/>
  <w:p w14:paraId="2A38E4CD" w14:textId="77777777" w:rsidR="003E72CE" w:rsidRDefault="003E72CE"/>
  <w:p w14:paraId="2A38E4CE" w14:textId="77777777" w:rsidR="0099701D" w:rsidRDefault="0099701D"/>
  <w:p w14:paraId="2A38E4CF" w14:textId="77777777" w:rsidR="0099701D" w:rsidRDefault="009970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E4D0" w14:textId="77777777" w:rsidR="003E72CE" w:rsidRDefault="003E72CE">
    <w:pPr>
      <w:spacing w:after="0" w:line="240" w:lineRule="auto"/>
    </w:pPr>
  </w:p>
  <w:p w14:paraId="2A38E4D1" w14:textId="77777777" w:rsidR="0099701D" w:rsidRDefault="0099701D"/>
  <w:p w14:paraId="2A38E4D2" w14:textId="77777777" w:rsidR="0099701D" w:rsidRDefault="009970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284" w:vertAnchor="text" w:tblpY="1"/>
      <w:tblOverlap w:val="never"/>
      <w:tblW w:w="5000" w:type="pct"/>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7"/>
      <w:gridCol w:w="5429"/>
    </w:tblGrid>
    <w:tr w:rsidR="003E72CE" w:rsidRPr="008952DF" w14:paraId="2A38E4DE" w14:textId="77777777" w:rsidTr="00184A46">
      <w:trPr>
        <w:trHeight w:val="711"/>
      </w:trPr>
      <w:tc>
        <w:tcPr>
          <w:tcW w:w="5037" w:type="dxa"/>
          <w:shd w:val="clear" w:color="auto" w:fill="FFFFFF" w:themeFill="background1"/>
        </w:tcPr>
        <w:p w14:paraId="2A38E4DC" w14:textId="77777777" w:rsidR="003E72CE" w:rsidRPr="008952DF" w:rsidRDefault="003E72CE" w:rsidP="00304F37"/>
      </w:tc>
      <w:tc>
        <w:tcPr>
          <w:tcW w:w="5429" w:type="dxa"/>
          <w:shd w:val="clear" w:color="auto" w:fill="FFFFFF" w:themeFill="background1"/>
        </w:tcPr>
        <w:p w14:paraId="2A38E4DD" w14:textId="77777777" w:rsidR="003E72CE" w:rsidRPr="008952DF" w:rsidRDefault="003E72CE" w:rsidP="00304F37">
          <w:pPr>
            <w:jc w:val="right"/>
          </w:pPr>
          <w:r w:rsidRPr="008952DF">
            <w:rPr>
              <w:noProof/>
              <w:lang w:eastAsia="en-GB"/>
            </w:rPr>
            <w:drawing>
              <wp:inline distT="0" distB="0" distL="0" distR="0" wp14:anchorId="2A38E4E6" wp14:editId="2A38E4E7">
                <wp:extent cx="2159993"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3" cy="336880"/>
                        </a:xfrm>
                        <a:prstGeom prst="rect">
                          <a:avLst/>
                        </a:prstGeom>
                      </pic:spPr>
                    </pic:pic>
                  </a:graphicData>
                </a:graphic>
              </wp:inline>
            </w:drawing>
          </w:r>
        </w:p>
      </w:tc>
    </w:tr>
    <w:tr w:rsidR="004A0B51" w:rsidRPr="008952DF" w14:paraId="2A38E4E0" w14:textId="77777777" w:rsidTr="00184A46">
      <w:trPr>
        <w:trHeight w:val="7601"/>
      </w:trPr>
      <w:tc>
        <w:tcPr>
          <w:tcW w:w="10466" w:type="dxa"/>
          <w:gridSpan w:val="2"/>
          <w:tcBorders>
            <w:bottom w:val="nil"/>
          </w:tcBorders>
          <w:shd w:val="clear" w:color="auto" w:fill="FFFFFF" w:themeFill="background1"/>
        </w:tcPr>
        <w:p w14:paraId="2A38E4DF" w14:textId="77777777" w:rsidR="004A0B51" w:rsidRPr="008952DF" w:rsidRDefault="004A0B51" w:rsidP="00304F37">
          <w:pPr>
            <w:jc w:val="right"/>
            <w:rPr>
              <w:noProof/>
              <w:lang w:eastAsia="en-GB"/>
            </w:rPr>
          </w:pPr>
          <w:r>
            <w:rPr>
              <w:noProof/>
              <w:lang w:eastAsia="en-GB"/>
            </w:rPr>
            <w:drawing>
              <wp:inline distT="0" distB="0" distL="0" distR="0" wp14:anchorId="2A38E4E8" wp14:editId="2A38E4E9">
                <wp:extent cx="6646575" cy="5560682"/>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QPLM17_0182_A.jp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6671105" cy="5581204"/>
                        </a:xfrm>
                        <a:prstGeom prst="rect">
                          <a:avLst/>
                        </a:prstGeom>
                        <a:ln>
                          <a:noFill/>
                        </a:ln>
                        <a:extLst>
                          <a:ext uri="{53640926-AAD7-44D8-BBD7-CCE9431645EC}">
                            <a14:shadowObscured xmlns:a14="http://schemas.microsoft.com/office/drawing/2010/main"/>
                          </a:ext>
                        </a:extLst>
                      </pic:spPr>
                    </pic:pic>
                  </a:graphicData>
                </a:graphic>
              </wp:inline>
            </w:drawing>
          </w:r>
        </w:p>
      </w:tc>
    </w:tr>
    <w:tr w:rsidR="00184A46" w:rsidRPr="002369A7" w14:paraId="2A38E4E3" w14:textId="77777777" w:rsidTr="00184A46">
      <w:trPr>
        <w:trHeight w:val="4189"/>
      </w:trPr>
      <w:tc>
        <w:tcPr>
          <w:tcW w:w="10466" w:type="dxa"/>
          <w:gridSpan w:val="2"/>
          <w:tcBorders>
            <w:bottom w:val="nil"/>
          </w:tcBorders>
          <w:shd w:val="clear" w:color="auto" w:fill="002F6C" w:themeFill="text1"/>
          <w:tcMar>
            <w:left w:w="170" w:type="dxa"/>
            <w:right w:w="170" w:type="dxa"/>
          </w:tcMar>
          <w:vAlign w:val="center"/>
        </w:tcPr>
        <w:p w14:paraId="2A38E4E1" w14:textId="0857EA63" w:rsidR="00184A46" w:rsidRPr="00184A46" w:rsidRDefault="004C4975" w:rsidP="00184A46">
          <w:pPr>
            <w:pStyle w:val="Title"/>
            <w:framePr w:hSpace="0" w:wrap="auto" w:vAnchor="margin" w:yAlign="inline"/>
            <w:suppressOverlap w:val="0"/>
          </w:pPr>
          <w:r>
            <w:t>Information Rights</w:t>
          </w:r>
          <w:r w:rsidR="00C94541">
            <w:t xml:space="preserve"> Policy</w:t>
          </w:r>
        </w:p>
        <w:p w14:paraId="2A38E4E2" w14:textId="16683247" w:rsidR="00184A46" w:rsidRPr="00184A46" w:rsidRDefault="00C94541" w:rsidP="00184A46">
          <w:pPr>
            <w:pStyle w:val="Subtitle"/>
          </w:pPr>
          <w:r>
            <w:t>202</w:t>
          </w:r>
          <w:r w:rsidR="004C4975">
            <w:t>1</w:t>
          </w:r>
        </w:p>
      </w:tc>
    </w:tr>
  </w:tbl>
  <w:p w14:paraId="2A38E4E4" w14:textId="77777777" w:rsidR="003E72CE" w:rsidRDefault="003E7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2A4BDF"/>
    <w:multiLevelType w:val="hybridMultilevel"/>
    <w:tmpl w:val="7B8AE1F4"/>
    <w:lvl w:ilvl="0" w:tplc="C978B418">
      <w:start w:val="1"/>
      <w:numFmt w:val="bullet"/>
      <w:pStyle w:val="squarebullets"/>
      <w:lvlText w:val=""/>
      <w:lvlJc w:val="left"/>
      <w:pPr>
        <w:ind w:left="360" w:hanging="360"/>
      </w:pPr>
      <w:rPr>
        <w:rFonts w:ascii="Wingdings" w:hAnsi="Wingdings" w:hint="default"/>
        <w:color w:val="2239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BD"/>
    <w:rsid w:val="00010F69"/>
    <w:rsid w:val="0002446C"/>
    <w:rsid w:val="00086663"/>
    <w:rsid w:val="00095FA1"/>
    <w:rsid w:val="00097171"/>
    <w:rsid w:val="000F0FF5"/>
    <w:rsid w:val="001326D2"/>
    <w:rsid w:val="00166D67"/>
    <w:rsid w:val="00184A46"/>
    <w:rsid w:val="00193278"/>
    <w:rsid w:val="00193F4C"/>
    <w:rsid w:val="001D2598"/>
    <w:rsid w:val="00226CDC"/>
    <w:rsid w:val="002369A7"/>
    <w:rsid w:val="0025501F"/>
    <w:rsid w:val="0025623B"/>
    <w:rsid w:val="00277C9D"/>
    <w:rsid w:val="002827D2"/>
    <w:rsid w:val="002C1EDD"/>
    <w:rsid w:val="002C41F1"/>
    <w:rsid w:val="002E292E"/>
    <w:rsid w:val="00304F37"/>
    <w:rsid w:val="00324433"/>
    <w:rsid w:val="0037406A"/>
    <w:rsid w:val="0039378D"/>
    <w:rsid w:val="00397F6E"/>
    <w:rsid w:val="003A4FC8"/>
    <w:rsid w:val="003A7186"/>
    <w:rsid w:val="003E72CE"/>
    <w:rsid w:val="003F2FC7"/>
    <w:rsid w:val="004524DA"/>
    <w:rsid w:val="004600CB"/>
    <w:rsid w:val="00464396"/>
    <w:rsid w:val="0049268A"/>
    <w:rsid w:val="00492E76"/>
    <w:rsid w:val="004A0B51"/>
    <w:rsid w:val="004C4975"/>
    <w:rsid w:val="004D7D07"/>
    <w:rsid w:val="00503F93"/>
    <w:rsid w:val="00504AF3"/>
    <w:rsid w:val="00535E8E"/>
    <w:rsid w:val="00541456"/>
    <w:rsid w:val="00550BC5"/>
    <w:rsid w:val="0058525B"/>
    <w:rsid w:val="005869F7"/>
    <w:rsid w:val="005911F9"/>
    <w:rsid w:val="00591945"/>
    <w:rsid w:val="005A4ED4"/>
    <w:rsid w:val="005B1F9E"/>
    <w:rsid w:val="005C3A35"/>
    <w:rsid w:val="005D5898"/>
    <w:rsid w:val="005E2D99"/>
    <w:rsid w:val="00602162"/>
    <w:rsid w:val="00627CEF"/>
    <w:rsid w:val="006331B8"/>
    <w:rsid w:val="006C4DDB"/>
    <w:rsid w:val="006F1894"/>
    <w:rsid w:val="00700312"/>
    <w:rsid w:val="00726489"/>
    <w:rsid w:val="00726EA3"/>
    <w:rsid w:val="00740539"/>
    <w:rsid w:val="0074687D"/>
    <w:rsid w:val="00747A85"/>
    <w:rsid w:val="00762228"/>
    <w:rsid w:val="00785F91"/>
    <w:rsid w:val="007C339D"/>
    <w:rsid w:val="00803D4B"/>
    <w:rsid w:val="00821003"/>
    <w:rsid w:val="00875A69"/>
    <w:rsid w:val="008952DF"/>
    <w:rsid w:val="008B41BD"/>
    <w:rsid w:val="008D6F1C"/>
    <w:rsid w:val="008E6DEC"/>
    <w:rsid w:val="008F65DE"/>
    <w:rsid w:val="00922CB4"/>
    <w:rsid w:val="00956C79"/>
    <w:rsid w:val="00970DF4"/>
    <w:rsid w:val="00992CA5"/>
    <w:rsid w:val="00994F8F"/>
    <w:rsid w:val="0099701D"/>
    <w:rsid w:val="009B41EF"/>
    <w:rsid w:val="009B7227"/>
    <w:rsid w:val="009F631C"/>
    <w:rsid w:val="009F7410"/>
    <w:rsid w:val="00A36DED"/>
    <w:rsid w:val="00A95072"/>
    <w:rsid w:val="00AE7EA6"/>
    <w:rsid w:val="00B0492A"/>
    <w:rsid w:val="00B244A7"/>
    <w:rsid w:val="00B30DE4"/>
    <w:rsid w:val="00B377FC"/>
    <w:rsid w:val="00BD41A7"/>
    <w:rsid w:val="00C00AB0"/>
    <w:rsid w:val="00C20906"/>
    <w:rsid w:val="00C24682"/>
    <w:rsid w:val="00C263C5"/>
    <w:rsid w:val="00C520E4"/>
    <w:rsid w:val="00C56CA9"/>
    <w:rsid w:val="00C61295"/>
    <w:rsid w:val="00C751CE"/>
    <w:rsid w:val="00C94541"/>
    <w:rsid w:val="00CC10AF"/>
    <w:rsid w:val="00D04B17"/>
    <w:rsid w:val="00D209BA"/>
    <w:rsid w:val="00D31C0C"/>
    <w:rsid w:val="00DC169F"/>
    <w:rsid w:val="00E05A4C"/>
    <w:rsid w:val="00E078E6"/>
    <w:rsid w:val="00E3188B"/>
    <w:rsid w:val="00E32387"/>
    <w:rsid w:val="00E52462"/>
    <w:rsid w:val="00E53F82"/>
    <w:rsid w:val="00E60F8F"/>
    <w:rsid w:val="00E65E6E"/>
    <w:rsid w:val="00E717EE"/>
    <w:rsid w:val="00E8218D"/>
    <w:rsid w:val="00EA4ABB"/>
    <w:rsid w:val="00EB6BD0"/>
    <w:rsid w:val="00F228B7"/>
    <w:rsid w:val="00F228DC"/>
    <w:rsid w:val="00F87B8D"/>
    <w:rsid w:val="00FC4920"/>
    <w:rsid w:val="00FD3775"/>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A38E407"/>
  <w15:chartTrackingRefBased/>
  <w15:docId w15:val="{6F638CA7-E6BE-42DA-A747-2F09129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locked="0"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24DA"/>
    <w:pPr>
      <w:spacing w:line="312" w:lineRule="auto"/>
    </w:pPr>
    <w:rPr>
      <w:sz w:val="24"/>
    </w:rPr>
  </w:style>
  <w:style w:type="paragraph" w:styleId="Heading1">
    <w:name w:val="heading 1"/>
    <w:basedOn w:val="Normal"/>
    <w:next w:val="Normal"/>
    <w:link w:val="Heading1Char"/>
    <w:qFormat/>
    <w:rsid w:val="00184A46"/>
    <w:pPr>
      <w:keepNext/>
      <w:keepLines/>
      <w:pBdr>
        <w:bottom w:val="single" w:sz="4" w:space="1" w:color="002F6C" w:themeColor="text1"/>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184A46"/>
    <w:pPr>
      <w:keepNext/>
      <w:keepLines/>
      <w:spacing w:before="240" w:line="276" w:lineRule="auto"/>
      <w:outlineLvl w:val="1"/>
    </w:pPr>
    <w:rPr>
      <w:rFonts w:asciiTheme="majorHAnsi" w:eastAsiaTheme="majorEastAsia" w:hAnsiTheme="majorHAnsi" w:cstheme="majorBidi"/>
      <w:color w:val="002F6C" w:themeColor="text1"/>
      <w:sz w:val="36"/>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184A46"/>
    <w:pPr>
      <w:numPr>
        <w:numId w:val="2"/>
      </w:numPr>
      <w:spacing w:line="276" w:lineRule="auto"/>
    </w:pPr>
  </w:style>
  <w:style w:type="paragraph" w:customStyle="1" w:styleId="numberedlist">
    <w:name w:val="numbered list"/>
    <w:basedOn w:val="squarebullets"/>
    <w:qFormat/>
    <w:rsid w:val="00F87B8D"/>
    <w:pPr>
      <w:numPr>
        <w:numId w:val="1"/>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rsid w:val="00184A46"/>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184A46"/>
    <w:rPr>
      <w:rFonts w:asciiTheme="majorHAnsi" w:eastAsiaTheme="majorEastAsia" w:hAnsiTheme="majorHAnsi" w:cstheme="majorBidi"/>
      <w:color w:val="002F6C" w:themeColor="text1"/>
      <w:sz w:val="36"/>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184A46"/>
    <w:pPr>
      <w:pBdr>
        <w:left w:val="single" w:sz="36" w:space="12" w:color="002F6C" w:themeColor="text1"/>
      </w:pBdr>
      <w:spacing w:before="240" w:after="240" w:line="252" w:lineRule="auto"/>
      <w:ind w:left="340" w:right="862"/>
    </w:pPr>
    <w:rPr>
      <w:iCs/>
    </w:rPr>
  </w:style>
  <w:style w:type="character" w:customStyle="1" w:styleId="QuoteChar">
    <w:name w:val="Quote Char"/>
    <w:basedOn w:val="DefaultParagraphFont"/>
    <w:link w:val="Quote"/>
    <w:uiPriority w:val="29"/>
    <w:rsid w:val="00184A46"/>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184A46"/>
    <w:pPr>
      <w:framePr w:hSpace="181" w:wrap="around" w:vAnchor="text" w:hAnchor="text" w:y="1"/>
      <w:spacing w:after="240" w:line="240" w:lineRule="auto"/>
      <w:suppressOverlap/>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84A46"/>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184A46"/>
    <w:pPr>
      <w:numPr>
        <w:ilvl w:val="1"/>
      </w:numPr>
      <w:spacing w:after="160"/>
    </w:pPr>
    <w:rPr>
      <w:b/>
      <w:color w:val="FFBF3F" w:themeColor="accent4"/>
      <w:spacing w:val="15"/>
      <w:sz w:val="28"/>
      <w:szCs w:val="22"/>
    </w:rPr>
  </w:style>
  <w:style w:type="character" w:customStyle="1" w:styleId="SubtitleChar">
    <w:name w:val="Subtitle Char"/>
    <w:basedOn w:val="DefaultParagraphFont"/>
    <w:link w:val="Subtitle"/>
    <w:uiPriority w:val="11"/>
    <w:rsid w:val="00184A46"/>
    <w:rPr>
      <w:b/>
      <w:color w:val="FFBF3F" w:themeColor="accent4"/>
      <w:spacing w:val="15"/>
      <w:sz w:val="28"/>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184A46"/>
    <w:pPr>
      <w:pBdr>
        <w:bottom w:val="single" w:sz="4" w:space="1" w:color="002F6C" w:themeColor="text1"/>
      </w:pBdr>
      <w:spacing w:after="240"/>
    </w:pPr>
    <w:rPr>
      <w:color w:val="002F6C" w:themeColor="tex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locked/>
    <w:rsid w:val="00184A46"/>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4">
    <w:name w:val="List Table 4"/>
    <w:basedOn w:val="TableNormal"/>
    <w:uiPriority w:val="49"/>
    <w:locked/>
    <w:rsid w:val="00AE7EA6"/>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tblBorders>
      <w:tblCellMar>
        <w:top w:w="113" w:type="dxa"/>
        <w:bottom w:w="113" w:type="dxa"/>
      </w:tblCellMar>
    </w:tblPr>
    <w:tblStylePr w:type="firstRow">
      <w:rPr>
        <w:b/>
        <w:bCs/>
        <w:color w:val="FFFFFF" w:themeColor="background1"/>
      </w:rPr>
      <w:tblPr/>
      <w:tcPr>
        <w:tcBorders>
          <w:top w:val="single" w:sz="4" w:space="0" w:color="002F6C" w:themeColor="text1"/>
          <w:left w:val="single" w:sz="4" w:space="0" w:color="002F6C" w:themeColor="text1"/>
          <w:bottom w:val="single" w:sz="4" w:space="0" w:color="002F6C" w:themeColor="text1"/>
          <w:right w:val="single" w:sz="4" w:space="0" w:color="002F6C" w:themeColor="text1"/>
          <w:insideH w:val="nil"/>
        </w:tcBorders>
        <w:shd w:val="clear" w:color="auto" w:fill="002F6C" w:themeFill="text1"/>
      </w:tcPr>
    </w:tblStylePr>
    <w:tblStylePr w:type="lastRow">
      <w:rPr>
        <w:b/>
        <w:bCs/>
      </w:rPr>
      <w:tblPr/>
      <w:tcPr>
        <w:tcBorders>
          <w:top w:val="double" w:sz="4" w:space="0" w:color="0D75FF" w:themeColor="text1" w:themeTint="99"/>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 w:type="paragraph" w:styleId="TOC4">
    <w:name w:val="toc 4"/>
    <w:basedOn w:val="Normal"/>
    <w:next w:val="Normal"/>
    <w:autoRedefine/>
    <w:uiPriority w:val="39"/>
    <w:semiHidden/>
    <w:unhideWhenUsed/>
    <w:locked/>
    <w:rsid w:val="00C94541"/>
    <w:pPr>
      <w:spacing w:after="100"/>
      <w:ind w:left="720"/>
    </w:pPr>
  </w:style>
  <w:style w:type="paragraph" w:styleId="CommentText">
    <w:name w:val="annotation text"/>
    <w:basedOn w:val="Normal"/>
    <w:link w:val="CommentTextChar"/>
    <w:uiPriority w:val="99"/>
    <w:semiHidden/>
    <w:unhideWhenUsed/>
    <w:locked/>
    <w:rsid w:val="003F2FC7"/>
    <w:pPr>
      <w:spacing w:line="240" w:lineRule="auto"/>
    </w:pPr>
    <w:rPr>
      <w:sz w:val="20"/>
      <w:szCs w:val="20"/>
    </w:rPr>
  </w:style>
  <w:style w:type="character" w:customStyle="1" w:styleId="CommentTextChar">
    <w:name w:val="Comment Text Char"/>
    <w:basedOn w:val="DefaultParagraphFont"/>
    <w:link w:val="CommentText"/>
    <w:uiPriority w:val="99"/>
    <w:semiHidden/>
    <w:rsid w:val="003F2FC7"/>
    <w:rPr>
      <w:sz w:val="20"/>
      <w:szCs w:val="20"/>
    </w:rPr>
  </w:style>
  <w:style w:type="table" w:styleId="ListTable3-Accent4">
    <w:name w:val="List Table 3 Accent 4"/>
    <w:basedOn w:val="TableNormal"/>
    <w:uiPriority w:val="48"/>
    <w:locked/>
    <w:rsid w:val="00550BC5"/>
    <w:pPr>
      <w:spacing w:after="0" w:line="240" w:lineRule="auto"/>
    </w:pPr>
    <w:tblPr>
      <w:tblStyleRowBandSize w:val="1"/>
      <w:tblStyleColBandSize w:val="1"/>
      <w:tblBorders>
        <w:top w:val="single" w:sz="4" w:space="0" w:color="FFBF3F" w:themeColor="accent4"/>
        <w:left w:val="single" w:sz="4" w:space="0" w:color="FFBF3F" w:themeColor="accent4"/>
        <w:bottom w:val="single" w:sz="4" w:space="0" w:color="FFBF3F" w:themeColor="accent4"/>
        <w:right w:val="single" w:sz="4" w:space="0" w:color="FFBF3F" w:themeColor="accent4"/>
      </w:tblBorders>
    </w:tblPr>
    <w:tblStylePr w:type="firstRow">
      <w:rPr>
        <w:b/>
        <w:bCs/>
        <w:color w:val="FFFFFF" w:themeColor="background1"/>
      </w:rPr>
      <w:tblPr/>
      <w:tcPr>
        <w:shd w:val="clear" w:color="auto" w:fill="FFBF3F" w:themeFill="accent4"/>
      </w:tcPr>
    </w:tblStylePr>
    <w:tblStylePr w:type="lastRow">
      <w:rPr>
        <w:b/>
        <w:bCs/>
      </w:rPr>
      <w:tblPr/>
      <w:tcPr>
        <w:tcBorders>
          <w:top w:val="double" w:sz="4" w:space="0" w:color="FFBF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F3F" w:themeColor="accent4"/>
          <w:right w:val="single" w:sz="4" w:space="0" w:color="FFBF3F" w:themeColor="accent4"/>
        </w:tcBorders>
      </w:tcPr>
    </w:tblStylePr>
    <w:tblStylePr w:type="band1Horz">
      <w:tblPr/>
      <w:tcPr>
        <w:tcBorders>
          <w:top w:val="single" w:sz="4" w:space="0" w:color="FFBF3F" w:themeColor="accent4"/>
          <w:bottom w:val="single" w:sz="4" w:space="0" w:color="FFBF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F3F" w:themeColor="accent4"/>
          <w:left w:val="nil"/>
        </w:tcBorders>
      </w:tcPr>
    </w:tblStylePr>
    <w:tblStylePr w:type="swCell">
      <w:tblPr/>
      <w:tcPr>
        <w:tcBorders>
          <w:top w:val="double" w:sz="4" w:space="0" w:color="FFBF3F" w:themeColor="accent4"/>
          <w:right w:val="nil"/>
        </w:tcBorders>
      </w:tcPr>
    </w:tblStylePr>
  </w:style>
  <w:style w:type="table" w:styleId="GridTable1Light-Accent4">
    <w:name w:val="Grid Table 1 Light Accent 4"/>
    <w:basedOn w:val="TableNormal"/>
    <w:uiPriority w:val="46"/>
    <w:locked/>
    <w:rsid w:val="00747A85"/>
    <w:pPr>
      <w:spacing w:after="0" w:line="240" w:lineRule="auto"/>
    </w:pPr>
    <w:tblPr>
      <w:tblStyleRowBandSize w:val="1"/>
      <w:tblStyleColBandSize w:val="1"/>
      <w:tblBorders>
        <w:top w:val="single" w:sz="4" w:space="0" w:color="FFE5B2" w:themeColor="accent4" w:themeTint="66"/>
        <w:left w:val="single" w:sz="4" w:space="0" w:color="FFE5B2" w:themeColor="accent4" w:themeTint="66"/>
        <w:bottom w:val="single" w:sz="4" w:space="0" w:color="FFE5B2" w:themeColor="accent4" w:themeTint="66"/>
        <w:right w:val="single" w:sz="4" w:space="0" w:color="FFE5B2" w:themeColor="accent4" w:themeTint="66"/>
        <w:insideH w:val="single" w:sz="4" w:space="0" w:color="FFE5B2" w:themeColor="accent4" w:themeTint="66"/>
        <w:insideV w:val="single" w:sz="4" w:space="0" w:color="FFE5B2" w:themeColor="accent4" w:themeTint="66"/>
      </w:tblBorders>
    </w:tblPr>
    <w:tblStylePr w:type="firstRow">
      <w:rPr>
        <w:b/>
        <w:bCs/>
      </w:rPr>
      <w:tblPr/>
      <w:tcPr>
        <w:tcBorders>
          <w:bottom w:val="single" w:sz="12" w:space="0" w:color="FFD88B" w:themeColor="accent4" w:themeTint="99"/>
        </w:tcBorders>
      </w:tcPr>
    </w:tblStylePr>
    <w:tblStylePr w:type="lastRow">
      <w:rPr>
        <w:b/>
        <w:bCs/>
      </w:rPr>
      <w:tblPr/>
      <w:tcPr>
        <w:tcBorders>
          <w:top w:val="double" w:sz="2" w:space="0" w:color="FFD88B"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9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bay.gov.uk/complai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orbay.gov.uk/disclosurelo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liance@torbay.gov.uk" TargetMode="External"/><Relationship Id="rId5" Type="http://schemas.openxmlformats.org/officeDocument/2006/relationships/numbering" Target="numbering.xml"/><Relationship Id="rId15" Type="http://schemas.openxmlformats.org/officeDocument/2006/relationships/hyperlink" Target="mailto:Infocompliance@torbay.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ps216\AppData\Local\Microsoft\Windows\INetCache\Content.Outlook\NFCYJMYD\Data%20Protection%20Policy%20Sep%202020.dotx" TargetMode="Externa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6" ma:contentTypeDescription="Create a new document." ma:contentTypeScope="" ma:versionID="3b626de33a727e22ec5c78b689909833">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e4b8012cdf3bd02b27324e28604969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110F-335F-4C25-975E-D89E0DF0748A}">
  <ds:schemaRefs>
    <ds:schemaRef ds:uri="http://schemas.microsoft.com/sharepoint/v3/contenttype/forms"/>
  </ds:schemaRefs>
</ds:datastoreItem>
</file>

<file path=customXml/itemProps2.xml><?xml version="1.0" encoding="utf-8"?>
<ds:datastoreItem xmlns:ds="http://schemas.openxmlformats.org/officeDocument/2006/customXml" ds:itemID="{10C41DED-6487-4117-A0DB-EFDE13CD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7F0EB-9DC0-48EA-8339-88E195D10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7288A-F246-4989-99B2-4E54E108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Protection Policy Sep 2020</Template>
  <TotalTime>4</TotalTime>
  <Pages>17</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Joanne</dc:creator>
  <cp:keywords/>
  <dc:description/>
  <cp:lastModifiedBy>Beer, Joanne</cp:lastModifiedBy>
  <cp:revision>6</cp:revision>
  <dcterms:created xsi:type="dcterms:W3CDTF">2021-11-22T19:27:00Z</dcterms:created>
  <dcterms:modified xsi:type="dcterms:W3CDTF">2021-11-22T19:31:00Z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3200</vt:r8>
  </property>
</Properties>
</file>