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5C55" w14:textId="1AB6A0D7" w:rsidR="00FE2A9A" w:rsidRDefault="00FE2A9A" w:rsidP="00B530D1">
      <w:r>
        <w:rPr>
          <w:rFonts w:ascii="Arial" w:hAnsi="Arial" w:cs="Arial"/>
          <w:b/>
          <w:noProof/>
          <w:color w:val="000000" w:themeColor="text1"/>
        </w:rPr>
        <w:drawing>
          <wp:inline distT="0" distB="0" distL="0" distR="0" wp14:anchorId="443616CE" wp14:editId="6A15C7FB">
            <wp:extent cx="1130808" cy="560832"/>
            <wp:effectExtent l="0" t="0" r="0" b="0"/>
            <wp:docPr id="1" name="Picture 1"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sign&#10;&#10;Description automatically generated with low confidence"/>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1130808" cy="560832"/>
                    </a:xfrm>
                    <a:prstGeom prst="rect">
                      <a:avLst/>
                    </a:prstGeom>
                  </pic:spPr>
                </pic:pic>
              </a:graphicData>
            </a:graphic>
          </wp:inline>
        </w:drawing>
      </w:r>
    </w:p>
    <w:p w14:paraId="7661BF1A" w14:textId="5746B1D8" w:rsidR="00FE2A9A" w:rsidRDefault="00FE2A9A" w:rsidP="00B530D1">
      <w:r>
        <w:rPr>
          <w:rFonts w:ascii="Arial" w:hAnsi="Arial" w:cs="Arial"/>
          <w:b/>
          <w:noProof/>
          <w:color w:val="000000" w:themeColor="text1"/>
        </w:rPr>
        <mc:AlternateContent>
          <mc:Choice Requires="wps">
            <w:drawing>
              <wp:anchor distT="0" distB="0" distL="114300" distR="114300" simplePos="0" relativeHeight="251659264" behindDoc="0" locked="0" layoutInCell="1" allowOverlap="1" wp14:anchorId="4E219EC8" wp14:editId="7AD54D66">
                <wp:simplePos x="0" y="0"/>
                <wp:positionH relativeFrom="column">
                  <wp:posOffset>0</wp:posOffset>
                </wp:positionH>
                <wp:positionV relativeFrom="paragraph">
                  <wp:posOffset>37465</wp:posOffset>
                </wp:positionV>
                <wp:extent cx="6324600" cy="47625"/>
                <wp:effectExtent l="38100" t="38100" r="76200" b="85725"/>
                <wp:wrapNone/>
                <wp:docPr id="2" name="Straight Connector 2"/>
                <wp:cNvGraphicFramePr/>
                <a:graphic xmlns:a="http://schemas.openxmlformats.org/drawingml/2006/main">
                  <a:graphicData uri="http://schemas.microsoft.com/office/word/2010/wordprocessingShape">
                    <wps:wsp>
                      <wps:cNvCnPr/>
                      <wps:spPr>
                        <a:xfrm flipV="1">
                          <a:off x="0" y="0"/>
                          <a:ext cx="6324600"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66BA7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2.95pt" to="49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" strokecolor="black [3200]" strokeweight="1pt">
                <v:stroke joinstyle="miter"/>
              </v:line>
            </w:pict>
          </mc:Fallback>
        </mc:AlternateContent>
      </w:r>
    </w:p>
    <w:p w14:paraId="105F162D" w14:textId="77777777" w:rsidR="00FE2A9A" w:rsidRDefault="00FE2A9A" w:rsidP="00B530D1"/>
    <w:p w14:paraId="4B9B26D1" w14:textId="77777777" w:rsidR="00FE2A9A" w:rsidRDefault="00FE2A9A" w:rsidP="00B530D1"/>
    <w:p w14:paraId="49D2CD3F" w14:textId="77777777" w:rsidR="00FE2A9A" w:rsidRDefault="00FE2A9A" w:rsidP="00B530D1"/>
    <w:p w14:paraId="6383FDF3" w14:textId="341F8F66" w:rsidR="00FE2A9A" w:rsidRPr="008C1D91" w:rsidRDefault="00FE2A9A" w:rsidP="00FE2A9A">
      <w:pPr>
        <w:jc w:val="center"/>
        <w:rPr>
          <w:rFonts w:ascii="Arial" w:hAnsi="Arial" w:cs="Arial"/>
          <w:sz w:val="36"/>
          <w:szCs w:val="36"/>
          <w:highlight w:val="yellow"/>
        </w:rPr>
      </w:pPr>
      <w:r w:rsidRPr="00FE2A9A">
        <w:rPr>
          <w:rFonts w:ascii="Arial" w:hAnsi="Arial" w:cs="Arial"/>
          <w:b/>
          <w:bCs/>
          <w:sz w:val="72"/>
          <w:szCs w:val="72"/>
        </w:rPr>
        <w:t>FIT AND PROPER PERSON FEE POLICY (MOBILE HOMES)</w:t>
      </w:r>
      <w:r>
        <w:rPr>
          <w:rFonts w:ascii="Arial" w:hAnsi="Arial" w:cs="Arial"/>
          <w:b/>
          <w:bCs/>
          <w:sz w:val="72"/>
          <w:szCs w:val="72"/>
        </w:rPr>
        <w:t xml:space="preserve"> 2021/2022</w:t>
      </w:r>
    </w:p>
    <w:p w14:paraId="59B2410C" w14:textId="77777777" w:rsidR="00FE2A9A" w:rsidRPr="008C1D91" w:rsidRDefault="00FE2A9A" w:rsidP="00FE2A9A">
      <w:pPr>
        <w:jc w:val="center"/>
        <w:rPr>
          <w:highlight w:val="yellow"/>
        </w:rPr>
      </w:pPr>
    </w:p>
    <w:p w14:paraId="2676472C" w14:textId="77777777" w:rsidR="00FE2A9A" w:rsidRDefault="00FE2A9A" w:rsidP="00FE2A9A">
      <w:pPr>
        <w:jc w:val="center"/>
      </w:pPr>
    </w:p>
    <w:p w14:paraId="22952659" w14:textId="77777777" w:rsidR="00FE2A9A" w:rsidRDefault="00FE2A9A" w:rsidP="00FE2A9A">
      <w:pPr>
        <w:jc w:val="center"/>
      </w:pPr>
    </w:p>
    <w:p w14:paraId="4EECE31F" w14:textId="77777777" w:rsidR="00FE2A9A" w:rsidRDefault="00FE2A9A" w:rsidP="00FE2A9A">
      <w:pPr>
        <w:jc w:val="center"/>
      </w:pPr>
    </w:p>
    <w:p w14:paraId="70D1FE57" w14:textId="77777777" w:rsidR="00FE2A9A" w:rsidRDefault="00FE2A9A" w:rsidP="00FE2A9A">
      <w:pPr>
        <w:jc w:val="center"/>
      </w:pPr>
    </w:p>
    <w:p w14:paraId="431746E4" w14:textId="77777777" w:rsidR="00FE2A9A" w:rsidRDefault="00FE2A9A" w:rsidP="00FE2A9A">
      <w:pPr>
        <w:jc w:val="center"/>
      </w:pPr>
    </w:p>
    <w:p w14:paraId="6F077942" w14:textId="77777777" w:rsidR="00FE2A9A" w:rsidRDefault="00FE2A9A" w:rsidP="00FE2A9A">
      <w:pPr>
        <w:jc w:val="center"/>
      </w:pPr>
    </w:p>
    <w:p w14:paraId="0CC3D06A" w14:textId="77777777" w:rsidR="00FE2A9A" w:rsidRDefault="00FE2A9A" w:rsidP="00FE2A9A">
      <w:pPr>
        <w:jc w:val="center"/>
      </w:pPr>
    </w:p>
    <w:p w14:paraId="4F1F3AAA" w14:textId="77777777" w:rsidR="00FE2A9A" w:rsidRDefault="00FE2A9A" w:rsidP="00FE2A9A">
      <w:pPr>
        <w:jc w:val="center"/>
      </w:pPr>
    </w:p>
    <w:p w14:paraId="7C1A6285" w14:textId="77777777" w:rsidR="00FE2A9A" w:rsidRDefault="00FE2A9A" w:rsidP="00FE2A9A">
      <w:pPr>
        <w:jc w:val="center"/>
      </w:pPr>
    </w:p>
    <w:p w14:paraId="1B42958F" w14:textId="77777777" w:rsidR="00FE2A9A" w:rsidRDefault="00FE2A9A" w:rsidP="00FE2A9A">
      <w:pPr>
        <w:jc w:val="center"/>
      </w:pPr>
    </w:p>
    <w:p w14:paraId="6470518F" w14:textId="77777777" w:rsidR="00FE2A9A" w:rsidRDefault="00FE2A9A" w:rsidP="00FE2A9A">
      <w:pPr>
        <w:jc w:val="center"/>
      </w:pPr>
    </w:p>
    <w:p w14:paraId="43F5C725" w14:textId="77777777" w:rsidR="00FE2A9A" w:rsidRDefault="00FE2A9A" w:rsidP="00FE2A9A">
      <w:pPr>
        <w:jc w:val="center"/>
      </w:pPr>
    </w:p>
    <w:p w14:paraId="46E5BB5F" w14:textId="77777777" w:rsidR="00FE2A9A" w:rsidRDefault="00FE2A9A" w:rsidP="00FE2A9A">
      <w:pPr>
        <w:jc w:val="center"/>
      </w:pPr>
    </w:p>
    <w:p w14:paraId="7651F8AF" w14:textId="77777777" w:rsidR="00FE2A9A" w:rsidRDefault="00FE2A9A" w:rsidP="00FE2A9A">
      <w:pPr>
        <w:jc w:val="center"/>
      </w:pPr>
    </w:p>
    <w:p w14:paraId="41BE5539" w14:textId="77777777" w:rsidR="00FE2A9A" w:rsidRDefault="00FE2A9A" w:rsidP="00FE2A9A">
      <w:pPr>
        <w:jc w:val="center"/>
      </w:pPr>
    </w:p>
    <w:p w14:paraId="3DD84B17" w14:textId="77777777" w:rsidR="00FE2A9A" w:rsidRDefault="00FE2A9A" w:rsidP="00FE2A9A">
      <w:pPr>
        <w:jc w:val="center"/>
      </w:pPr>
    </w:p>
    <w:p w14:paraId="2DC593F6" w14:textId="77777777" w:rsidR="00FE2A9A" w:rsidRDefault="00FE2A9A" w:rsidP="00FE2A9A">
      <w:pPr>
        <w:jc w:val="center"/>
      </w:pPr>
    </w:p>
    <w:p w14:paraId="0FCA1FB5" w14:textId="77777777" w:rsidR="00FE2A9A" w:rsidRDefault="00FE2A9A" w:rsidP="00FE2A9A">
      <w:pPr>
        <w:jc w:val="center"/>
      </w:pPr>
    </w:p>
    <w:p w14:paraId="582F2657" w14:textId="77777777" w:rsidR="00FE2A9A" w:rsidRDefault="00FE2A9A" w:rsidP="00FE2A9A">
      <w:pPr>
        <w:jc w:val="center"/>
      </w:pPr>
    </w:p>
    <w:p w14:paraId="23DEAB4D" w14:textId="77777777" w:rsidR="00FE2A9A" w:rsidRDefault="00FE2A9A" w:rsidP="00FE2A9A">
      <w:pPr>
        <w:jc w:val="center"/>
      </w:pPr>
    </w:p>
    <w:p w14:paraId="305E7EB1" w14:textId="3DBBC759" w:rsidR="00FE2A9A" w:rsidRDefault="00FE2A9A" w:rsidP="00FE2A9A">
      <w:pPr>
        <w:jc w:val="center"/>
        <w:rPr>
          <w:rFonts w:ascii="Arial" w:hAnsi="Arial" w:cs="Arial"/>
          <w:b/>
          <w:bCs/>
          <w:sz w:val="28"/>
          <w:szCs w:val="28"/>
        </w:rPr>
      </w:pPr>
      <w:r w:rsidRPr="00AC1D5E">
        <w:rPr>
          <w:rFonts w:ascii="Arial" w:hAnsi="Arial" w:cs="Arial"/>
          <w:b/>
          <w:bCs/>
          <w:sz w:val="28"/>
          <w:szCs w:val="28"/>
        </w:rPr>
        <w:t>June 2021</w:t>
      </w:r>
    </w:p>
    <w:p w14:paraId="67DB69C9" w14:textId="77777777" w:rsidR="00E01E5E" w:rsidRDefault="00E01E5E" w:rsidP="00FE2A9A">
      <w:pPr>
        <w:jc w:val="center"/>
        <w:rPr>
          <w:rFonts w:ascii="Arial" w:hAnsi="Arial" w:cs="Arial"/>
          <w:b/>
          <w:bCs/>
          <w:sz w:val="28"/>
          <w:szCs w:val="28"/>
        </w:rPr>
      </w:pPr>
    </w:p>
    <w:p w14:paraId="0C54E511" w14:textId="77777777" w:rsidR="00FE2A9A" w:rsidRPr="00FE2A9A" w:rsidRDefault="00FE2A9A" w:rsidP="00FE2A9A">
      <w:pPr>
        <w:spacing w:after="0" w:line="240" w:lineRule="auto"/>
        <w:jc w:val="center"/>
        <w:rPr>
          <w:b/>
          <w:bCs/>
        </w:rPr>
      </w:pPr>
      <w:r w:rsidRPr="00FE2A9A">
        <w:rPr>
          <w:b/>
          <w:bCs/>
        </w:rPr>
        <w:lastRenderedPageBreak/>
        <w:t xml:space="preserve">FIT AND PROPER PERSON </w:t>
      </w:r>
    </w:p>
    <w:p w14:paraId="359B140F" w14:textId="001571CE" w:rsidR="00FE2A9A" w:rsidRDefault="00FE2A9A" w:rsidP="00FE2A9A">
      <w:pPr>
        <w:spacing w:after="0" w:line="240" w:lineRule="auto"/>
        <w:jc w:val="center"/>
        <w:rPr>
          <w:b/>
          <w:bCs/>
        </w:rPr>
      </w:pPr>
      <w:r w:rsidRPr="00FE2A9A">
        <w:rPr>
          <w:b/>
          <w:bCs/>
        </w:rPr>
        <w:t>FEE POLICY</w:t>
      </w:r>
    </w:p>
    <w:p w14:paraId="51BBA5C1" w14:textId="77777777" w:rsidR="00FE2A9A" w:rsidRDefault="00FE2A9A" w:rsidP="00FE2A9A">
      <w:pPr>
        <w:spacing w:after="0" w:line="240" w:lineRule="auto"/>
        <w:jc w:val="center"/>
      </w:pPr>
    </w:p>
    <w:p w14:paraId="07397EDB" w14:textId="77777777" w:rsidR="00220CCD" w:rsidRDefault="00220CCD" w:rsidP="00FE2A9A">
      <w:pPr>
        <w:spacing w:after="0" w:line="240" w:lineRule="auto"/>
        <w:ind w:firstLine="720"/>
        <w:rPr>
          <w:rFonts w:ascii="Arial" w:hAnsi="Arial" w:cs="Arial"/>
          <w:b/>
          <w:bCs/>
          <w:u w:val="single"/>
        </w:rPr>
      </w:pPr>
    </w:p>
    <w:p w14:paraId="663B4476" w14:textId="1A4FECBB" w:rsidR="00FE2A9A" w:rsidRPr="00FE2A9A" w:rsidRDefault="00FE2A9A" w:rsidP="00FE2A9A">
      <w:pPr>
        <w:spacing w:after="0" w:line="240" w:lineRule="auto"/>
        <w:ind w:firstLine="720"/>
        <w:rPr>
          <w:rFonts w:ascii="Arial" w:hAnsi="Arial" w:cs="Arial"/>
          <w:b/>
          <w:bCs/>
          <w:u w:val="single"/>
        </w:rPr>
      </w:pPr>
      <w:r w:rsidRPr="00FE2A9A">
        <w:rPr>
          <w:rFonts w:ascii="Arial" w:hAnsi="Arial" w:cs="Arial"/>
          <w:b/>
          <w:bCs/>
          <w:u w:val="single"/>
        </w:rPr>
        <w:t xml:space="preserve">Introduction </w:t>
      </w:r>
    </w:p>
    <w:p w14:paraId="3F9BD862" w14:textId="77777777" w:rsidR="00FE2A9A" w:rsidRDefault="00FE2A9A" w:rsidP="00FE2A9A">
      <w:pPr>
        <w:spacing w:after="0" w:line="240" w:lineRule="auto"/>
        <w:rPr>
          <w:rFonts w:ascii="Arial" w:hAnsi="Arial" w:cs="Arial"/>
        </w:rPr>
      </w:pPr>
    </w:p>
    <w:p w14:paraId="7FBCAC36" w14:textId="65BC2981" w:rsidR="00FE2A9A" w:rsidRPr="00FE2A9A" w:rsidRDefault="00FE2A9A" w:rsidP="00FE2A9A">
      <w:pPr>
        <w:pStyle w:val="ListParagraph"/>
        <w:numPr>
          <w:ilvl w:val="0"/>
          <w:numId w:val="9"/>
        </w:numPr>
        <w:spacing w:after="0" w:line="240" w:lineRule="auto"/>
        <w:rPr>
          <w:rFonts w:ascii="Arial" w:hAnsi="Arial" w:cs="Arial"/>
        </w:rPr>
      </w:pPr>
      <w:r w:rsidRPr="00FE2A9A">
        <w:rPr>
          <w:rFonts w:ascii="Arial" w:hAnsi="Arial" w:cs="Arial"/>
        </w:rPr>
        <w:t xml:space="preserve">A relevant protected site is a site, which requires a licence, which is not solely for holiday purposes or is otherwise not capable of being used all year round. A relevant protected site cannot operate unless the local authority is satisfied that the manager qualifies as a fit and proper person, </w:t>
      </w:r>
      <w:r w:rsidRPr="00FE2A9A">
        <w:rPr>
          <w:rFonts w:ascii="Arial" w:hAnsi="Arial" w:cs="Arial"/>
          <w:u w:val="single"/>
        </w:rPr>
        <w:t>Sections 12A -12E of the Caravan Sites and Control of Development Act 1960</w:t>
      </w:r>
      <w:r w:rsidRPr="00FE2A9A">
        <w:rPr>
          <w:rFonts w:ascii="Arial" w:hAnsi="Arial" w:cs="Arial"/>
        </w:rPr>
        <w:t xml:space="preserve">, as implemented by </w:t>
      </w:r>
      <w:r w:rsidRPr="00FE2A9A">
        <w:rPr>
          <w:rFonts w:ascii="Arial" w:hAnsi="Arial" w:cs="Arial"/>
          <w:u w:val="single"/>
        </w:rPr>
        <w:t>Section 8 Mobile Homes Act 2013</w:t>
      </w:r>
      <w:r w:rsidRPr="00FE2A9A">
        <w:rPr>
          <w:rFonts w:ascii="Arial" w:hAnsi="Arial" w:cs="Arial"/>
        </w:rPr>
        <w:t xml:space="preserve"> (subject to paragraph 10 below). </w:t>
      </w:r>
    </w:p>
    <w:p w14:paraId="7EB7A183" w14:textId="77777777" w:rsidR="00FE2A9A" w:rsidRPr="00FE2A9A" w:rsidRDefault="00FE2A9A" w:rsidP="00FE2A9A">
      <w:pPr>
        <w:pStyle w:val="ListParagraph"/>
        <w:spacing w:after="0" w:line="240" w:lineRule="auto"/>
        <w:ind w:left="1800"/>
        <w:rPr>
          <w:rFonts w:ascii="Arial" w:hAnsi="Arial" w:cs="Arial"/>
        </w:rPr>
      </w:pPr>
    </w:p>
    <w:p w14:paraId="16280C56" w14:textId="15209A47" w:rsidR="00FE2A9A" w:rsidRPr="00FE2A9A" w:rsidRDefault="00FE2A9A" w:rsidP="00FE2A9A">
      <w:pPr>
        <w:pStyle w:val="ListParagraph"/>
        <w:numPr>
          <w:ilvl w:val="0"/>
          <w:numId w:val="9"/>
        </w:numPr>
        <w:spacing w:after="0" w:line="240" w:lineRule="auto"/>
        <w:rPr>
          <w:rFonts w:ascii="Arial" w:hAnsi="Arial" w:cs="Arial"/>
        </w:rPr>
      </w:pPr>
      <w:r w:rsidRPr="00FE2A9A">
        <w:rPr>
          <w:rFonts w:ascii="Arial" w:hAnsi="Arial" w:cs="Arial"/>
        </w:rPr>
        <w:t xml:space="preserve">A site owner under the </w:t>
      </w:r>
      <w:r w:rsidRPr="00E01E5E">
        <w:rPr>
          <w:rFonts w:ascii="Arial" w:hAnsi="Arial" w:cs="Arial"/>
          <w:u w:val="single"/>
        </w:rPr>
        <w:t>Mobile Homes (Requirement for Manager of Site to be Fit and Proper Person) (England) Regulations 2020 (SI 2020/1034)</w:t>
      </w:r>
      <w:r w:rsidRPr="00FE2A9A">
        <w:rPr>
          <w:rFonts w:ascii="Arial" w:hAnsi="Arial" w:cs="Arial"/>
        </w:rPr>
        <w:t xml:space="preserve"> (“the Regulations”) must apply to their local authority for the relevant person (themselves or their appointed manager) to be added to the register of fit and proper persons managing sites in their area (“the register”). </w:t>
      </w:r>
    </w:p>
    <w:p w14:paraId="28E5DB73" w14:textId="77777777" w:rsidR="00FE2A9A" w:rsidRPr="00FE2A9A" w:rsidRDefault="00FE2A9A" w:rsidP="00FE2A9A">
      <w:pPr>
        <w:spacing w:after="0" w:line="240" w:lineRule="auto"/>
        <w:rPr>
          <w:rFonts w:ascii="Arial" w:hAnsi="Arial" w:cs="Arial"/>
        </w:rPr>
      </w:pPr>
    </w:p>
    <w:p w14:paraId="51E91443" w14:textId="3D1C93A6" w:rsidR="00FE2A9A" w:rsidRPr="00FE2A9A" w:rsidRDefault="00FE2A9A" w:rsidP="00FE2A9A">
      <w:pPr>
        <w:pStyle w:val="ListParagraph"/>
        <w:numPr>
          <w:ilvl w:val="0"/>
          <w:numId w:val="9"/>
        </w:numPr>
        <w:spacing w:after="0" w:line="240" w:lineRule="auto"/>
        <w:rPr>
          <w:rFonts w:ascii="Arial" w:hAnsi="Arial" w:cs="Arial"/>
        </w:rPr>
      </w:pPr>
      <w:r w:rsidRPr="00FE2A9A">
        <w:rPr>
          <w:rFonts w:ascii="Arial" w:hAnsi="Arial" w:cs="Arial"/>
        </w:rPr>
        <w:t xml:space="preserve">The site owner may only apply to be added to the register if they hold, or have applied for, a site licence for the site. This provision also applies where the site owner or site manager is a registered company. </w:t>
      </w:r>
    </w:p>
    <w:p w14:paraId="27EFFF29" w14:textId="77777777" w:rsidR="00FE2A9A" w:rsidRPr="00FE2A9A" w:rsidRDefault="00FE2A9A" w:rsidP="00FE2A9A">
      <w:pPr>
        <w:spacing w:after="0" w:line="240" w:lineRule="auto"/>
        <w:rPr>
          <w:rFonts w:ascii="Arial" w:hAnsi="Arial" w:cs="Arial"/>
        </w:rPr>
      </w:pPr>
    </w:p>
    <w:p w14:paraId="218508AC" w14:textId="77777777" w:rsidR="00FE2A9A" w:rsidRDefault="00FE2A9A" w:rsidP="00FE2A9A">
      <w:pPr>
        <w:spacing w:after="0" w:line="240" w:lineRule="auto"/>
        <w:ind w:left="1701" w:hanging="261"/>
        <w:rPr>
          <w:rFonts w:ascii="Arial" w:hAnsi="Arial" w:cs="Arial"/>
        </w:rPr>
      </w:pPr>
      <w:r w:rsidRPr="00FE2A9A">
        <w:rPr>
          <w:rFonts w:ascii="Arial" w:hAnsi="Arial" w:cs="Arial"/>
        </w:rPr>
        <w:t xml:space="preserve">4. The Regulations permit the local authority to determine the fee for an application or registration for someone to be added to the register. It is imperative that the fee is included with the application and failing to include this may mean that the site owner is in breach of the requirements of the Regulations. </w:t>
      </w:r>
    </w:p>
    <w:p w14:paraId="33709302" w14:textId="77777777" w:rsidR="00FE2A9A" w:rsidRDefault="00FE2A9A" w:rsidP="00FE2A9A">
      <w:pPr>
        <w:spacing w:after="0" w:line="240" w:lineRule="auto"/>
        <w:ind w:left="1701" w:hanging="261"/>
        <w:rPr>
          <w:rFonts w:ascii="Arial" w:hAnsi="Arial" w:cs="Arial"/>
        </w:rPr>
      </w:pPr>
    </w:p>
    <w:p w14:paraId="0D417ED4" w14:textId="77777777" w:rsidR="00FE2A9A" w:rsidRDefault="00FE2A9A" w:rsidP="00FE2A9A">
      <w:pPr>
        <w:spacing w:after="0" w:line="240" w:lineRule="auto"/>
        <w:ind w:left="1701" w:hanging="261"/>
        <w:rPr>
          <w:rFonts w:ascii="Arial" w:hAnsi="Arial" w:cs="Arial"/>
        </w:rPr>
      </w:pPr>
      <w:r w:rsidRPr="00FE2A9A">
        <w:rPr>
          <w:rFonts w:ascii="Arial" w:hAnsi="Arial" w:cs="Arial"/>
        </w:rPr>
        <w:t xml:space="preserve">5. It is important to highlight that this fee policy will refer to the recovery of costs which the local authority may have incurred, or which will be incurred, in appointing a person to manage a site with the site owner’s consent. This will be calculated separately to the application fee. </w:t>
      </w:r>
    </w:p>
    <w:p w14:paraId="59669AFD" w14:textId="77777777" w:rsidR="00FE2A9A" w:rsidRDefault="00FE2A9A" w:rsidP="00FE2A9A">
      <w:pPr>
        <w:spacing w:after="0" w:line="240" w:lineRule="auto"/>
        <w:ind w:left="1701" w:hanging="261"/>
        <w:rPr>
          <w:rFonts w:ascii="Arial" w:hAnsi="Arial" w:cs="Arial"/>
        </w:rPr>
      </w:pPr>
    </w:p>
    <w:p w14:paraId="08C31A0B" w14:textId="77777777" w:rsidR="00E01E5E" w:rsidRDefault="00FE2A9A" w:rsidP="00FE2A9A">
      <w:pPr>
        <w:spacing w:after="0" w:line="240" w:lineRule="auto"/>
        <w:ind w:left="1701" w:hanging="261"/>
        <w:rPr>
          <w:rFonts w:ascii="Arial" w:hAnsi="Arial" w:cs="Arial"/>
        </w:rPr>
      </w:pPr>
      <w:r w:rsidRPr="00FE2A9A">
        <w:rPr>
          <w:rFonts w:ascii="Arial" w:hAnsi="Arial" w:cs="Arial"/>
        </w:rPr>
        <w:t xml:space="preserve">6. Site owners will be required to submit a completed application from 1 July until 30 September 2021 (3 months) and pay the fee, outlined below, to </w:t>
      </w:r>
      <w:r w:rsidR="00E01E5E">
        <w:rPr>
          <w:rFonts w:ascii="Arial" w:hAnsi="Arial" w:cs="Arial"/>
        </w:rPr>
        <w:t>Torbay Council</w:t>
      </w:r>
      <w:r w:rsidRPr="00FE2A9A">
        <w:rPr>
          <w:rFonts w:ascii="Arial" w:hAnsi="Arial" w:cs="Arial"/>
        </w:rPr>
        <w:t>.</w:t>
      </w:r>
    </w:p>
    <w:p w14:paraId="6471D79B" w14:textId="43C43E85" w:rsidR="00E01E5E" w:rsidRDefault="00E01E5E" w:rsidP="00FE2A9A">
      <w:pPr>
        <w:spacing w:after="0" w:line="240" w:lineRule="auto"/>
        <w:ind w:left="1701" w:hanging="261"/>
        <w:rPr>
          <w:rFonts w:ascii="Arial" w:hAnsi="Arial" w:cs="Arial"/>
        </w:rPr>
      </w:pPr>
    </w:p>
    <w:p w14:paraId="5A9F5F8A" w14:textId="77777777" w:rsidR="00220CCD" w:rsidRDefault="00220CCD" w:rsidP="00FE2A9A">
      <w:pPr>
        <w:spacing w:after="0" w:line="240" w:lineRule="auto"/>
        <w:ind w:left="1701" w:hanging="261"/>
        <w:rPr>
          <w:rFonts w:ascii="Arial" w:hAnsi="Arial" w:cs="Arial"/>
        </w:rPr>
      </w:pPr>
    </w:p>
    <w:p w14:paraId="73CB4BFF" w14:textId="592F5997" w:rsidR="00E01E5E" w:rsidRDefault="00FE2A9A" w:rsidP="00E01E5E">
      <w:pPr>
        <w:spacing w:after="0" w:line="240" w:lineRule="auto"/>
        <w:ind w:firstLine="720"/>
        <w:rPr>
          <w:rFonts w:ascii="Arial" w:hAnsi="Arial" w:cs="Arial"/>
          <w:b/>
          <w:bCs/>
          <w:u w:val="single"/>
        </w:rPr>
      </w:pPr>
      <w:r w:rsidRPr="00E01E5E">
        <w:rPr>
          <w:rFonts w:ascii="Arial" w:hAnsi="Arial" w:cs="Arial"/>
          <w:b/>
          <w:bCs/>
          <w:u w:val="single"/>
        </w:rPr>
        <w:t xml:space="preserve">Fees for Fit and Proper Persons Register Applications </w:t>
      </w:r>
    </w:p>
    <w:p w14:paraId="088CDBB0" w14:textId="77777777" w:rsidR="00E01E5E" w:rsidRPr="00E01E5E" w:rsidRDefault="00E01E5E" w:rsidP="00E01E5E">
      <w:pPr>
        <w:spacing w:after="0" w:line="240" w:lineRule="auto"/>
        <w:rPr>
          <w:rFonts w:ascii="Arial" w:hAnsi="Arial" w:cs="Arial"/>
          <w:b/>
          <w:bCs/>
          <w:u w:val="single"/>
        </w:rPr>
      </w:pPr>
    </w:p>
    <w:p w14:paraId="4D63FC0A" w14:textId="27F16C0F" w:rsidR="00E01E5E" w:rsidRPr="00E01E5E" w:rsidRDefault="00FE2A9A" w:rsidP="00E01E5E">
      <w:pPr>
        <w:spacing w:after="0" w:line="240" w:lineRule="auto"/>
        <w:ind w:firstLine="720"/>
        <w:rPr>
          <w:rFonts w:ascii="Arial" w:hAnsi="Arial" w:cs="Arial"/>
          <w:b/>
          <w:bCs/>
        </w:rPr>
      </w:pPr>
      <w:r w:rsidRPr="00E01E5E">
        <w:rPr>
          <w:rFonts w:ascii="Arial" w:hAnsi="Arial" w:cs="Arial"/>
          <w:b/>
          <w:bCs/>
        </w:rPr>
        <w:t xml:space="preserve">Application fee </w:t>
      </w:r>
    </w:p>
    <w:p w14:paraId="2BC445DA" w14:textId="77777777" w:rsidR="00E01E5E" w:rsidRDefault="00E01E5E" w:rsidP="00FE2A9A">
      <w:pPr>
        <w:spacing w:after="0" w:line="240" w:lineRule="auto"/>
        <w:ind w:left="1701" w:hanging="261"/>
        <w:rPr>
          <w:rFonts w:ascii="Arial" w:hAnsi="Arial" w:cs="Arial"/>
        </w:rPr>
      </w:pPr>
    </w:p>
    <w:p w14:paraId="780DCF38" w14:textId="3E51B7FD" w:rsidR="00E01E5E" w:rsidRDefault="00FE2A9A" w:rsidP="00FE2A9A">
      <w:pPr>
        <w:spacing w:after="0" w:line="240" w:lineRule="auto"/>
        <w:ind w:left="1701" w:hanging="261"/>
        <w:rPr>
          <w:rFonts w:ascii="Arial" w:hAnsi="Arial" w:cs="Arial"/>
        </w:rPr>
      </w:pPr>
      <w:r w:rsidRPr="00FE2A9A">
        <w:rPr>
          <w:rFonts w:ascii="Arial" w:hAnsi="Arial" w:cs="Arial"/>
        </w:rPr>
        <w:t xml:space="preserve">7. </w:t>
      </w:r>
      <w:r w:rsidR="00E01E5E">
        <w:rPr>
          <w:rFonts w:ascii="Arial" w:hAnsi="Arial" w:cs="Arial"/>
        </w:rPr>
        <w:t>Torbay Council</w:t>
      </w:r>
      <w:r w:rsidRPr="00FE2A9A">
        <w:rPr>
          <w:rFonts w:ascii="Arial" w:hAnsi="Arial" w:cs="Arial"/>
        </w:rPr>
        <w:t xml:space="preserve"> has provided a breakdown of tasks associated with the fit and proper person assessment and/or checks to be included on the fit and proper register in Table A on page </w:t>
      </w:r>
      <w:r w:rsidRPr="00220CCD">
        <w:rPr>
          <w:rFonts w:ascii="Arial" w:hAnsi="Arial" w:cs="Arial"/>
        </w:rPr>
        <w:t>5.</w:t>
      </w:r>
      <w:r w:rsidRPr="00FE2A9A">
        <w:rPr>
          <w:rFonts w:ascii="Arial" w:hAnsi="Arial" w:cs="Arial"/>
        </w:rPr>
        <w:t xml:space="preserve"> </w:t>
      </w:r>
    </w:p>
    <w:p w14:paraId="032D75D6" w14:textId="77777777" w:rsidR="00E01E5E" w:rsidRDefault="00E01E5E" w:rsidP="00FE2A9A">
      <w:pPr>
        <w:spacing w:after="0" w:line="240" w:lineRule="auto"/>
        <w:ind w:left="1701" w:hanging="261"/>
        <w:rPr>
          <w:rFonts w:ascii="Arial" w:hAnsi="Arial" w:cs="Arial"/>
        </w:rPr>
      </w:pPr>
    </w:p>
    <w:p w14:paraId="789484EC" w14:textId="3E5DD7C9" w:rsidR="00E01E5E" w:rsidRDefault="00FE2A9A" w:rsidP="00FE2A9A">
      <w:pPr>
        <w:spacing w:after="0" w:line="240" w:lineRule="auto"/>
        <w:ind w:left="1701" w:hanging="261"/>
        <w:rPr>
          <w:rFonts w:ascii="Arial" w:hAnsi="Arial" w:cs="Arial"/>
        </w:rPr>
      </w:pPr>
      <w:r w:rsidRPr="00FE2A9A">
        <w:rPr>
          <w:rFonts w:ascii="Arial" w:hAnsi="Arial" w:cs="Arial"/>
        </w:rPr>
        <w:t xml:space="preserve">8. The fees are set as per Table A at </w:t>
      </w:r>
      <w:r w:rsidRPr="00A47EE0">
        <w:rPr>
          <w:rFonts w:ascii="Arial" w:hAnsi="Arial" w:cs="Arial"/>
        </w:rPr>
        <w:t>£</w:t>
      </w:r>
      <w:r w:rsidR="00A47EE0" w:rsidRPr="00A47EE0">
        <w:rPr>
          <w:rFonts w:ascii="Arial" w:hAnsi="Arial" w:cs="Arial"/>
        </w:rPr>
        <w:t>233.92</w:t>
      </w:r>
      <w:r w:rsidRPr="00FE2A9A">
        <w:rPr>
          <w:rFonts w:ascii="Arial" w:hAnsi="Arial" w:cs="Arial"/>
        </w:rPr>
        <w:t xml:space="preserve"> for the fit and proper person application process. </w:t>
      </w:r>
    </w:p>
    <w:p w14:paraId="73D473A3" w14:textId="77777777" w:rsidR="00E01E5E" w:rsidRDefault="00E01E5E" w:rsidP="00FE2A9A">
      <w:pPr>
        <w:spacing w:after="0" w:line="240" w:lineRule="auto"/>
        <w:ind w:left="1701" w:hanging="261"/>
        <w:rPr>
          <w:rFonts w:ascii="Arial" w:hAnsi="Arial" w:cs="Arial"/>
        </w:rPr>
      </w:pPr>
    </w:p>
    <w:p w14:paraId="10650472" w14:textId="5E31D3F3" w:rsidR="00E01E5E" w:rsidRDefault="00FE2A9A" w:rsidP="00FE2A9A">
      <w:pPr>
        <w:spacing w:after="0" w:line="240" w:lineRule="auto"/>
        <w:ind w:left="1701" w:hanging="261"/>
        <w:rPr>
          <w:rFonts w:ascii="Arial" w:hAnsi="Arial" w:cs="Arial"/>
        </w:rPr>
      </w:pPr>
      <w:r w:rsidRPr="00FE2A9A">
        <w:rPr>
          <w:rFonts w:ascii="Arial" w:hAnsi="Arial" w:cs="Arial"/>
        </w:rPr>
        <w:t xml:space="preserve">9. The local authority has </w:t>
      </w:r>
      <w:proofErr w:type="gramStart"/>
      <w:r w:rsidRPr="00FE2A9A">
        <w:rPr>
          <w:rFonts w:ascii="Arial" w:hAnsi="Arial" w:cs="Arial"/>
        </w:rPr>
        <w:t>taken into account</w:t>
      </w:r>
      <w:proofErr w:type="gramEnd"/>
      <w:r w:rsidRPr="00FE2A9A">
        <w:rPr>
          <w:rFonts w:ascii="Arial" w:hAnsi="Arial" w:cs="Arial"/>
        </w:rPr>
        <w:t xml:space="preserve"> the following matters on which costs are incurred, or likely to be incurred, when determining its fee policy for consideration of applications for entry on a fit and proper person register: </w:t>
      </w:r>
    </w:p>
    <w:p w14:paraId="092C44D5" w14:textId="77777777" w:rsidR="00E01E5E" w:rsidRDefault="00E01E5E" w:rsidP="00FE2A9A">
      <w:pPr>
        <w:spacing w:after="0" w:line="240" w:lineRule="auto"/>
        <w:ind w:left="1701" w:hanging="261"/>
        <w:rPr>
          <w:rFonts w:ascii="Arial" w:hAnsi="Arial" w:cs="Arial"/>
        </w:rPr>
      </w:pPr>
    </w:p>
    <w:p w14:paraId="5319A44A" w14:textId="77777777" w:rsidR="00E01E5E" w:rsidRDefault="00FE2A9A" w:rsidP="00E01E5E">
      <w:pPr>
        <w:spacing w:after="0" w:line="240" w:lineRule="auto"/>
        <w:ind w:left="1701" w:firstLine="459"/>
        <w:rPr>
          <w:rFonts w:ascii="Arial" w:hAnsi="Arial" w:cs="Arial"/>
        </w:rPr>
      </w:pPr>
      <w:r w:rsidRPr="00FE2A9A">
        <w:rPr>
          <w:rFonts w:ascii="Arial" w:hAnsi="Arial" w:cs="Arial"/>
        </w:rPr>
        <w:t xml:space="preserve">(a) Initial </w:t>
      </w:r>
      <w:proofErr w:type="gramStart"/>
      <w:r w:rsidRPr="00FE2A9A">
        <w:rPr>
          <w:rFonts w:ascii="Arial" w:hAnsi="Arial" w:cs="Arial"/>
        </w:rPr>
        <w:t>enquiries;</w:t>
      </w:r>
      <w:proofErr w:type="gramEnd"/>
      <w:r w:rsidRPr="00FE2A9A">
        <w:rPr>
          <w:rFonts w:ascii="Arial" w:hAnsi="Arial" w:cs="Arial"/>
        </w:rPr>
        <w:t xml:space="preserve"> </w:t>
      </w:r>
    </w:p>
    <w:p w14:paraId="3764F1E3" w14:textId="77777777" w:rsidR="00E01E5E" w:rsidRDefault="00FE2A9A" w:rsidP="00E01E5E">
      <w:pPr>
        <w:spacing w:after="0" w:line="240" w:lineRule="auto"/>
        <w:ind w:left="2552" w:hanging="392"/>
        <w:rPr>
          <w:rFonts w:ascii="Arial" w:hAnsi="Arial" w:cs="Arial"/>
        </w:rPr>
      </w:pPr>
      <w:r w:rsidRPr="00FE2A9A">
        <w:rPr>
          <w:rFonts w:ascii="Arial" w:hAnsi="Arial" w:cs="Arial"/>
        </w:rPr>
        <w:lastRenderedPageBreak/>
        <w:t xml:space="preserve">(b) letter writing/emails/telephone calls etc. to make appointments and requesting any documents or other information from the site owner or from any third party in connection with the fit and proper </w:t>
      </w:r>
      <w:proofErr w:type="gramStart"/>
      <w:r w:rsidRPr="00FE2A9A">
        <w:rPr>
          <w:rFonts w:ascii="Arial" w:hAnsi="Arial" w:cs="Arial"/>
        </w:rPr>
        <w:t>process;</w:t>
      </w:r>
      <w:proofErr w:type="gramEnd"/>
      <w:r w:rsidRPr="00FE2A9A">
        <w:rPr>
          <w:rFonts w:ascii="Arial" w:hAnsi="Arial" w:cs="Arial"/>
        </w:rPr>
        <w:t xml:space="preserve"> </w:t>
      </w:r>
    </w:p>
    <w:p w14:paraId="6FCECF5B" w14:textId="77777777" w:rsidR="00E01E5E" w:rsidRDefault="00FE2A9A" w:rsidP="00E01E5E">
      <w:pPr>
        <w:spacing w:after="0" w:line="240" w:lineRule="auto"/>
        <w:ind w:left="1701" w:firstLine="459"/>
        <w:rPr>
          <w:rFonts w:ascii="Arial" w:hAnsi="Arial" w:cs="Arial"/>
        </w:rPr>
      </w:pPr>
      <w:r w:rsidRPr="00FE2A9A">
        <w:rPr>
          <w:rFonts w:ascii="Arial" w:hAnsi="Arial" w:cs="Arial"/>
        </w:rPr>
        <w:t xml:space="preserve">(c) sending out forms/processing online application </w:t>
      </w:r>
      <w:proofErr w:type="gramStart"/>
      <w:r w:rsidRPr="00FE2A9A">
        <w:rPr>
          <w:rFonts w:ascii="Arial" w:hAnsi="Arial" w:cs="Arial"/>
        </w:rPr>
        <w:t>forms;</w:t>
      </w:r>
      <w:proofErr w:type="gramEnd"/>
      <w:r w:rsidRPr="00FE2A9A">
        <w:rPr>
          <w:rFonts w:ascii="Arial" w:hAnsi="Arial" w:cs="Arial"/>
        </w:rPr>
        <w:t xml:space="preserve"> </w:t>
      </w:r>
    </w:p>
    <w:p w14:paraId="501E4630" w14:textId="77777777" w:rsidR="00E01E5E" w:rsidRDefault="00FE2A9A" w:rsidP="00E01E5E">
      <w:pPr>
        <w:spacing w:after="0" w:line="240" w:lineRule="auto"/>
        <w:ind w:left="1701" w:firstLine="459"/>
        <w:rPr>
          <w:rFonts w:ascii="Arial" w:hAnsi="Arial" w:cs="Arial"/>
        </w:rPr>
      </w:pPr>
      <w:r w:rsidRPr="00FE2A9A">
        <w:rPr>
          <w:rFonts w:ascii="Arial" w:hAnsi="Arial" w:cs="Arial"/>
        </w:rPr>
        <w:t xml:space="preserve">(d) updating files/ computer systems and </w:t>
      </w:r>
      <w:proofErr w:type="gramStart"/>
      <w:r w:rsidRPr="00FE2A9A">
        <w:rPr>
          <w:rFonts w:ascii="Arial" w:hAnsi="Arial" w:cs="Arial"/>
        </w:rPr>
        <w:t>website;</w:t>
      </w:r>
      <w:proofErr w:type="gramEnd"/>
      <w:r w:rsidRPr="00FE2A9A">
        <w:rPr>
          <w:rFonts w:ascii="Arial" w:hAnsi="Arial" w:cs="Arial"/>
        </w:rPr>
        <w:t xml:space="preserve"> </w:t>
      </w:r>
    </w:p>
    <w:p w14:paraId="686E53B4" w14:textId="77777777" w:rsidR="00E01E5E" w:rsidRDefault="00FE2A9A" w:rsidP="00E01E5E">
      <w:pPr>
        <w:spacing w:after="0" w:line="240" w:lineRule="auto"/>
        <w:ind w:left="1701" w:firstLine="459"/>
        <w:rPr>
          <w:rFonts w:ascii="Arial" w:hAnsi="Arial" w:cs="Arial"/>
        </w:rPr>
      </w:pPr>
      <w:r w:rsidRPr="00FE2A9A">
        <w:rPr>
          <w:rFonts w:ascii="Arial" w:hAnsi="Arial" w:cs="Arial"/>
        </w:rPr>
        <w:t>(e) processing the applic</w:t>
      </w:r>
      <w:r w:rsidR="00E01E5E">
        <w:rPr>
          <w:rFonts w:ascii="Arial" w:hAnsi="Arial" w:cs="Arial"/>
        </w:rPr>
        <w:t>a</w:t>
      </w:r>
      <w:r w:rsidRPr="00FE2A9A">
        <w:rPr>
          <w:rFonts w:ascii="Arial" w:hAnsi="Arial" w:cs="Arial"/>
        </w:rPr>
        <w:t xml:space="preserve">tion </w:t>
      </w:r>
      <w:proofErr w:type="gramStart"/>
      <w:r w:rsidRPr="00FE2A9A">
        <w:rPr>
          <w:rFonts w:ascii="Arial" w:hAnsi="Arial" w:cs="Arial"/>
        </w:rPr>
        <w:t>fee;</w:t>
      </w:r>
      <w:proofErr w:type="gramEnd"/>
      <w:r w:rsidRPr="00FE2A9A">
        <w:rPr>
          <w:rFonts w:ascii="Arial" w:hAnsi="Arial" w:cs="Arial"/>
        </w:rPr>
        <w:t xml:space="preserve"> </w:t>
      </w:r>
    </w:p>
    <w:p w14:paraId="413E35AD" w14:textId="77777777" w:rsidR="00E01E5E" w:rsidRDefault="00FE2A9A" w:rsidP="00E01E5E">
      <w:pPr>
        <w:spacing w:after="0" w:line="240" w:lineRule="auto"/>
        <w:ind w:left="1701" w:firstLine="459"/>
        <w:rPr>
          <w:rFonts w:ascii="Arial" w:hAnsi="Arial" w:cs="Arial"/>
        </w:rPr>
      </w:pPr>
      <w:r w:rsidRPr="00FE2A9A">
        <w:rPr>
          <w:rFonts w:ascii="Arial" w:hAnsi="Arial" w:cs="Arial"/>
        </w:rPr>
        <w:t xml:space="preserve">(f) land registry </w:t>
      </w:r>
      <w:proofErr w:type="gramStart"/>
      <w:r w:rsidRPr="00FE2A9A">
        <w:rPr>
          <w:rFonts w:ascii="Arial" w:hAnsi="Arial" w:cs="Arial"/>
        </w:rPr>
        <w:t>searches;</w:t>
      </w:r>
      <w:proofErr w:type="gramEnd"/>
      <w:r w:rsidRPr="00FE2A9A">
        <w:rPr>
          <w:rFonts w:ascii="Arial" w:hAnsi="Arial" w:cs="Arial"/>
        </w:rPr>
        <w:t xml:space="preserve"> </w:t>
      </w:r>
    </w:p>
    <w:p w14:paraId="68975F44" w14:textId="77777777" w:rsidR="00E01E5E" w:rsidRDefault="00FE2A9A" w:rsidP="00E01E5E">
      <w:pPr>
        <w:spacing w:after="0" w:line="240" w:lineRule="auto"/>
        <w:ind w:left="1701" w:firstLine="459"/>
        <w:rPr>
          <w:rFonts w:ascii="Arial" w:hAnsi="Arial" w:cs="Arial"/>
        </w:rPr>
      </w:pPr>
      <w:r w:rsidRPr="00FE2A9A">
        <w:rPr>
          <w:rFonts w:ascii="Arial" w:hAnsi="Arial" w:cs="Arial"/>
        </w:rPr>
        <w:t xml:space="preserve">(g) time for reviewing necessary documents and </w:t>
      </w:r>
      <w:proofErr w:type="gramStart"/>
      <w:r w:rsidRPr="00FE2A9A">
        <w:rPr>
          <w:rFonts w:ascii="Arial" w:hAnsi="Arial" w:cs="Arial"/>
        </w:rPr>
        <w:t>certificates;</w:t>
      </w:r>
      <w:proofErr w:type="gramEnd"/>
      <w:r w:rsidRPr="00FE2A9A">
        <w:rPr>
          <w:rFonts w:ascii="Arial" w:hAnsi="Arial" w:cs="Arial"/>
        </w:rPr>
        <w:t xml:space="preserve"> </w:t>
      </w:r>
    </w:p>
    <w:p w14:paraId="2370EBB3" w14:textId="77777777" w:rsidR="00E01E5E" w:rsidRDefault="00FE2A9A" w:rsidP="00E01E5E">
      <w:pPr>
        <w:spacing w:after="0" w:line="240" w:lineRule="auto"/>
        <w:ind w:left="1701" w:firstLine="459"/>
        <w:rPr>
          <w:rFonts w:ascii="Arial" w:hAnsi="Arial" w:cs="Arial"/>
        </w:rPr>
      </w:pPr>
      <w:r w:rsidRPr="00FE2A9A">
        <w:rPr>
          <w:rFonts w:ascii="Arial" w:hAnsi="Arial" w:cs="Arial"/>
        </w:rPr>
        <w:t xml:space="preserve">(h) preparing preliminary and final decision </w:t>
      </w:r>
      <w:proofErr w:type="gramStart"/>
      <w:r w:rsidRPr="00FE2A9A">
        <w:rPr>
          <w:rFonts w:ascii="Arial" w:hAnsi="Arial" w:cs="Arial"/>
        </w:rPr>
        <w:t>notices;</w:t>
      </w:r>
      <w:proofErr w:type="gramEnd"/>
      <w:r w:rsidRPr="00FE2A9A">
        <w:rPr>
          <w:rFonts w:ascii="Arial" w:hAnsi="Arial" w:cs="Arial"/>
        </w:rPr>
        <w:t xml:space="preserve"> </w:t>
      </w:r>
    </w:p>
    <w:p w14:paraId="5DE04804" w14:textId="77777777" w:rsidR="00E01E5E" w:rsidRDefault="00FE2A9A" w:rsidP="00E01E5E">
      <w:pPr>
        <w:spacing w:after="0" w:line="240" w:lineRule="auto"/>
        <w:ind w:left="2410" w:hanging="250"/>
        <w:rPr>
          <w:rFonts w:ascii="Arial" w:hAnsi="Arial" w:cs="Arial"/>
        </w:rPr>
      </w:pPr>
      <w:r w:rsidRPr="00FE2A9A">
        <w:rPr>
          <w:rFonts w:ascii="Arial" w:hAnsi="Arial" w:cs="Arial"/>
        </w:rPr>
        <w:t>(</w:t>
      </w:r>
      <w:proofErr w:type="spellStart"/>
      <w:r w:rsidRPr="00FE2A9A">
        <w:rPr>
          <w:rFonts w:ascii="Arial" w:hAnsi="Arial" w:cs="Arial"/>
        </w:rPr>
        <w:t>i</w:t>
      </w:r>
      <w:proofErr w:type="spellEnd"/>
      <w:r w:rsidRPr="00FE2A9A">
        <w:rPr>
          <w:rFonts w:ascii="Arial" w:hAnsi="Arial" w:cs="Arial"/>
        </w:rPr>
        <w:t xml:space="preserve">) review by manager or lawyers; review any representations made by applicants or responses from third </w:t>
      </w:r>
      <w:proofErr w:type="gramStart"/>
      <w:r w:rsidRPr="00FE2A9A">
        <w:rPr>
          <w:rFonts w:ascii="Arial" w:hAnsi="Arial" w:cs="Arial"/>
        </w:rPr>
        <w:t>parties;</w:t>
      </w:r>
      <w:proofErr w:type="gramEnd"/>
      <w:r w:rsidRPr="00FE2A9A">
        <w:rPr>
          <w:rFonts w:ascii="Arial" w:hAnsi="Arial" w:cs="Arial"/>
        </w:rPr>
        <w:t xml:space="preserve"> </w:t>
      </w:r>
    </w:p>
    <w:p w14:paraId="70DD1773" w14:textId="77777777" w:rsidR="00E01E5E" w:rsidRDefault="00FE2A9A" w:rsidP="00E01E5E">
      <w:pPr>
        <w:spacing w:after="0" w:line="240" w:lineRule="auto"/>
        <w:ind w:left="1701" w:firstLine="459"/>
        <w:rPr>
          <w:rFonts w:ascii="Arial" w:hAnsi="Arial" w:cs="Arial"/>
        </w:rPr>
      </w:pPr>
      <w:r w:rsidRPr="00FE2A9A">
        <w:rPr>
          <w:rFonts w:ascii="Arial" w:hAnsi="Arial" w:cs="Arial"/>
        </w:rPr>
        <w:t xml:space="preserve">(j) updating the public </w:t>
      </w:r>
      <w:proofErr w:type="gramStart"/>
      <w:r w:rsidRPr="00FE2A9A">
        <w:rPr>
          <w:rFonts w:ascii="Arial" w:hAnsi="Arial" w:cs="Arial"/>
        </w:rPr>
        <w:t>register;</w:t>
      </w:r>
      <w:proofErr w:type="gramEnd"/>
      <w:r w:rsidRPr="00FE2A9A">
        <w:rPr>
          <w:rFonts w:ascii="Arial" w:hAnsi="Arial" w:cs="Arial"/>
        </w:rPr>
        <w:t xml:space="preserve"> </w:t>
      </w:r>
    </w:p>
    <w:p w14:paraId="704E94A9" w14:textId="77777777" w:rsidR="00E01E5E" w:rsidRDefault="00FE2A9A" w:rsidP="00E01E5E">
      <w:pPr>
        <w:spacing w:after="0" w:line="240" w:lineRule="auto"/>
        <w:ind w:left="1701" w:firstLine="459"/>
        <w:rPr>
          <w:rFonts w:ascii="Arial" w:hAnsi="Arial" w:cs="Arial"/>
        </w:rPr>
      </w:pPr>
      <w:r w:rsidRPr="00FE2A9A">
        <w:rPr>
          <w:rFonts w:ascii="Arial" w:hAnsi="Arial" w:cs="Arial"/>
        </w:rPr>
        <w:t xml:space="preserve">(k) carrying out any risk assessment process considered necessary and </w:t>
      </w:r>
    </w:p>
    <w:p w14:paraId="45ED939B" w14:textId="6F4830FF" w:rsidR="00E01E5E" w:rsidRDefault="00FE2A9A" w:rsidP="00E01E5E">
      <w:pPr>
        <w:spacing w:after="0" w:line="240" w:lineRule="auto"/>
        <w:ind w:left="1701" w:firstLine="459"/>
        <w:rPr>
          <w:rFonts w:ascii="Arial" w:hAnsi="Arial" w:cs="Arial"/>
        </w:rPr>
      </w:pPr>
      <w:r w:rsidRPr="00FE2A9A">
        <w:rPr>
          <w:rFonts w:ascii="Arial" w:hAnsi="Arial" w:cs="Arial"/>
        </w:rPr>
        <w:t xml:space="preserve">(l) reviews of decisions or in defending appeals. </w:t>
      </w:r>
    </w:p>
    <w:p w14:paraId="3F8C9827" w14:textId="77777777" w:rsidR="00E01E5E" w:rsidRDefault="00E01E5E" w:rsidP="00E01E5E">
      <w:pPr>
        <w:spacing w:after="0" w:line="240" w:lineRule="auto"/>
        <w:ind w:left="1701" w:firstLine="459"/>
        <w:rPr>
          <w:rFonts w:ascii="Arial" w:hAnsi="Arial" w:cs="Arial"/>
        </w:rPr>
      </w:pPr>
    </w:p>
    <w:p w14:paraId="4259BB4F" w14:textId="13696BEB" w:rsidR="00E01E5E" w:rsidRDefault="00FE2A9A" w:rsidP="005A5C91">
      <w:pPr>
        <w:spacing w:after="0" w:line="240" w:lineRule="auto"/>
        <w:ind w:left="1843" w:hanging="403"/>
        <w:rPr>
          <w:rFonts w:ascii="Arial" w:hAnsi="Arial" w:cs="Arial"/>
        </w:rPr>
      </w:pPr>
      <w:r w:rsidRPr="00FE2A9A">
        <w:rPr>
          <w:rFonts w:ascii="Arial" w:hAnsi="Arial" w:cs="Arial"/>
        </w:rPr>
        <w:t>10.</w:t>
      </w:r>
      <w:r w:rsidR="005A5C91">
        <w:rPr>
          <w:rFonts w:ascii="Arial" w:hAnsi="Arial" w:cs="Arial"/>
        </w:rPr>
        <w:t xml:space="preserve"> </w:t>
      </w:r>
      <w:r w:rsidRPr="00FE2A9A">
        <w:rPr>
          <w:rFonts w:ascii="Arial" w:hAnsi="Arial" w:cs="Arial"/>
        </w:rPr>
        <w:t xml:space="preserve">The charges are limited to recovering the costs of exercising the fit and proper person test function only and do not include other costs that have already been charged for by other service areas. </w:t>
      </w:r>
    </w:p>
    <w:p w14:paraId="7771E8A6" w14:textId="77777777" w:rsidR="00E01E5E" w:rsidRDefault="00E01E5E" w:rsidP="00E01E5E">
      <w:pPr>
        <w:spacing w:after="0" w:line="240" w:lineRule="auto"/>
        <w:ind w:left="1701"/>
        <w:rPr>
          <w:rFonts w:ascii="Arial" w:hAnsi="Arial" w:cs="Arial"/>
        </w:rPr>
      </w:pPr>
    </w:p>
    <w:p w14:paraId="0E16895B" w14:textId="4E5DE053" w:rsidR="00E01E5E" w:rsidRDefault="00FE2A9A" w:rsidP="005A5C91">
      <w:pPr>
        <w:spacing w:after="0" w:line="240" w:lineRule="auto"/>
        <w:ind w:left="1843" w:hanging="403"/>
        <w:rPr>
          <w:rFonts w:ascii="Arial" w:hAnsi="Arial" w:cs="Arial"/>
        </w:rPr>
      </w:pPr>
      <w:r w:rsidRPr="00FE2A9A">
        <w:rPr>
          <w:rFonts w:ascii="Arial" w:hAnsi="Arial" w:cs="Arial"/>
        </w:rPr>
        <w:t>11.</w:t>
      </w:r>
      <w:r w:rsidR="005A5C91">
        <w:rPr>
          <w:rFonts w:ascii="Arial" w:hAnsi="Arial" w:cs="Arial"/>
        </w:rPr>
        <w:t xml:space="preserve"> </w:t>
      </w:r>
      <w:r w:rsidRPr="00FE2A9A">
        <w:rPr>
          <w:rFonts w:ascii="Arial" w:hAnsi="Arial" w:cs="Arial"/>
        </w:rPr>
        <w:t xml:space="preserve">Please see Table A found at page </w:t>
      </w:r>
      <w:r w:rsidRPr="00220CCD">
        <w:rPr>
          <w:rFonts w:ascii="Arial" w:hAnsi="Arial" w:cs="Arial"/>
        </w:rPr>
        <w:t>5</w:t>
      </w:r>
      <w:r w:rsidRPr="00FE2A9A">
        <w:rPr>
          <w:rFonts w:ascii="Arial" w:hAnsi="Arial" w:cs="Arial"/>
        </w:rPr>
        <w:t xml:space="preserve"> which outlines the above and provides transparent justification for the fee to be imposed upon receipt of the initial application. The purpose of this table is to demonstrate that the fees imposed are fair and transparent providing justification as to why a site is required to pay the fee. </w:t>
      </w:r>
      <w:proofErr w:type="gramStart"/>
      <w:r w:rsidRPr="00FE2A9A">
        <w:rPr>
          <w:rFonts w:ascii="Arial" w:hAnsi="Arial" w:cs="Arial"/>
        </w:rPr>
        <w:t>In light of</w:t>
      </w:r>
      <w:proofErr w:type="gramEnd"/>
      <w:r w:rsidRPr="00FE2A9A">
        <w:rPr>
          <w:rFonts w:ascii="Arial" w:hAnsi="Arial" w:cs="Arial"/>
        </w:rPr>
        <w:t xml:space="preserve"> the small number of sites that this applies to no annual fee will be charged in addition to the application fee for ongoing enforcement. </w:t>
      </w:r>
    </w:p>
    <w:p w14:paraId="022D0A93" w14:textId="2F210833" w:rsidR="00E01E5E" w:rsidRDefault="00E01E5E" w:rsidP="00E01E5E">
      <w:pPr>
        <w:spacing w:after="0" w:line="240" w:lineRule="auto"/>
        <w:ind w:left="1843" w:hanging="403"/>
        <w:rPr>
          <w:rFonts w:ascii="Arial" w:hAnsi="Arial" w:cs="Arial"/>
        </w:rPr>
      </w:pPr>
    </w:p>
    <w:p w14:paraId="214468EB" w14:textId="77777777" w:rsidR="00220CCD" w:rsidRDefault="00220CCD" w:rsidP="00E01E5E">
      <w:pPr>
        <w:spacing w:after="0" w:line="240" w:lineRule="auto"/>
        <w:ind w:left="1843" w:hanging="403"/>
        <w:rPr>
          <w:rFonts w:ascii="Arial" w:hAnsi="Arial" w:cs="Arial"/>
        </w:rPr>
      </w:pPr>
    </w:p>
    <w:p w14:paraId="478C3A16" w14:textId="77777777" w:rsidR="00E01E5E" w:rsidRPr="00E01E5E" w:rsidRDefault="00FE2A9A" w:rsidP="00E01E5E">
      <w:pPr>
        <w:spacing w:after="0" w:line="240" w:lineRule="auto"/>
        <w:ind w:firstLine="720"/>
        <w:rPr>
          <w:rFonts w:ascii="Arial" w:hAnsi="Arial" w:cs="Arial"/>
          <w:b/>
          <w:bCs/>
        </w:rPr>
      </w:pPr>
      <w:r w:rsidRPr="00E01E5E">
        <w:rPr>
          <w:rFonts w:ascii="Arial" w:hAnsi="Arial" w:cs="Arial"/>
          <w:b/>
          <w:bCs/>
        </w:rPr>
        <w:t xml:space="preserve">Additional considerations </w:t>
      </w:r>
      <w:proofErr w:type="gramStart"/>
      <w:r w:rsidRPr="00E01E5E">
        <w:rPr>
          <w:rFonts w:ascii="Arial" w:hAnsi="Arial" w:cs="Arial"/>
          <w:b/>
          <w:bCs/>
        </w:rPr>
        <w:t>taken into account</w:t>
      </w:r>
      <w:proofErr w:type="gramEnd"/>
      <w:r w:rsidRPr="00E01E5E">
        <w:rPr>
          <w:rFonts w:ascii="Arial" w:hAnsi="Arial" w:cs="Arial"/>
          <w:b/>
          <w:bCs/>
        </w:rPr>
        <w:t xml:space="preserve"> for the application fee: </w:t>
      </w:r>
    </w:p>
    <w:p w14:paraId="4FD293C8" w14:textId="77777777" w:rsidR="00E01E5E" w:rsidRDefault="00E01E5E" w:rsidP="00E01E5E">
      <w:pPr>
        <w:spacing w:after="0" w:line="240" w:lineRule="auto"/>
        <w:rPr>
          <w:rFonts w:ascii="Arial" w:hAnsi="Arial" w:cs="Arial"/>
        </w:rPr>
      </w:pPr>
    </w:p>
    <w:p w14:paraId="0F564480" w14:textId="099ACD1B" w:rsidR="00E51220" w:rsidRDefault="00FE2A9A" w:rsidP="005A5C91">
      <w:pPr>
        <w:spacing w:after="0" w:line="240" w:lineRule="auto"/>
        <w:ind w:left="1843" w:hanging="403"/>
        <w:rPr>
          <w:rFonts w:ascii="Arial" w:hAnsi="Arial" w:cs="Arial"/>
        </w:rPr>
      </w:pPr>
      <w:r w:rsidRPr="00FE2A9A">
        <w:rPr>
          <w:rFonts w:ascii="Arial" w:hAnsi="Arial" w:cs="Arial"/>
        </w:rPr>
        <w:t>12.</w:t>
      </w:r>
      <w:r w:rsidR="005A5C91">
        <w:rPr>
          <w:rFonts w:ascii="Arial" w:hAnsi="Arial" w:cs="Arial"/>
        </w:rPr>
        <w:t xml:space="preserve"> </w:t>
      </w:r>
      <w:r w:rsidR="00E51220">
        <w:rPr>
          <w:rFonts w:ascii="Arial" w:hAnsi="Arial" w:cs="Arial"/>
        </w:rPr>
        <w:t>Torbay Council</w:t>
      </w:r>
      <w:r w:rsidRPr="00FE2A9A">
        <w:rPr>
          <w:rFonts w:ascii="Arial" w:hAnsi="Arial" w:cs="Arial"/>
        </w:rPr>
        <w:t xml:space="preserve"> will be required to conduct relevant background checks regarding the applicant’s background in management and their financial standing. The results of these checks will allow the local authority to decide on </w:t>
      </w:r>
      <w:proofErr w:type="gramStart"/>
      <w:r w:rsidRPr="00FE2A9A">
        <w:rPr>
          <w:rFonts w:ascii="Arial" w:hAnsi="Arial" w:cs="Arial"/>
        </w:rPr>
        <w:t>whether or not</w:t>
      </w:r>
      <w:proofErr w:type="gramEnd"/>
      <w:r w:rsidRPr="00FE2A9A">
        <w:rPr>
          <w:rFonts w:ascii="Arial" w:hAnsi="Arial" w:cs="Arial"/>
        </w:rPr>
        <w:t xml:space="preserve"> to accept the application. The time taken for these checks has been accounted for in the fee, irrespective </w:t>
      </w:r>
      <w:proofErr w:type="gramStart"/>
      <w:r w:rsidRPr="00FE2A9A">
        <w:rPr>
          <w:rFonts w:ascii="Arial" w:hAnsi="Arial" w:cs="Arial"/>
        </w:rPr>
        <w:t>whether or not</w:t>
      </w:r>
      <w:proofErr w:type="gramEnd"/>
      <w:r w:rsidRPr="00FE2A9A">
        <w:rPr>
          <w:rFonts w:ascii="Arial" w:hAnsi="Arial" w:cs="Arial"/>
        </w:rPr>
        <w:t xml:space="preserve"> the entry on the register is granted. </w:t>
      </w:r>
    </w:p>
    <w:p w14:paraId="28D46138" w14:textId="77777777" w:rsidR="00E51220" w:rsidRDefault="00E51220" w:rsidP="00E01E5E">
      <w:pPr>
        <w:spacing w:after="0" w:line="240" w:lineRule="auto"/>
        <w:ind w:left="1440"/>
        <w:rPr>
          <w:rFonts w:ascii="Arial" w:hAnsi="Arial" w:cs="Arial"/>
        </w:rPr>
      </w:pPr>
    </w:p>
    <w:p w14:paraId="3BA9C0F7" w14:textId="440CD4EA" w:rsidR="00E51220" w:rsidRDefault="00FE2A9A" w:rsidP="005A5C91">
      <w:pPr>
        <w:spacing w:after="0" w:line="240" w:lineRule="auto"/>
        <w:ind w:left="1843" w:hanging="403"/>
        <w:rPr>
          <w:rFonts w:ascii="Arial" w:hAnsi="Arial" w:cs="Arial"/>
        </w:rPr>
      </w:pPr>
      <w:r w:rsidRPr="00FE2A9A">
        <w:rPr>
          <w:rFonts w:ascii="Arial" w:hAnsi="Arial" w:cs="Arial"/>
        </w:rPr>
        <w:t>13.</w:t>
      </w:r>
      <w:r w:rsidR="005A5C91">
        <w:rPr>
          <w:rFonts w:ascii="Arial" w:hAnsi="Arial" w:cs="Arial"/>
        </w:rPr>
        <w:t xml:space="preserve"> </w:t>
      </w:r>
      <w:r w:rsidRPr="00FE2A9A">
        <w:rPr>
          <w:rFonts w:ascii="Arial" w:hAnsi="Arial" w:cs="Arial"/>
        </w:rPr>
        <w:t xml:space="preserve">Where an applicant contacts the Licensing team before making an application, to ascertain the likelihood of the success of that application, the authority is expected to provide informal advice, for example, the conditions surrounding an application, the information required to be submitted and general guidance on making the application. There is further guidance relating to this in the fit and proper person determination policy. </w:t>
      </w:r>
    </w:p>
    <w:p w14:paraId="4F7D0B8B" w14:textId="77777777" w:rsidR="00E51220" w:rsidRDefault="00E51220" w:rsidP="00E51220">
      <w:pPr>
        <w:spacing w:after="0" w:line="240" w:lineRule="auto"/>
        <w:ind w:left="1701" w:hanging="261"/>
        <w:rPr>
          <w:rFonts w:ascii="Arial" w:hAnsi="Arial" w:cs="Arial"/>
        </w:rPr>
      </w:pPr>
    </w:p>
    <w:p w14:paraId="314808AE" w14:textId="44B74D78" w:rsidR="00E51220" w:rsidRDefault="00FE2A9A" w:rsidP="005A5C91">
      <w:pPr>
        <w:spacing w:after="0" w:line="240" w:lineRule="auto"/>
        <w:ind w:left="1843" w:hanging="403"/>
        <w:rPr>
          <w:rFonts w:ascii="Arial" w:hAnsi="Arial" w:cs="Arial"/>
        </w:rPr>
      </w:pPr>
      <w:r w:rsidRPr="00FE2A9A">
        <w:rPr>
          <w:rFonts w:ascii="Arial" w:hAnsi="Arial" w:cs="Arial"/>
        </w:rPr>
        <w:t>14.</w:t>
      </w:r>
      <w:r w:rsidR="005A5C91">
        <w:rPr>
          <w:rFonts w:ascii="Arial" w:hAnsi="Arial" w:cs="Arial"/>
        </w:rPr>
        <w:t xml:space="preserve"> </w:t>
      </w:r>
      <w:r w:rsidRPr="00FE2A9A">
        <w:rPr>
          <w:rFonts w:ascii="Arial" w:hAnsi="Arial" w:cs="Arial"/>
        </w:rPr>
        <w:t>Any preliminary advice the local authority provides is accounted for in the fee and will not be charged separately.</w:t>
      </w:r>
    </w:p>
    <w:p w14:paraId="6E44ECAD" w14:textId="77777777" w:rsidR="00220CCD" w:rsidRDefault="00220CCD" w:rsidP="00220CCD">
      <w:pPr>
        <w:spacing w:after="0" w:line="240" w:lineRule="auto"/>
        <w:ind w:firstLine="720"/>
        <w:rPr>
          <w:rFonts w:ascii="Arial" w:hAnsi="Arial" w:cs="Arial"/>
        </w:rPr>
      </w:pPr>
    </w:p>
    <w:p w14:paraId="4575DA9D" w14:textId="77777777" w:rsidR="00220CCD" w:rsidRDefault="00220CCD" w:rsidP="00220CCD">
      <w:pPr>
        <w:spacing w:after="0" w:line="240" w:lineRule="auto"/>
        <w:ind w:firstLine="720"/>
        <w:rPr>
          <w:rFonts w:ascii="Arial" w:hAnsi="Arial" w:cs="Arial"/>
        </w:rPr>
      </w:pPr>
    </w:p>
    <w:p w14:paraId="2D0E7951" w14:textId="65388C93" w:rsidR="00E51220" w:rsidRPr="00E51220" w:rsidRDefault="00FE2A9A" w:rsidP="00220CCD">
      <w:pPr>
        <w:spacing w:after="0" w:line="240" w:lineRule="auto"/>
        <w:ind w:firstLine="720"/>
        <w:rPr>
          <w:rFonts w:ascii="Arial" w:hAnsi="Arial" w:cs="Arial"/>
          <w:b/>
          <w:bCs/>
        </w:rPr>
      </w:pPr>
      <w:r w:rsidRPr="00E51220">
        <w:rPr>
          <w:rFonts w:ascii="Arial" w:hAnsi="Arial" w:cs="Arial"/>
          <w:b/>
          <w:bCs/>
        </w:rPr>
        <w:t xml:space="preserve">Revising Fees </w:t>
      </w:r>
    </w:p>
    <w:p w14:paraId="7C461095" w14:textId="77777777" w:rsidR="00E51220" w:rsidRDefault="00E51220" w:rsidP="00E51220">
      <w:pPr>
        <w:spacing w:after="0" w:line="240" w:lineRule="auto"/>
        <w:ind w:left="1701" w:hanging="261"/>
        <w:rPr>
          <w:rFonts w:ascii="Arial" w:hAnsi="Arial" w:cs="Arial"/>
        </w:rPr>
      </w:pPr>
    </w:p>
    <w:p w14:paraId="729B5E3A" w14:textId="1C561C37" w:rsidR="00E51220" w:rsidRDefault="00FE2A9A" w:rsidP="005A5C91">
      <w:pPr>
        <w:spacing w:after="0" w:line="240" w:lineRule="auto"/>
        <w:ind w:left="1843" w:hanging="403"/>
        <w:rPr>
          <w:rFonts w:ascii="Arial" w:hAnsi="Arial" w:cs="Arial"/>
        </w:rPr>
      </w:pPr>
      <w:r w:rsidRPr="00FE2A9A">
        <w:rPr>
          <w:rFonts w:ascii="Arial" w:hAnsi="Arial" w:cs="Arial"/>
        </w:rPr>
        <w:t>15.</w:t>
      </w:r>
      <w:r w:rsidR="005A5C91">
        <w:rPr>
          <w:rFonts w:ascii="Arial" w:hAnsi="Arial" w:cs="Arial"/>
        </w:rPr>
        <w:t xml:space="preserve"> </w:t>
      </w:r>
      <w:r w:rsidR="00E51220">
        <w:rPr>
          <w:rFonts w:ascii="Arial" w:hAnsi="Arial" w:cs="Arial"/>
        </w:rPr>
        <w:t>Torbay Council</w:t>
      </w:r>
      <w:r w:rsidRPr="00FE2A9A">
        <w:rPr>
          <w:rFonts w:ascii="Arial" w:hAnsi="Arial" w:cs="Arial"/>
        </w:rPr>
        <w:t xml:space="preserve"> will review this fee policy after 12 months and will publish the revised policy. Any changes will be justifiable and reasonable, ensuring full transparency for the site owners. </w:t>
      </w:r>
    </w:p>
    <w:p w14:paraId="79DB6A0B" w14:textId="77777777" w:rsidR="00E51220" w:rsidRDefault="00E51220" w:rsidP="00E51220">
      <w:pPr>
        <w:spacing w:after="0" w:line="240" w:lineRule="auto"/>
        <w:ind w:left="1701" w:hanging="261"/>
        <w:rPr>
          <w:rFonts w:ascii="Arial" w:hAnsi="Arial" w:cs="Arial"/>
        </w:rPr>
      </w:pPr>
    </w:p>
    <w:p w14:paraId="6D81805C" w14:textId="24E07136" w:rsidR="00E51220" w:rsidRDefault="00FE2A9A" w:rsidP="005A5C91">
      <w:pPr>
        <w:spacing w:after="0" w:line="240" w:lineRule="auto"/>
        <w:ind w:left="1843" w:hanging="403"/>
        <w:rPr>
          <w:rFonts w:ascii="Arial" w:hAnsi="Arial" w:cs="Arial"/>
        </w:rPr>
      </w:pPr>
      <w:r w:rsidRPr="00FE2A9A">
        <w:rPr>
          <w:rFonts w:ascii="Arial" w:hAnsi="Arial" w:cs="Arial"/>
        </w:rPr>
        <w:lastRenderedPageBreak/>
        <w:t>16.</w:t>
      </w:r>
      <w:r w:rsidR="005A5C91">
        <w:rPr>
          <w:rFonts w:ascii="Arial" w:hAnsi="Arial" w:cs="Arial"/>
        </w:rPr>
        <w:t xml:space="preserve"> </w:t>
      </w:r>
      <w:r w:rsidRPr="00FE2A9A">
        <w:rPr>
          <w:rFonts w:ascii="Arial" w:hAnsi="Arial" w:cs="Arial"/>
        </w:rPr>
        <w:t xml:space="preserve">The purpose of publishing the fee policy is to show that the fees imposed by the local authority are fair and transparent so that anyone required to pay a fee can understand the charges. </w:t>
      </w:r>
    </w:p>
    <w:p w14:paraId="0F110DB2" w14:textId="77777777" w:rsidR="00220CCD" w:rsidRDefault="00220CCD" w:rsidP="00220CCD">
      <w:pPr>
        <w:spacing w:after="0" w:line="240" w:lineRule="auto"/>
        <w:ind w:firstLine="720"/>
        <w:rPr>
          <w:rFonts w:ascii="Arial" w:hAnsi="Arial" w:cs="Arial"/>
        </w:rPr>
      </w:pPr>
    </w:p>
    <w:p w14:paraId="71A188F5" w14:textId="77777777" w:rsidR="00220CCD" w:rsidRDefault="00220CCD" w:rsidP="00220CCD">
      <w:pPr>
        <w:spacing w:after="0" w:line="240" w:lineRule="auto"/>
        <w:ind w:firstLine="720"/>
        <w:rPr>
          <w:rFonts w:ascii="Arial" w:hAnsi="Arial" w:cs="Arial"/>
        </w:rPr>
      </w:pPr>
    </w:p>
    <w:p w14:paraId="40C3E35F" w14:textId="1C472D4C" w:rsidR="00E51220" w:rsidRPr="00E51220" w:rsidRDefault="00FE2A9A" w:rsidP="00220CCD">
      <w:pPr>
        <w:spacing w:after="0" w:line="240" w:lineRule="auto"/>
        <w:ind w:firstLine="720"/>
        <w:rPr>
          <w:rFonts w:ascii="Arial" w:hAnsi="Arial" w:cs="Arial"/>
          <w:b/>
          <w:bCs/>
        </w:rPr>
      </w:pPr>
      <w:r w:rsidRPr="00E51220">
        <w:rPr>
          <w:rFonts w:ascii="Arial" w:hAnsi="Arial" w:cs="Arial"/>
          <w:b/>
          <w:bCs/>
        </w:rPr>
        <w:t xml:space="preserve">Amending conditions attached to an entry on a register </w:t>
      </w:r>
    </w:p>
    <w:p w14:paraId="4BBF6837" w14:textId="77777777" w:rsidR="00E51220" w:rsidRDefault="00E51220" w:rsidP="00E51220">
      <w:pPr>
        <w:spacing w:after="0" w:line="240" w:lineRule="auto"/>
        <w:ind w:left="1701" w:hanging="261"/>
        <w:rPr>
          <w:rFonts w:ascii="Arial" w:hAnsi="Arial" w:cs="Arial"/>
        </w:rPr>
      </w:pPr>
    </w:p>
    <w:p w14:paraId="76FAF591" w14:textId="00BBC93C" w:rsidR="00E51220" w:rsidRDefault="00FE2A9A" w:rsidP="005A5C91">
      <w:pPr>
        <w:spacing w:after="0" w:line="240" w:lineRule="auto"/>
        <w:ind w:left="1843" w:hanging="403"/>
        <w:rPr>
          <w:rFonts w:ascii="Arial" w:hAnsi="Arial" w:cs="Arial"/>
        </w:rPr>
      </w:pPr>
      <w:r w:rsidRPr="00FE2A9A">
        <w:rPr>
          <w:rFonts w:ascii="Arial" w:hAnsi="Arial" w:cs="Arial"/>
        </w:rPr>
        <w:t>17.</w:t>
      </w:r>
      <w:r w:rsidR="005A5C91">
        <w:rPr>
          <w:rFonts w:ascii="Arial" w:hAnsi="Arial" w:cs="Arial"/>
        </w:rPr>
        <w:t xml:space="preserve"> </w:t>
      </w:r>
      <w:r w:rsidR="00E51220">
        <w:rPr>
          <w:rFonts w:ascii="Arial" w:hAnsi="Arial" w:cs="Arial"/>
        </w:rPr>
        <w:t>Torbay Council</w:t>
      </w:r>
      <w:r w:rsidRPr="00FE2A9A">
        <w:rPr>
          <w:rFonts w:ascii="Arial" w:hAnsi="Arial" w:cs="Arial"/>
        </w:rPr>
        <w:t xml:space="preserve"> may alter the conditions attached to an entry on a register (by adding new conditions or changing or deleting existing ones), following a review. Officers must notify the site owner of its interim decision (except in the case where it is deleting a condition) and consider any representations made by the site owner, before reaching a final decision. If the site owner is unhappy with the decision to alter, or not alter, the conditions, they will have a right of appeal to the First-tier Tribunal (Property Chamber). </w:t>
      </w:r>
    </w:p>
    <w:p w14:paraId="1A6AA30A" w14:textId="77777777" w:rsidR="00E51220" w:rsidRDefault="00E51220" w:rsidP="00E51220">
      <w:pPr>
        <w:spacing w:after="0" w:line="240" w:lineRule="auto"/>
        <w:ind w:left="1701" w:hanging="261"/>
        <w:rPr>
          <w:rFonts w:ascii="Arial" w:hAnsi="Arial" w:cs="Arial"/>
        </w:rPr>
      </w:pPr>
    </w:p>
    <w:p w14:paraId="202A225B" w14:textId="44D3832A" w:rsidR="00E51220" w:rsidRDefault="00FE2A9A" w:rsidP="005A5C91">
      <w:pPr>
        <w:spacing w:after="0" w:line="240" w:lineRule="auto"/>
        <w:ind w:left="1843" w:hanging="403"/>
        <w:rPr>
          <w:rFonts w:ascii="Arial" w:hAnsi="Arial" w:cs="Arial"/>
        </w:rPr>
      </w:pPr>
      <w:r w:rsidRPr="00FE2A9A">
        <w:rPr>
          <w:rFonts w:ascii="Arial" w:hAnsi="Arial" w:cs="Arial"/>
        </w:rPr>
        <w:t>18.</w:t>
      </w:r>
      <w:r w:rsidR="005A5C91">
        <w:rPr>
          <w:rFonts w:ascii="Arial" w:hAnsi="Arial" w:cs="Arial"/>
        </w:rPr>
        <w:t xml:space="preserve"> </w:t>
      </w:r>
      <w:r w:rsidRPr="00FE2A9A">
        <w:rPr>
          <w:rFonts w:ascii="Arial" w:hAnsi="Arial" w:cs="Arial"/>
        </w:rPr>
        <w:t xml:space="preserve">There are no requirements for a site owner to make an application for a condition to be altered. Any costs involved with amending existing conditions, or adding new conditions to an entry, are factored into the application cost. </w:t>
      </w:r>
    </w:p>
    <w:p w14:paraId="4F111FFF" w14:textId="77777777" w:rsidR="00220CCD" w:rsidRDefault="00220CCD" w:rsidP="00220CCD">
      <w:pPr>
        <w:spacing w:after="0" w:line="240" w:lineRule="auto"/>
        <w:ind w:firstLine="720"/>
        <w:rPr>
          <w:rFonts w:ascii="Arial" w:hAnsi="Arial" w:cs="Arial"/>
        </w:rPr>
      </w:pPr>
    </w:p>
    <w:p w14:paraId="6C1DCCF2" w14:textId="77777777" w:rsidR="00220CCD" w:rsidRDefault="00220CCD" w:rsidP="00220CCD">
      <w:pPr>
        <w:spacing w:after="0" w:line="240" w:lineRule="auto"/>
        <w:ind w:firstLine="720"/>
        <w:rPr>
          <w:rFonts w:ascii="Arial" w:hAnsi="Arial" w:cs="Arial"/>
        </w:rPr>
      </w:pPr>
    </w:p>
    <w:p w14:paraId="3AB4CF67" w14:textId="5F055F17" w:rsidR="00E51220" w:rsidRPr="00E51220" w:rsidRDefault="00FE2A9A" w:rsidP="00220CCD">
      <w:pPr>
        <w:spacing w:after="0" w:line="240" w:lineRule="auto"/>
        <w:ind w:firstLine="720"/>
        <w:rPr>
          <w:rFonts w:ascii="Arial" w:hAnsi="Arial" w:cs="Arial"/>
          <w:b/>
          <w:bCs/>
        </w:rPr>
      </w:pPr>
      <w:r w:rsidRPr="00E51220">
        <w:rPr>
          <w:rFonts w:ascii="Arial" w:hAnsi="Arial" w:cs="Arial"/>
          <w:b/>
          <w:bCs/>
        </w:rPr>
        <w:t xml:space="preserve">Payment of fees </w:t>
      </w:r>
    </w:p>
    <w:p w14:paraId="2A1FC2A1" w14:textId="77777777" w:rsidR="00E51220" w:rsidRDefault="00E51220" w:rsidP="00E51220">
      <w:pPr>
        <w:spacing w:after="0" w:line="240" w:lineRule="auto"/>
        <w:ind w:left="1701" w:hanging="261"/>
        <w:rPr>
          <w:rFonts w:ascii="Arial" w:hAnsi="Arial" w:cs="Arial"/>
        </w:rPr>
      </w:pPr>
    </w:p>
    <w:p w14:paraId="47B951CB" w14:textId="21AEFABA" w:rsidR="00E51220" w:rsidRDefault="00FE2A9A" w:rsidP="005A5C91">
      <w:pPr>
        <w:spacing w:after="0" w:line="240" w:lineRule="auto"/>
        <w:ind w:left="1843" w:hanging="403"/>
        <w:rPr>
          <w:rFonts w:ascii="Arial" w:hAnsi="Arial" w:cs="Arial"/>
        </w:rPr>
      </w:pPr>
      <w:r w:rsidRPr="00FE2A9A">
        <w:rPr>
          <w:rFonts w:ascii="Arial" w:hAnsi="Arial" w:cs="Arial"/>
        </w:rPr>
        <w:t>19.</w:t>
      </w:r>
      <w:r w:rsidR="005A5C91">
        <w:rPr>
          <w:rFonts w:ascii="Arial" w:hAnsi="Arial" w:cs="Arial"/>
        </w:rPr>
        <w:t xml:space="preserve"> </w:t>
      </w:r>
      <w:r w:rsidRPr="00FE2A9A">
        <w:rPr>
          <w:rFonts w:ascii="Arial" w:hAnsi="Arial" w:cs="Arial"/>
        </w:rPr>
        <w:t xml:space="preserve">As outlined above in paragraph 4, </w:t>
      </w:r>
      <w:r w:rsidR="00E51220">
        <w:rPr>
          <w:rFonts w:ascii="Arial" w:hAnsi="Arial" w:cs="Arial"/>
        </w:rPr>
        <w:t>Torbay Council</w:t>
      </w:r>
      <w:r w:rsidRPr="00FE2A9A">
        <w:rPr>
          <w:rFonts w:ascii="Arial" w:hAnsi="Arial" w:cs="Arial"/>
        </w:rPr>
        <w:t xml:space="preserve"> is not required to consider an application for entry on the register unless that application is accompanied by the correct fee. If the correct fee is not paid, the application will not be </w:t>
      </w:r>
      <w:proofErr w:type="gramStart"/>
      <w:r w:rsidRPr="00FE2A9A">
        <w:rPr>
          <w:rFonts w:ascii="Arial" w:hAnsi="Arial" w:cs="Arial"/>
        </w:rPr>
        <w:t>valid</w:t>
      </w:r>
      <w:proofErr w:type="gramEnd"/>
      <w:r w:rsidRPr="00FE2A9A">
        <w:rPr>
          <w:rFonts w:ascii="Arial" w:hAnsi="Arial" w:cs="Arial"/>
        </w:rPr>
        <w:t xml:space="preserve"> and the site owner could be in breach of the Regulations. </w:t>
      </w:r>
    </w:p>
    <w:p w14:paraId="794F74AA" w14:textId="77777777" w:rsidR="00E51220" w:rsidRDefault="00E51220" w:rsidP="00E51220">
      <w:pPr>
        <w:spacing w:after="0" w:line="240" w:lineRule="auto"/>
        <w:ind w:left="1701" w:hanging="261"/>
        <w:rPr>
          <w:rFonts w:ascii="Arial" w:hAnsi="Arial" w:cs="Arial"/>
        </w:rPr>
      </w:pPr>
    </w:p>
    <w:p w14:paraId="49BB5AF5" w14:textId="22B31B11" w:rsidR="00E51220" w:rsidRDefault="00FE2A9A" w:rsidP="005A5C91">
      <w:pPr>
        <w:spacing w:after="0" w:line="240" w:lineRule="auto"/>
        <w:ind w:left="1843" w:hanging="403"/>
        <w:rPr>
          <w:rFonts w:ascii="Arial" w:hAnsi="Arial" w:cs="Arial"/>
        </w:rPr>
      </w:pPr>
      <w:r w:rsidRPr="00FE2A9A">
        <w:rPr>
          <w:rFonts w:ascii="Arial" w:hAnsi="Arial" w:cs="Arial"/>
        </w:rPr>
        <w:t>20.</w:t>
      </w:r>
      <w:r w:rsidR="005A5C91">
        <w:rPr>
          <w:rFonts w:ascii="Arial" w:hAnsi="Arial" w:cs="Arial"/>
        </w:rPr>
        <w:t xml:space="preserve"> </w:t>
      </w:r>
      <w:r w:rsidRPr="00FE2A9A">
        <w:rPr>
          <w:rFonts w:ascii="Arial" w:hAnsi="Arial" w:cs="Arial"/>
        </w:rPr>
        <w:t xml:space="preserve">If </w:t>
      </w:r>
      <w:r w:rsidR="00E51220">
        <w:rPr>
          <w:rFonts w:ascii="Arial" w:hAnsi="Arial" w:cs="Arial"/>
        </w:rPr>
        <w:t>Torbay Council</w:t>
      </w:r>
      <w:r w:rsidRPr="00FE2A9A">
        <w:rPr>
          <w:rFonts w:ascii="Arial" w:hAnsi="Arial" w:cs="Arial"/>
        </w:rPr>
        <w:t xml:space="preserve"> decides not to approve an application the applicant is not entitled to a refund of the fee paid. </w:t>
      </w:r>
    </w:p>
    <w:p w14:paraId="5F41BC69" w14:textId="77777777" w:rsidR="00220CCD" w:rsidRDefault="00220CCD" w:rsidP="00220CCD">
      <w:pPr>
        <w:spacing w:after="0" w:line="240" w:lineRule="auto"/>
        <w:ind w:firstLine="720"/>
        <w:rPr>
          <w:rFonts w:ascii="Arial" w:hAnsi="Arial" w:cs="Arial"/>
        </w:rPr>
      </w:pPr>
    </w:p>
    <w:p w14:paraId="4B6E5773" w14:textId="77777777" w:rsidR="00220CCD" w:rsidRDefault="00220CCD" w:rsidP="00220CCD">
      <w:pPr>
        <w:spacing w:after="0" w:line="240" w:lineRule="auto"/>
        <w:ind w:firstLine="720"/>
        <w:rPr>
          <w:rFonts w:ascii="Arial" w:hAnsi="Arial" w:cs="Arial"/>
        </w:rPr>
      </w:pPr>
    </w:p>
    <w:p w14:paraId="3010F0C4" w14:textId="77E5F17E" w:rsidR="00E51220" w:rsidRPr="00E51220" w:rsidRDefault="00FE2A9A" w:rsidP="00220CCD">
      <w:pPr>
        <w:spacing w:after="0" w:line="240" w:lineRule="auto"/>
        <w:ind w:firstLine="720"/>
        <w:rPr>
          <w:rFonts w:ascii="Arial" w:hAnsi="Arial" w:cs="Arial"/>
          <w:b/>
          <w:bCs/>
        </w:rPr>
      </w:pPr>
      <w:r w:rsidRPr="00E51220">
        <w:rPr>
          <w:rFonts w:ascii="Arial" w:hAnsi="Arial" w:cs="Arial"/>
          <w:b/>
          <w:bCs/>
        </w:rPr>
        <w:t xml:space="preserve">An appointed manager </w:t>
      </w:r>
      <w:proofErr w:type="gramStart"/>
      <w:r w:rsidRPr="00E51220">
        <w:rPr>
          <w:rFonts w:ascii="Arial" w:hAnsi="Arial" w:cs="Arial"/>
          <w:b/>
          <w:bCs/>
        </w:rPr>
        <w:t>fee</w:t>
      </w:r>
      <w:proofErr w:type="gramEnd"/>
      <w:r w:rsidRPr="00E51220">
        <w:rPr>
          <w:rFonts w:ascii="Arial" w:hAnsi="Arial" w:cs="Arial"/>
          <w:b/>
          <w:bCs/>
        </w:rPr>
        <w:t xml:space="preserve"> </w:t>
      </w:r>
    </w:p>
    <w:p w14:paraId="0B3B14FA" w14:textId="77777777" w:rsidR="00E51220" w:rsidRDefault="00E51220" w:rsidP="00E51220">
      <w:pPr>
        <w:spacing w:after="0" w:line="240" w:lineRule="auto"/>
        <w:ind w:left="1701" w:hanging="261"/>
        <w:rPr>
          <w:rFonts w:ascii="Arial" w:hAnsi="Arial" w:cs="Arial"/>
        </w:rPr>
      </w:pPr>
    </w:p>
    <w:p w14:paraId="647C00EF" w14:textId="57A46BEC" w:rsidR="00E51220" w:rsidRDefault="00FE2A9A" w:rsidP="005A5C91">
      <w:pPr>
        <w:spacing w:after="0" w:line="240" w:lineRule="auto"/>
        <w:ind w:left="1843" w:hanging="403"/>
        <w:rPr>
          <w:rFonts w:ascii="Arial" w:hAnsi="Arial" w:cs="Arial"/>
        </w:rPr>
      </w:pPr>
      <w:r w:rsidRPr="00FE2A9A">
        <w:rPr>
          <w:rFonts w:ascii="Arial" w:hAnsi="Arial" w:cs="Arial"/>
        </w:rPr>
        <w:t>21.</w:t>
      </w:r>
      <w:r w:rsidR="005A5C91">
        <w:rPr>
          <w:rFonts w:ascii="Arial" w:hAnsi="Arial" w:cs="Arial"/>
        </w:rPr>
        <w:t xml:space="preserve"> </w:t>
      </w:r>
      <w:r w:rsidRPr="00FE2A9A">
        <w:rPr>
          <w:rFonts w:ascii="Arial" w:hAnsi="Arial" w:cs="Arial"/>
        </w:rPr>
        <w:t xml:space="preserve">This is where the local authority is provided with the site owner’s consent to appoint an individual to manage a site. The costs associated with this should be reasonable and are recoverable from the site owner. These fall outside the application process. </w:t>
      </w:r>
    </w:p>
    <w:p w14:paraId="2763424F" w14:textId="77777777" w:rsidR="00E51220" w:rsidRDefault="00E51220" w:rsidP="00E51220">
      <w:pPr>
        <w:spacing w:after="0" w:line="240" w:lineRule="auto"/>
        <w:ind w:left="1701" w:hanging="261"/>
        <w:rPr>
          <w:rFonts w:ascii="Arial" w:hAnsi="Arial" w:cs="Arial"/>
        </w:rPr>
      </w:pPr>
    </w:p>
    <w:p w14:paraId="08DF0A58" w14:textId="631DA72C" w:rsidR="00E51220" w:rsidRDefault="00FE2A9A" w:rsidP="005A5C91">
      <w:pPr>
        <w:spacing w:after="0" w:line="240" w:lineRule="auto"/>
        <w:ind w:left="1843" w:hanging="403"/>
        <w:rPr>
          <w:rFonts w:ascii="Arial" w:hAnsi="Arial" w:cs="Arial"/>
        </w:rPr>
      </w:pPr>
      <w:r w:rsidRPr="00FE2A9A">
        <w:rPr>
          <w:rFonts w:ascii="Arial" w:hAnsi="Arial" w:cs="Arial"/>
        </w:rPr>
        <w:t>22.</w:t>
      </w:r>
      <w:r w:rsidR="005A5C91">
        <w:rPr>
          <w:rFonts w:ascii="Arial" w:hAnsi="Arial" w:cs="Arial"/>
        </w:rPr>
        <w:t xml:space="preserve"> </w:t>
      </w:r>
      <w:r w:rsidRPr="00FE2A9A">
        <w:rPr>
          <w:rFonts w:ascii="Arial" w:hAnsi="Arial" w:cs="Arial"/>
        </w:rPr>
        <w:t xml:space="preserve">Costs that can be recovered will depend on the agreement made between </w:t>
      </w:r>
      <w:r w:rsidR="00E51220">
        <w:rPr>
          <w:rFonts w:ascii="Arial" w:hAnsi="Arial" w:cs="Arial"/>
        </w:rPr>
        <w:t xml:space="preserve">Torbay </w:t>
      </w:r>
      <w:r w:rsidRPr="00FE2A9A">
        <w:rPr>
          <w:rFonts w:ascii="Arial" w:hAnsi="Arial" w:cs="Arial"/>
        </w:rPr>
        <w:t>Council and the site owner. Before entering into any discussions or agreements relating to the appointment of the manager, advice will be sought from the legal team.</w:t>
      </w:r>
    </w:p>
    <w:p w14:paraId="03A33F5F" w14:textId="28C2C0B5" w:rsidR="00220CCD" w:rsidRDefault="00220CCD" w:rsidP="005A5C91">
      <w:pPr>
        <w:spacing w:after="0" w:line="240" w:lineRule="auto"/>
        <w:ind w:left="1843" w:hanging="403"/>
        <w:rPr>
          <w:rFonts w:ascii="Arial" w:hAnsi="Arial" w:cs="Arial"/>
        </w:rPr>
      </w:pPr>
    </w:p>
    <w:p w14:paraId="5267A523" w14:textId="6D371132" w:rsidR="00220CCD" w:rsidRDefault="00220CCD" w:rsidP="005A5C91">
      <w:pPr>
        <w:spacing w:after="0" w:line="240" w:lineRule="auto"/>
        <w:ind w:left="1843" w:hanging="403"/>
        <w:rPr>
          <w:rFonts w:ascii="Arial" w:hAnsi="Arial" w:cs="Arial"/>
        </w:rPr>
      </w:pPr>
    </w:p>
    <w:p w14:paraId="749B9110" w14:textId="0F191438" w:rsidR="00220CCD" w:rsidRDefault="00220CCD" w:rsidP="005A5C91">
      <w:pPr>
        <w:spacing w:after="0" w:line="240" w:lineRule="auto"/>
        <w:ind w:left="1843" w:hanging="403"/>
        <w:rPr>
          <w:rFonts w:ascii="Arial" w:hAnsi="Arial" w:cs="Arial"/>
        </w:rPr>
      </w:pPr>
    </w:p>
    <w:p w14:paraId="50295021" w14:textId="5BF3ED22" w:rsidR="00220CCD" w:rsidRDefault="00220CCD" w:rsidP="005A5C91">
      <w:pPr>
        <w:spacing w:after="0" w:line="240" w:lineRule="auto"/>
        <w:ind w:left="1843" w:hanging="403"/>
        <w:rPr>
          <w:rFonts w:ascii="Arial" w:hAnsi="Arial" w:cs="Arial"/>
        </w:rPr>
      </w:pPr>
    </w:p>
    <w:p w14:paraId="37DD27D0" w14:textId="3A4D3712" w:rsidR="00220CCD" w:rsidRDefault="00220CCD" w:rsidP="005A5C91">
      <w:pPr>
        <w:spacing w:after="0" w:line="240" w:lineRule="auto"/>
        <w:ind w:left="1843" w:hanging="403"/>
        <w:rPr>
          <w:rFonts w:ascii="Arial" w:hAnsi="Arial" w:cs="Arial"/>
        </w:rPr>
      </w:pPr>
    </w:p>
    <w:p w14:paraId="3F468595" w14:textId="0F7F6904" w:rsidR="00220CCD" w:rsidRDefault="00220CCD" w:rsidP="005A5C91">
      <w:pPr>
        <w:spacing w:after="0" w:line="240" w:lineRule="auto"/>
        <w:ind w:left="1843" w:hanging="403"/>
        <w:rPr>
          <w:rFonts w:ascii="Arial" w:hAnsi="Arial" w:cs="Arial"/>
        </w:rPr>
      </w:pPr>
    </w:p>
    <w:p w14:paraId="25EC87A9" w14:textId="7E1D23A0" w:rsidR="00220CCD" w:rsidRDefault="00220CCD" w:rsidP="005A5C91">
      <w:pPr>
        <w:spacing w:after="0" w:line="240" w:lineRule="auto"/>
        <w:ind w:left="1843" w:hanging="403"/>
        <w:rPr>
          <w:rFonts w:ascii="Arial" w:hAnsi="Arial" w:cs="Arial"/>
        </w:rPr>
      </w:pPr>
    </w:p>
    <w:p w14:paraId="3EECAB09" w14:textId="186A4021" w:rsidR="00220CCD" w:rsidRDefault="00220CCD" w:rsidP="005A5C91">
      <w:pPr>
        <w:spacing w:after="0" w:line="240" w:lineRule="auto"/>
        <w:ind w:left="1843" w:hanging="403"/>
        <w:rPr>
          <w:rFonts w:ascii="Arial" w:hAnsi="Arial" w:cs="Arial"/>
        </w:rPr>
      </w:pPr>
    </w:p>
    <w:p w14:paraId="3F2AECE2" w14:textId="6CCE6B19" w:rsidR="00220CCD" w:rsidRDefault="00220CCD" w:rsidP="005A5C91">
      <w:pPr>
        <w:spacing w:after="0" w:line="240" w:lineRule="auto"/>
        <w:ind w:left="1843" w:hanging="403"/>
        <w:rPr>
          <w:rFonts w:ascii="Arial" w:hAnsi="Arial" w:cs="Arial"/>
        </w:rPr>
      </w:pPr>
    </w:p>
    <w:p w14:paraId="45EF857C" w14:textId="10E0B300" w:rsidR="00220CCD" w:rsidRDefault="00220CCD" w:rsidP="005A5C91">
      <w:pPr>
        <w:spacing w:after="0" w:line="240" w:lineRule="auto"/>
        <w:ind w:left="1843" w:hanging="403"/>
        <w:rPr>
          <w:rFonts w:ascii="Arial" w:hAnsi="Arial" w:cs="Arial"/>
        </w:rPr>
      </w:pPr>
    </w:p>
    <w:p w14:paraId="173FCF62" w14:textId="77777777" w:rsidR="00220CCD" w:rsidRDefault="00220CCD" w:rsidP="005A5C91">
      <w:pPr>
        <w:spacing w:after="0" w:line="240" w:lineRule="auto"/>
        <w:ind w:left="1843" w:hanging="403"/>
        <w:rPr>
          <w:rFonts w:ascii="Arial" w:hAnsi="Arial" w:cs="Arial"/>
        </w:rPr>
      </w:pPr>
    </w:p>
    <w:p w14:paraId="681119F3" w14:textId="77777777" w:rsidR="00E51220" w:rsidRDefault="00E51220" w:rsidP="00E51220">
      <w:pPr>
        <w:spacing w:after="0" w:line="240" w:lineRule="auto"/>
        <w:ind w:left="1701" w:hanging="261"/>
        <w:rPr>
          <w:rFonts w:ascii="Arial" w:hAnsi="Arial" w:cs="Arial"/>
        </w:rPr>
      </w:pPr>
    </w:p>
    <w:p w14:paraId="22B1ECD5" w14:textId="77777777" w:rsidR="00E51220" w:rsidRPr="00E51220" w:rsidRDefault="00FE2A9A" w:rsidP="00E51220">
      <w:pPr>
        <w:spacing w:after="0" w:line="240" w:lineRule="auto"/>
        <w:rPr>
          <w:rFonts w:ascii="Arial" w:hAnsi="Arial" w:cs="Arial"/>
          <w:b/>
          <w:bCs/>
        </w:rPr>
      </w:pPr>
      <w:r w:rsidRPr="00E51220">
        <w:rPr>
          <w:rFonts w:ascii="Arial" w:hAnsi="Arial" w:cs="Arial"/>
          <w:b/>
          <w:bCs/>
        </w:rPr>
        <w:lastRenderedPageBreak/>
        <w:t xml:space="preserve">Table A </w:t>
      </w:r>
    </w:p>
    <w:p w14:paraId="4A51AC5D" w14:textId="731D7117" w:rsidR="00E51220" w:rsidRDefault="00E51220" w:rsidP="00E51220">
      <w:pPr>
        <w:spacing w:after="0" w:line="240" w:lineRule="auto"/>
        <w:ind w:left="1701"/>
        <w:rPr>
          <w:rFonts w:ascii="Arial" w:hAnsi="Arial" w:cs="Arial"/>
        </w:rPr>
      </w:pPr>
    </w:p>
    <w:tbl>
      <w:tblPr>
        <w:tblStyle w:val="TableGrid"/>
        <w:tblW w:w="0" w:type="auto"/>
        <w:tblInd w:w="-5" w:type="dxa"/>
        <w:tblLook w:val="04A0" w:firstRow="1" w:lastRow="0" w:firstColumn="1" w:lastColumn="0" w:noHBand="0" w:noVBand="1"/>
      </w:tblPr>
      <w:tblGrid>
        <w:gridCol w:w="5529"/>
        <w:gridCol w:w="1559"/>
        <w:gridCol w:w="1242"/>
        <w:gridCol w:w="2131"/>
      </w:tblGrid>
      <w:tr w:rsidR="00E51220" w14:paraId="41131F1C" w14:textId="77777777" w:rsidTr="00177EC2">
        <w:tc>
          <w:tcPr>
            <w:tcW w:w="5529" w:type="dxa"/>
            <w:shd w:val="clear" w:color="auto" w:fill="D9D9D9" w:themeFill="background1" w:themeFillShade="D9"/>
          </w:tcPr>
          <w:p w14:paraId="41FB2F8D" w14:textId="4E52ECAC" w:rsidR="00E51220" w:rsidRPr="00E51220" w:rsidRDefault="00E51220" w:rsidP="00E51220">
            <w:pPr>
              <w:rPr>
                <w:rFonts w:ascii="Arial" w:hAnsi="Arial" w:cs="Arial"/>
                <w:b/>
                <w:bCs/>
              </w:rPr>
            </w:pPr>
            <w:r w:rsidRPr="00E51220">
              <w:rPr>
                <w:rFonts w:ascii="Arial" w:hAnsi="Arial" w:cs="Arial"/>
                <w:b/>
                <w:bCs/>
              </w:rPr>
              <w:t>Costs associated with Fit &amp; Proper person</w:t>
            </w:r>
          </w:p>
        </w:tc>
        <w:tc>
          <w:tcPr>
            <w:tcW w:w="1559" w:type="dxa"/>
            <w:shd w:val="clear" w:color="auto" w:fill="D9D9D9" w:themeFill="background1" w:themeFillShade="D9"/>
          </w:tcPr>
          <w:p w14:paraId="5C5C18DA" w14:textId="11B0535B" w:rsidR="00E51220" w:rsidRPr="00E51220" w:rsidRDefault="0000220F" w:rsidP="00E51220">
            <w:pPr>
              <w:rPr>
                <w:rFonts w:ascii="Arial" w:hAnsi="Arial" w:cs="Arial"/>
                <w:b/>
                <w:bCs/>
              </w:rPr>
            </w:pPr>
            <w:r>
              <w:rPr>
                <w:rFonts w:ascii="Arial" w:hAnsi="Arial" w:cs="Arial"/>
                <w:b/>
                <w:bCs/>
              </w:rPr>
              <w:t>Time</w:t>
            </w:r>
          </w:p>
        </w:tc>
        <w:tc>
          <w:tcPr>
            <w:tcW w:w="1242" w:type="dxa"/>
            <w:shd w:val="clear" w:color="auto" w:fill="D9D9D9" w:themeFill="background1" w:themeFillShade="D9"/>
          </w:tcPr>
          <w:p w14:paraId="54323ADC" w14:textId="69D49BEF" w:rsidR="00E51220" w:rsidRPr="00E51220" w:rsidRDefault="00E51220" w:rsidP="00E51220">
            <w:pPr>
              <w:rPr>
                <w:rFonts w:ascii="Arial" w:hAnsi="Arial" w:cs="Arial"/>
                <w:b/>
                <w:bCs/>
              </w:rPr>
            </w:pPr>
            <w:r w:rsidRPr="00E51220">
              <w:rPr>
                <w:rFonts w:ascii="Arial" w:hAnsi="Arial" w:cs="Arial"/>
                <w:b/>
                <w:bCs/>
              </w:rPr>
              <w:t>Rate</w:t>
            </w:r>
          </w:p>
        </w:tc>
        <w:tc>
          <w:tcPr>
            <w:tcW w:w="2131" w:type="dxa"/>
            <w:shd w:val="clear" w:color="auto" w:fill="D9D9D9" w:themeFill="background1" w:themeFillShade="D9"/>
          </w:tcPr>
          <w:p w14:paraId="2608F7B2" w14:textId="33A46754" w:rsidR="00E51220" w:rsidRPr="00E51220" w:rsidRDefault="00E51220" w:rsidP="00E51220">
            <w:pPr>
              <w:rPr>
                <w:rFonts w:ascii="Arial" w:hAnsi="Arial" w:cs="Arial"/>
                <w:b/>
                <w:bCs/>
              </w:rPr>
            </w:pPr>
            <w:r w:rsidRPr="00E51220">
              <w:rPr>
                <w:rFonts w:ascii="Arial" w:hAnsi="Arial" w:cs="Arial"/>
                <w:b/>
                <w:bCs/>
              </w:rPr>
              <w:t>Total (£)</w:t>
            </w:r>
          </w:p>
        </w:tc>
      </w:tr>
      <w:tr w:rsidR="00E51220" w14:paraId="379E5F60" w14:textId="77777777" w:rsidTr="00E51220">
        <w:tc>
          <w:tcPr>
            <w:tcW w:w="5529" w:type="dxa"/>
          </w:tcPr>
          <w:p w14:paraId="159D5EE6" w14:textId="5138287D" w:rsidR="00E51220" w:rsidRDefault="00177EC2" w:rsidP="00E51220">
            <w:pPr>
              <w:rPr>
                <w:rFonts w:ascii="Arial" w:hAnsi="Arial" w:cs="Arial"/>
              </w:rPr>
            </w:pPr>
            <w:r w:rsidRPr="00177EC2">
              <w:rPr>
                <w:rFonts w:ascii="Arial" w:hAnsi="Arial" w:cs="Arial"/>
              </w:rPr>
              <w:t>Pre application advice</w:t>
            </w:r>
          </w:p>
        </w:tc>
        <w:tc>
          <w:tcPr>
            <w:tcW w:w="1559" w:type="dxa"/>
          </w:tcPr>
          <w:p w14:paraId="514E5C58" w14:textId="20986594" w:rsidR="00E51220" w:rsidRDefault="0000220F" w:rsidP="00E51220">
            <w:pPr>
              <w:rPr>
                <w:rFonts w:ascii="Arial" w:hAnsi="Arial" w:cs="Arial"/>
              </w:rPr>
            </w:pPr>
            <w:r>
              <w:rPr>
                <w:rFonts w:ascii="Arial" w:hAnsi="Arial" w:cs="Arial"/>
              </w:rPr>
              <w:t>15 mins</w:t>
            </w:r>
          </w:p>
        </w:tc>
        <w:tc>
          <w:tcPr>
            <w:tcW w:w="1242" w:type="dxa"/>
          </w:tcPr>
          <w:p w14:paraId="46397E0D" w14:textId="46D7A742" w:rsidR="00E51220" w:rsidRDefault="00220CCD" w:rsidP="00E51220">
            <w:pPr>
              <w:rPr>
                <w:rFonts w:ascii="Arial" w:hAnsi="Arial" w:cs="Arial"/>
              </w:rPr>
            </w:pPr>
            <w:r>
              <w:rPr>
                <w:rFonts w:ascii="Arial" w:hAnsi="Arial" w:cs="Arial"/>
              </w:rPr>
              <w:t>LO</w:t>
            </w:r>
          </w:p>
        </w:tc>
        <w:tc>
          <w:tcPr>
            <w:tcW w:w="2131" w:type="dxa"/>
          </w:tcPr>
          <w:p w14:paraId="26A589A6" w14:textId="614695BD" w:rsidR="00E51220" w:rsidRDefault="0000220F" w:rsidP="00E51220">
            <w:pPr>
              <w:rPr>
                <w:rFonts w:ascii="Arial" w:hAnsi="Arial" w:cs="Arial"/>
              </w:rPr>
            </w:pPr>
            <w:r>
              <w:rPr>
                <w:rFonts w:ascii="Arial" w:hAnsi="Arial" w:cs="Arial"/>
              </w:rPr>
              <w:t>13.75</w:t>
            </w:r>
          </w:p>
        </w:tc>
      </w:tr>
      <w:tr w:rsidR="00E51220" w14:paraId="273E05EE" w14:textId="77777777" w:rsidTr="00E51220">
        <w:tc>
          <w:tcPr>
            <w:tcW w:w="5529" w:type="dxa"/>
          </w:tcPr>
          <w:p w14:paraId="51BDB6F2" w14:textId="3054C0BE" w:rsidR="00E51220" w:rsidRDefault="00177EC2" w:rsidP="00E51220">
            <w:pPr>
              <w:rPr>
                <w:rFonts w:ascii="Arial" w:hAnsi="Arial" w:cs="Arial"/>
              </w:rPr>
            </w:pPr>
            <w:r w:rsidRPr="00177EC2">
              <w:rPr>
                <w:rFonts w:ascii="Arial" w:hAnsi="Arial" w:cs="Arial"/>
              </w:rPr>
              <w:t>Application form received; check it is full and proper application, complete, signed, fee</w:t>
            </w:r>
          </w:p>
        </w:tc>
        <w:tc>
          <w:tcPr>
            <w:tcW w:w="1559" w:type="dxa"/>
          </w:tcPr>
          <w:p w14:paraId="76205048" w14:textId="159672B4" w:rsidR="00E51220" w:rsidRDefault="005512DC" w:rsidP="00E51220">
            <w:pPr>
              <w:rPr>
                <w:rFonts w:ascii="Arial" w:hAnsi="Arial" w:cs="Arial"/>
              </w:rPr>
            </w:pPr>
            <w:r>
              <w:rPr>
                <w:rFonts w:ascii="Arial" w:hAnsi="Arial" w:cs="Arial"/>
              </w:rPr>
              <w:t>10</w:t>
            </w:r>
            <w:r w:rsidR="0000220F">
              <w:rPr>
                <w:rFonts w:ascii="Arial" w:hAnsi="Arial" w:cs="Arial"/>
              </w:rPr>
              <w:t xml:space="preserve"> mins</w:t>
            </w:r>
          </w:p>
        </w:tc>
        <w:tc>
          <w:tcPr>
            <w:tcW w:w="1242" w:type="dxa"/>
          </w:tcPr>
          <w:p w14:paraId="50B4C959" w14:textId="43365349" w:rsidR="00E51220" w:rsidRDefault="00220CCD" w:rsidP="00E51220">
            <w:pPr>
              <w:rPr>
                <w:rFonts w:ascii="Arial" w:hAnsi="Arial" w:cs="Arial"/>
              </w:rPr>
            </w:pPr>
            <w:r>
              <w:rPr>
                <w:rFonts w:ascii="Arial" w:hAnsi="Arial" w:cs="Arial"/>
              </w:rPr>
              <w:t>LO</w:t>
            </w:r>
          </w:p>
        </w:tc>
        <w:tc>
          <w:tcPr>
            <w:tcW w:w="2131" w:type="dxa"/>
          </w:tcPr>
          <w:p w14:paraId="429D4A73" w14:textId="734EAC76" w:rsidR="00E51220" w:rsidRDefault="000952A2" w:rsidP="00E51220">
            <w:pPr>
              <w:rPr>
                <w:rFonts w:ascii="Arial" w:hAnsi="Arial" w:cs="Arial"/>
              </w:rPr>
            </w:pPr>
            <w:r>
              <w:rPr>
                <w:rFonts w:ascii="Arial" w:hAnsi="Arial" w:cs="Arial"/>
              </w:rPr>
              <w:t>9.17</w:t>
            </w:r>
          </w:p>
        </w:tc>
      </w:tr>
      <w:tr w:rsidR="00E51220" w14:paraId="234230F3" w14:textId="77777777" w:rsidTr="00E51220">
        <w:tc>
          <w:tcPr>
            <w:tcW w:w="5529" w:type="dxa"/>
          </w:tcPr>
          <w:p w14:paraId="1176415F" w14:textId="19DB96E7" w:rsidR="00E51220" w:rsidRDefault="00177EC2" w:rsidP="00E51220">
            <w:pPr>
              <w:rPr>
                <w:rFonts w:ascii="Arial" w:hAnsi="Arial" w:cs="Arial"/>
              </w:rPr>
            </w:pPr>
            <w:r w:rsidRPr="00177EC2">
              <w:rPr>
                <w:rFonts w:ascii="Arial" w:hAnsi="Arial" w:cs="Arial"/>
              </w:rPr>
              <w:t>Process the fee and send out receipt to owner</w:t>
            </w:r>
          </w:p>
        </w:tc>
        <w:tc>
          <w:tcPr>
            <w:tcW w:w="1559" w:type="dxa"/>
          </w:tcPr>
          <w:p w14:paraId="00B69F0D" w14:textId="7F8D17FF" w:rsidR="00E51220" w:rsidRDefault="005512DC" w:rsidP="00E51220">
            <w:pPr>
              <w:rPr>
                <w:rFonts w:ascii="Arial" w:hAnsi="Arial" w:cs="Arial"/>
              </w:rPr>
            </w:pPr>
            <w:r>
              <w:rPr>
                <w:rFonts w:ascii="Arial" w:hAnsi="Arial" w:cs="Arial"/>
              </w:rPr>
              <w:t>5</w:t>
            </w:r>
            <w:r w:rsidR="0000220F">
              <w:rPr>
                <w:rFonts w:ascii="Arial" w:hAnsi="Arial" w:cs="Arial"/>
              </w:rPr>
              <w:t xml:space="preserve"> mins</w:t>
            </w:r>
          </w:p>
        </w:tc>
        <w:tc>
          <w:tcPr>
            <w:tcW w:w="1242" w:type="dxa"/>
          </w:tcPr>
          <w:p w14:paraId="79005869" w14:textId="345131D8" w:rsidR="00E51220" w:rsidRDefault="00220CCD" w:rsidP="00E51220">
            <w:pPr>
              <w:rPr>
                <w:rFonts w:ascii="Arial" w:hAnsi="Arial" w:cs="Arial"/>
              </w:rPr>
            </w:pPr>
            <w:r>
              <w:rPr>
                <w:rFonts w:ascii="Arial" w:hAnsi="Arial" w:cs="Arial"/>
              </w:rPr>
              <w:t>ADMIN</w:t>
            </w:r>
          </w:p>
        </w:tc>
        <w:tc>
          <w:tcPr>
            <w:tcW w:w="2131" w:type="dxa"/>
          </w:tcPr>
          <w:p w14:paraId="1D4CB82C" w14:textId="7007F56A" w:rsidR="00E51220" w:rsidRDefault="005512DC" w:rsidP="00E51220">
            <w:pPr>
              <w:rPr>
                <w:rFonts w:ascii="Arial" w:hAnsi="Arial" w:cs="Arial"/>
              </w:rPr>
            </w:pPr>
            <w:r>
              <w:rPr>
                <w:rFonts w:ascii="Arial" w:hAnsi="Arial" w:cs="Arial"/>
              </w:rPr>
              <w:t>3.67</w:t>
            </w:r>
          </w:p>
        </w:tc>
      </w:tr>
      <w:tr w:rsidR="00E51220" w14:paraId="0BBC7C69" w14:textId="77777777" w:rsidTr="00E51220">
        <w:tc>
          <w:tcPr>
            <w:tcW w:w="5529" w:type="dxa"/>
          </w:tcPr>
          <w:p w14:paraId="3D5CA043" w14:textId="04D12807" w:rsidR="00E51220" w:rsidRDefault="00177EC2" w:rsidP="00E51220">
            <w:pPr>
              <w:rPr>
                <w:rFonts w:ascii="Arial" w:hAnsi="Arial" w:cs="Arial"/>
              </w:rPr>
            </w:pPr>
            <w:r w:rsidRPr="00177EC2">
              <w:rPr>
                <w:rFonts w:ascii="Arial" w:hAnsi="Arial" w:cs="Arial"/>
              </w:rPr>
              <w:t>Enter details on flare</w:t>
            </w:r>
          </w:p>
        </w:tc>
        <w:tc>
          <w:tcPr>
            <w:tcW w:w="1559" w:type="dxa"/>
          </w:tcPr>
          <w:p w14:paraId="257CF6D8" w14:textId="0906F097" w:rsidR="00E51220" w:rsidRDefault="0000220F" w:rsidP="00E51220">
            <w:pPr>
              <w:rPr>
                <w:rFonts w:ascii="Arial" w:hAnsi="Arial" w:cs="Arial"/>
              </w:rPr>
            </w:pPr>
            <w:r>
              <w:rPr>
                <w:rFonts w:ascii="Arial" w:hAnsi="Arial" w:cs="Arial"/>
              </w:rPr>
              <w:t>10 mins</w:t>
            </w:r>
          </w:p>
        </w:tc>
        <w:tc>
          <w:tcPr>
            <w:tcW w:w="1242" w:type="dxa"/>
          </w:tcPr>
          <w:p w14:paraId="46168167" w14:textId="1DB1AA05" w:rsidR="00E51220" w:rsidRDefault="00220CCD" w:rsidP="00E51220">
            <w:pPr>
              <w:rPr>
                <w:rFonts w:ascii="Arial" w:hAnsi="Arial" w:cs="Arial"/>
              </w:rPr>
            </w:pPr>
            <w:r>
              <w:rPr>
                <w:rFonts w:ascii="Arial" w:hAnsi="Arial" w:cs="Arial"/>
              </w:rPr>
              <w:t>ADMIN</w:t>
            </w:r>
          </w:p>
        </w:tc>
        <w:tc>
          <w:tcPr>
            <w:tcW w:w="2131" w:type="dxa"/>
          </w:tcPr>
          <w:p w14:paraId="686F2A73" w14:textId="00098775" w:rsidR="00E51220" w:rsidRDefault="000952A2" w:rsidP="00E51220">
            <w:pPr>
              <w:rPr>
                <w:rFonts w:ascii="Arial" w:hAnsi="Arial" w:cs="Arial"/>
              </w:rPr>
            </w:pPr>
            <w:r>
              <w:rPr>
                <w:rFonts w:ascii="Arial" w:hAnsi="Arial" w:cs="Arial"/>
              </w:rPr>
              <w:t>7.33</w:t>
            </w:r>
          </w:p>
        </w:tc>
      </w:tr>
      <w:tr w:rsidR="00E51220" w14:paraId="12976D58" w14:textId="77777777" w:rsidTr="00E51220">
        <w:tc>
          <w:tcPr>
            <w:tcW w:w="5529" w:type="dxa"/>
          </w:tcPr>
          <w:p w14:paraId="58FD7A92" w14:textId="061E8AE8" w:rsidR="00E51220" w:rsidRDefault="00177EC2" w:rsidP="00E51220">
            <w:pPr>
              <w:rPr>
                <w:rFonts w:ascii="Arial" w:hAnsi="Arial" w:cs="Arial"/>
              </w:rPr>
            </w:pPr>
            <w:r w:rsidRPr="00177EC2">
              <w:rPr>
                <w:rFonts w:ascii="Arial" w:hAnsi="Arial" w:cs="Arial"/>
              </w:rPr>
              <w:t>Review application and make enquiries re FPP documents and declarations (</w:t>
            </w:r>
            <w:proofErr w:type="spellStart"/>
            <w:r w:rsidRPr="00177EC2">
              <w:rPr>
                <w:rFonts w:ascii="Arial" w:hAnsi="Arial" w:cs="Arial"/>
              </w:rPr>
              <w:t>inc</w:t>
            </w:r>
            <w:proofErr w:type="spellEnd"/>
            <w:r w:rsidRPr="00177EC2">
              <w:rPr>
                <w:rFonts w:ascii="Arial" w:hAnsi="Arial" w:cs="Arial"/>
              </w:rPr>
              <w:t xml:space="preserve"> management &amp; finances)</w:t>
            </w:r>
          </w:p>
        </w:tc>
        <w:tc>
          <w:tcPr>
            <w:tcW w:w="1559" w:type="dxa"/>
          </w:tcPr>
          <w:p w14:paraId="0F54163F" w14:textId="57C47EC3" w:rsidR="00E51220" w:rsidRDefault="0000220F" w:rsidP="00E51220">
            <w:pPr>
              <w:rPr>
                <w:rFonts w:ascii="Arial" w:hAnsi="Arial" w:cs="Arial"/>
              </w:rPr>
            </w:pPr>
            <w:r>
              <w:rPr>
                <w:rFonts w:ascii="Arial" w:hAnsi="Arial" w:cs="Arial"/>
              </w:rPr>
              <w:t xml:space="preserve">1 hour </w:t>
            </w:r>
            <w:r w:rsidR="005512DC">
              <w:rPr>
                <w:rFonts w:ascii="Arial" w:hAnsi="Arial" w:cs="Arial"/>
              </w:rPr>
              <w:t>2</w:t>
            </w:r>
            <w:r>
              <w:rPr>
                <w:rFonts w:ascii="Arial" w:hAnsi="Arial" w:cs="Arial"/>
              </w:rPr>
              <w:t>0 mins</w:t>
            </w:r>
          </w:p>
        </w:tc>
        <w:tc>
          <w:tcPr>
            <w:tcW w:w="1242" w:type="dxa"/>
          </w:tcPr>
          <w:p w14:paraId="27E6353F" w14:textId="4123F7DD" w:rsidR="00E51220" w:rsidRDefault="00220CCD" w:rsidP="00E51220">
            <w:pPr>
              <w:rPr>
                <w:rFonts w:ascii="Arial" w:hAnsi="Arial" w:cs="Arial"/>
              </w:rPr>
            </w:pPr>
            <w:r>
              <w:rPr>
                <w:rFonts w:ascii="Arial" w:hAnsi="Arial" w:cs="Arial"/>
              </w:rPr>
              <w:t>LO</w:t>
            </w:r>
          </w:p>
        </w:tc>
        <w:tc>
          <w:tcPr>
            <w:tcW w:w="2131" w:type="dxa"/>
          </w:tcPr>
          <w:p w14:paraId="45957ADE" w14:textId="6FFECBAC" w:rsidR="00E51220" w:rsidRDefault="005512DC" w:rsidP="00E51220">
            <w:pPr>
              <w:rPr>
                <w:rFonts w:ascii="Arial" w:hAnsi="Arial" w:cs="Arial"/>
              </w:rPr>
            </w:pPr>
            <w:r>
              <w:rPr>
                <w:rFonts w:ascii="Arial" w:hAnsi="Arial" w:cs="Arial"/>
              </w:rPr>
              <w:t>73.33</w:t>
            </w:r>
          </w:p>
        </w:tc>
      </w:tr>
      <w:tr w:rsidR="00E51220" w14:paraId="1B59EAA9" w14:textId="77777777" w:rsidTr="00E51220">
        <w:tc>
          <w:tcPr>
            <w:tcW w:w="5529" w:type="dxa"/>
          </w:tcPr>
          <w:p w14:paraId="564A8283" w14:textId="0DB1989F" w:rsidR="00E51220" w:rsidRDefault="00177EC2" w:rsidP="00E51220">
            <w:pPr>
              <w:rPr>
                <w:rFonts w:ascii="Arial" w:hAnsi="Arial" w:cs="Arial"/>
              </w:rPr>
            </w:pPr>
            <w:r w:rsidRPr="00177EC2">
              <w:rPr>
                <w:rFonts w:ascii="Arial" w:hAnsi="Arial" w:cs="Arial"/>
              </w:rPr>
              <w:t>Update flare record</w:t>
            </w:r>
          </w:p>
        </w:tc>
        <w:tc>
          <w:tcPr>
            <w:tcW w:w="1559" w:type="dxa"/>
          </w:tcPr>
          <w:p w14:paraId="037DC89D" w14:textId="3699985E" w:rsidR="00E51220" w:rsidRDefault="0000220F" w:rsidP="00E51220">
            <w:pPr>
              <w:rPr>
                <w:rFonts w:ascii="Arial" w:hAnsi="Arial" w:cs="Arial"/>
              </w:rPr>
            </w:pPr>
            <w:r>
              <w:rPr>
                <w:rFonts w:ascii="Arial" w:hAnsi="Arial" w:cs="Arial"/>
              </w:rPr>
              <w:t>10 mins</w:t>
            </w:r>
          </w:p>
        </w:tc>
        <w:tc>
          <w:tcPr>
            <w:tcW w:w="1242" w:type="dxa"/>
          </w:tcPr>
          <w:p w14:paraId="0B85ED87" w14:textId="493823C8" w:rsidR="00E51220" w:rsidRDefault="00220CCD" w:rsidP="00E51220">
            <w:pPr>
              <w:rPr>
                <w:rFonts w:ascii="Arial" w:hAnsi="Arial" w:cs="Arial"/>
              </w:rPr>
            </w:pPr>
            <w:r>
              <w:rPr>
                <w:rFonts w:ascii="Arial" w:hAnsi="Arial" w:cs="Arial"/>
              </w:rPr>
              <w:t>LO</w:t>
            </w:r>
          </w:p>
        </w:tc>
        <w:tc>
          <w:tcPr>
            <w:tcW w:w="2131" w:type="dxa"/>
          </w:tcPr>
          <w:p w14:paraId="2BF61A41" w14:textId="5D533526" w:rsidR="00E51220" w:rsidRDefault="000952A2" w:rsidP="00E51220">
            <w:pPr>
              <w:rPr>
                <w:rFonts w:ascii="Arial" w:hAnsi="Arial" w:cs="Arial"/>
              </w:rPr>
            </w:pPr>
            <w:r>
              <w:rPr>
                <w:rFonts w:ascii="Arial" w:hAnsi="Arial" w:cs="Arial"/>
              </w:rPr>
              <w:t>9.17</w:t>
            </w:r>
          </w:p>
        </w:tc>
      </w:tr>
      <w:tr w:rsidR="00E51220" w14:paraId="73527AD8" w14:textId="77777777" w:rsidTr="00E51220">
        <w:tc>
          <w:tcPr>
            <w:tcW w:w="5529" w:type="dxa"/>
          </w:tcPr>
          <w:p w14:paraId="638C0DF7" w14:textId="139719FD" w:rsidR="00E51220" w:rsidRDefault="00177EC2" w:rsidP="00E51220">
            <w:pPr>
              <w:rPr>
                <w:rFonts w:ascii="Arial" w:hAnsi="Arial" w:cs="Arial"/>
              </w:rPr>
            </w:pPr>
            <w:r w:rsidRPr="00177EC2">
              <w:rPr>
                <w:rFonts w:ascii="Arial" w:hAnsi="Arial" w:cs="Arial"/>
              </w:rPr>
              <w:t>Application file review by EHM(C)</w:t>
            </w:r>
          </w:p>
        </w:tc>
        <w:tc>
          <w:tcPr>
            <w:tcW w:w="1559" w:type="dxa"/>
          </w:tcPr>
          <w:p w14:paraId="0F009BE5" w14:textId="3725BD54" w:rsidR="00E51220" w:rsidRDefault="0000220F" w:rsidP="00E51220">
            <w:pPr>
              <w:rPr>
                <w:rFonts w:ascii="Arial" w:hAnsi="Arial" w:cs="Arial"/>
              </w:rPr>
            </w:pPr>
            <w:r>
              <w:rPr>
                <w:rFonts w:ascii="Arial" w:hAnsi="Arial" w:cs="Arial"/>
              </w:rPr>
              <w:t>1</w:t>
            </w:r>
            <w:r w:rsidR="005512DC">
              <w:rPr>
                <w:rFonts w:ascii="Arial" w:hAnsi="Arial" w:cs="Arial"/>
              </w:rPr>
              <w:t>0</w:t>
            </w:r>
            <w:r>
              <w:rPr>
                <w:rFonts w:ascii="Arial" w:hAnsi="Arial" w:cs="Arial"/>
              </w:rPr>
              <w:t xml:space="preserve"> mins</w:t>
            </w:r>
          </w:p>
        </w:tc>
        <w:tc>
          <w:tcPr>
            <w:tcW w:w="1242" w:type="dxa"/>
          </w:tcPr>
          <w:p w14:paraId="25694788" w14:textId="4F8C72B9" w:rsidR="00E51220" w:rsidRDefault="00220CCD" w:rsidP="00E51220">
            <w:pPr>
              <w:rPr>
                <w:rFonts w:ascii="Arial" w:hAnsi="Arial" w:cs="Arial"/>
              </w:rPr>
            </w:pPr>
            <w:r>
              <w:rPr>
                <w:rFonts w:ascii="Arial" w:hAnsi="Arial" w:cs="Arial"/>
              </w:rPr>
              <w:t>EHM(C)</w:t>
            </w:r>
          </w:p>
        </w:tc>
        <w:tc>
          <w:tcPr>
            <w:tcW w:w="2131" w:type="dxa"/>
          </w:tcPr>
          <w:p w14:paraId="52E9EDBE" w14:textId="3596C6EC" w:rsidR="00E51220" w:rsidRDefault="005512DC" w:rsidP="00E51220">
            <w:pPr>
              <w:rPr>
                <w:rFonts w:ascii="Arial" w:hAnsi="Arial" w:cs="Arial"/>
              </w:rPr>
            </w:pPr>
            <w:r>
              <w:rPr>
                <w:rFonts w:ascii="Arial" w:hAnsi="Arial" w:cs="Arial"/>
              </w:rPr>
              <w:t>15.83</w:t>
            </w:r>
          </w:p>
        </w:tc>
      </w:tr>
      <w:tr w:rsidR="00177EC2" w14:paraId="5079954A" w14:textId="77777777" w:rsidTr="00E51220">
        <w:tc>
          <w:tcPr>
            <w:tcW w:w="5529" w:type="dxa"/>
          </w:tcPr>
          <w:p w14:paraId="6D07C288" w14:textId="121F65D7" w:rsidR="00177EC2" w:rsidRPr="00177EC2" w:rsidRDefault="00177EC2" w:rsidP="00E51220">
            <w:pPr>
              <w:rPr>
                <w:rFonts w:ascii="Arial" w:hAnsi="Arial" w:cs="Arial"/>
              </w:rPr>
            </w:pPr>
            <w:r w:rsidRPr="00177EC2">
              <w:rPr>
                <w:rFonts w:ascii="Arial" w:hAnsi="Arial" w:cs="Arial"/>
              </w:rPr>
              <w:t>Grant of application (final notice) or serve Preliminary Notice (approved/signed by EHM(C)</w:t>
            </w:r>
          </w:p>
        </w:tc>
        <w:tc>
          <w:tcPr>
            <w:tcW w:w="1559" w:type="dxa"/>
          </w:tcPr>
          <w:p w14:paraId="5DBEC607" w14:textId="79531B42" w:rsidR="00177EC2" w:rsidRDefault="005512DC" w:rsidP="00E51220">
            <w:pPr>
              <w:rPr>
                <w:rFonts w:ascii="Arial" w:hAnsi="Arial" w:cs="Arial"/>
              </w:rPr>
            </w:pPr>
            <w:r>
              <w:rPr>
                <w:rFonts w:ascii="Arial" w:hAnsi="Arial" w:cs="Arial"/>
              </w:rPr>
              <w:t>2</w:t>
            </w:r>
            <w:r w:rsidR="0000220F">
              <w:rPr>
                <w:rFonts w:ascii="Arial" w:hAnsi="Arial" w:cs="Arial"/>
              </w:rPr>
              <w:t>0 mins</w:t>
            </w:r>
          </w:p>
        </w:tc>
        <w:tc>
          <w:tcPr>
            <w:tcW w:w="1242" w:type="dxa"/>
          </w:tcPr>
          <w:p w14:paraId="7ABFE6A9" w14:textId="6D163E0A" w:rsidR="00177EC2" w:rsidRDefault="00220CCD" w:rsidP="00E51220">
            <w:pPr>
              <w:rPr>
                <w:rFonts w:ascii="Arial" w:hAnsi="Arial" w:cs="Arial"/>
              </w:rPr>
            </w:pPr>
            <w:r>
              <w:rPr>
                <w:rFonts w:ascii="Arial" w:hAnsi="Arial" w:cs="Arial"/>
              </w:rPr>
              <w:t>LO</w:t>
            </w:r>
          </w:p>
        </w:tc>
        <w:tc>
          <w:tcPr>
            <w:tcW w:w="2131" w:type="dxa"/>
          </w:tcPr>
          <w:p w14:paraId="2F00E5B8" w14:textId="78C9F57A" w:rsidR="00177EC2" w:rsidRDefault="005512DC" w:rsidP="00E51220">
            <w:pPr>
              <w:rPr>
                <w:rFonts w:ascii="Arial" w:hAnsi="Arial" w:cs="Arial"/>
              </w:rPr>
            </w:pPr>
            <w:r>
              <w:rPr>
                <w:rFonts w:ascii="Arial" w:hAnsi="Arial" w:cs="Arial"/>
              </w:rPr>
              <w:t>18.33</w:t>
            </w:r>
          </w:p>
        </w:tc>
      </w:tr>
      <w:tr w:rsidR="00177EC2" w14:paraId="7FBBC5E1" w14:textId="77777777" w:rsidTr="00E51220">
        <w:tc>
          <w:tcPr>
            <w:tcW w:w="5529" w:type="dxa"/>
          </w:tcPr>
          <w:p w14:paraId="1CF42E7F" w14:textId="5CB10951" w:rsidR="00177EC2" w:rsidRPr="00177EC2" w:rsidRDefault="00177EC2" w:rsidP="00E51220">
            <w:pPr>
              <w:rPr>
                <w:rFonts w:ascii="Arial" w:hAnsi="Arial" w:cs="Arial"/>
              </w:rPr>
            </w:pPr>
            <w:r w:rsidRPr="00177EC2">
              <w:rPr>
                <w:rFonts w:ascii="Arial" w:hAnsi="Arial" w:cs="Arial"/>
              </w:rPr>
              <w:t>Establish any conditions applicable</w:t>
            </w:r>
          </w:p>
        </w:tc>
        <w:tc>
          <w:tcPr>
            <w:tcW w:w="1559" w:type="dxa"/>
          </w:tcPr>
          <w:p w14:paraId="5EA88D09" w14:textId="1AFB76FE" w:rsidR="00177EC2" w:rsidRDefault="0000220F" w:rsidP="00E51220">
            <w:pPr>
              <w:rPr>
                <w:rFonts w:ascii="Arial" w:hAnsi="Arial" w:cs="Arial"/>
              </w:rPr>
            </w:pPr>
            <w:r>
              <w:rPr>
                <w:rFonts w:ascii="Arial" w:hAnsi="Arial" w:cs="Arial"/>
              </w:rPr>
              <w:t>1</w:t>
            </w:r>
            <w:r w:rsidR="005512DC">
              <w:rPr>
                <w:rFonts w:ascii="Arial" w:hAnsi="Arial" w:cs="Arial"/>
              </w:rPr>
              <w:t>0</w:t>
            </w:r>
            <w:r>
              <w:rPr>
                <w:rFonts w:ascii="Arial" w:hAnsi="Arial" w:cs="Arial"/>
              </w:rPr>
              <w:t xml:space="preserve"> mins</w:t>
            </w:r>
          </w:p>
        </w:tc>
        <w:tc>
          <w:tcPr>
            <w:tcW w:w="1242" w:type="dxa"/>
          </w:tcPr>
          <w:p w14:paraId="03377661" w14:textId="65BF371E" w:rsidR="00177EC2" w:rsidRDefault="00220CCD" w:rsidP="00E51220">
            <w:pPr>
              <w:rPr>
                <w:rFonts w:ascii="Arial" w:hAnsi="Arial" w:cs="Arial"/>
              </w:rPr>
            </w:pPr>
            <w:r>
              <w:rPr>
                <w:rFonts w:ascii="Arial" w:hAnsi="Arial" w:cs="Arial"/>
              </w:rPr>
              <w:t>LO</w:t>
            </w:r>
          </w:p>
        </w:tc>
        <w:tc>
          <w:tcPr>
            <w:tcW w:w="2131" w:type="dxa"/>
          </w:tcPr>
          <w:p w14:paraId="01C50E21" w14:textId="1ADCA47A" w:rsidR="00177EC2" w:rsidRDefault="005512DC" w:rsidP="00E51220">
            <w:pPr>
              <w:rPr>
                <w:rFonts w:ascii="Arial" w:hAnsi="Arial" w:cs="Arial"/>
              </w:rPr>
            </w:pPr>
            <w:r>
              <w:rPr>
                <w:rFonts w:ascii="Arial" w:hAnsi="Arial" w:cs="Arial"/>
              </w:rPr>
              <w:t>9.17</w:t>
            </w:r>
          </w:p>
        </w:tc>
      </w:tr>
      <w:tr w:rsidR="00177EC2" w14:paraId="1E8CC555" w14:textId="77777777" w:rsidTr="00E51220">
        <w:tc>
          <w:tcPr>
            <w:tcW w:w="5529" w:type="dxa"/>
          </w:tcPr>
          <w:p w14:paraId="24CAA079" w14:textId="3AEA5F7E" w:rsidR="00177EC2" w:rsidRPr="00177EC2" w:rsidRDefault="00177EC2" w:rsidP="00E51220">
            <w:pPr>
              <w:rPr>
                <w:rFonts w:ascii="Arial" w:hAnsi="Arial" w:cs="Arial"/>
              </w:rPr>
            </w:pPr>
            <w:r w:rsidRPr="00177EC2">
              <w:rPr>
                <w:rFonts w:ascii="Arial" w:hAnsi="Arial" w:cs="Arial"/>
              </w:rPr>
              <w:t>LO discuss condition with EHM(C)</w:t>
            </w:r>
          </w:p>
        </w:tc>
        <w:tc>
          <w:tcPr>
            <w:tcW w:w="1559" w:type="dxa"/>
          </w:tcPr>
          <w:p w14:paraId="0C7B0F83" w14:textId="2525A17D" w:rsidR="00177EC2" w:rsidRDefault="005512DC" w:rsidP="00E51220">
            <w:pPr>
              <w:rPr>
                <w:rFonts w:ascii="Arial" w:hAnsi="Arial" w:cs="Arial"/>
              </w:rPr>
            </w:pPr>
            <w:r>
              <w:rPr>
                <w:rFonts w:ascii="Arial" w:hAnsi="Arial" w:cs="Arial"/>
              </w:rPr>
              <w:t>5</w:t>
            </w:r>
            <w:r w:rsidR="0000220F">
              <w:rPr>
                <w:rFonts w:ascii="Arial" w:hAnsi="Arial" w:cs="Arial"/>
              </w:rPr>
              <w:t xml:space="preserve"> mins</w:t>
            </w:r>
          </w:p>
        </w:tc>
        <w:tc>
          <w:tcPr>
            <w:tcW w:w="1242" w:type="dxa"/>
          </w:tcPr>
          <w:p w14:paraId="680EC7FD" w14:textId="62B62395" w:rsidR="00177EC2" w:rsidRDefault="00220CCD" w:rsidP="00E51220">
            <w:pPr>
              <w:rPr>
                <w:rFonts w:ascii="Arial" w:hAnsi="Arial" w:cs="Arial"/>
              </w:rPr>
            </w:pPr>
            <w:r>
              <w:rPr>
                <w:rFonts w:ascii="Arial" w:hAnsi="Arial" w:cs="Arial"/>
              </w:rPr>
              <w:t>LO &amp; EHM(C)</w:t>
            </w:r>
          </w:p>
        </w:tc>
        <w:tc>
          <w:tcPr>
            <w:tcW w:w="2131" w:type="dxa"/>
          </w:tcPr>
          <w:p w14:paraId="1A1B25FB" w14:textId="408A71F6" w:rsidR="00177EC2" w:rsidRDefault="005512DC" w:rsidP="00E51220">
            <w:pPr>
              <w:rPr>
                <w:rFonts w:ascii="Arial" w:hAnsi="Arial" w:cs="Arial"/>
              </w:rPr>
            </w:pPr>
            <w:r>
              <w:rPr>
                <w:rFonts w:ascii="Arial" w:hAnsi="Arial" w:cs="Arial"/>
              </w:rPr>
              <w:t>4.58</w:t>
            </w:r>
            <w:r w:rsidR="0000220F">
              <w:rPr>
                <w:rFonts w:ascii="Arial" w:hAnsi="Arial" w:cs="Arial"/>
              </w:rPr>
              <w:t xml:space="preserve"> &amp; </w:t>
            </w:r>
            <w:r>
              <w:rPr>
                <w:rFonts w:ascii="Arial" w:hAnsi="Arial" w:cs="Arial"/>
              </w:rPr>
              <w:t>7.92</w:t>
            </w:r>
          </w:p>
        </w:tc>
      </w:tr>
      <w:tr w:rsidR="00177EC2" w14:paraId="4245A168" w14:textId="77777777" w:rsidTr="00177EC2">
        <w:trPr>
          <w:trHeight w:val="351"/>
        </w:trPr>
        <w:tc>
          <w:tcPr>
            <w:tcW w:w="5529" w:type="dxa"/>
          </w:tcPr>
          <w:p w14:paraId="2E4690C6" w14:textId="0333E62F" w:rsidR="00177EC2" w:rsidRPr="00177EC2" w:rsidRDefault="00177EC2" w:rsidP="00E51220">
            <w:pPr>
              <w:rPr>
                <w:rFonts w:ascii="Arial" w:hAnsi="Arial" w:cs="Arial"/>
              </w:rPr>
            </w:pPr>
            <w:r w:rsidRPr="00177EC2">
              <w:rPr>
                <w:rFonts w:ascii="Arial" w:hAnsi="Arial" w:cs="Arial"/>
              </w:rPr>
              <w:t>Review appeal paperwork</w:t>
            </w:r>
          </w:p>
        </w:tc>
        <w:tc>
          <w:tcPr>
            <w:tcW w:w="1559" w:type="dxa"/>
          </w:tcPr>
          <w:p w14:paraId="642CC462" w14:textId="4092AF33" w:rsidR="00177EC2" w:rsidRDefault="0000220F" w:rsidP="00E51220">
            <w:pPr>
              <w:rPr>
                <w:rFonts w:ascii="Arial" w:hAnsi="Arial" w:cs="Arial"/>
              </w:rPr>
            </w:pPr>
            <w:r>
              <w:rPr>
                <w:rFonts w:ascii="Arial" w:hAnsi="Arial" w:cs="Arial"/>
              </w:rPr>
              <w:t>10 mins</w:t>
            </w:r>
          </w:p>
        </w:tc>
        <w:tc>
          <w:tcPr>
            <w:tcW w:w="1242" w:type="dxa"/>
          </w:tcPr>
          <w:p w14:paraId="2476D63E" w14:textId="3B400FB6" w:rsidR="00177EC2" w:rsidRDefault="00220CCD" w:rsidP="00E51220">
            <w:pPr>
              <w:rPr>
                <w:rFonts w:ascii="Arial" w:hAnsi="Arial" w:cs="Arial"/>
              </w:rPr>
            </w:pPr>
            <w:r>
              <w:rPr>
                <w:rFonts w:ascii="Arial" w:hAnsi="Arial" w:cs="Arial"/>
              </w:rPr>
              <w:t>LO</w:t>
            </w:r>
          </w:p>
        </w:tc>
        <w:tc>
          <w:tcPr>
            <w:tcW w:w="2131" w:type="dxa"/>
          </w:tcPr>
          <w:p w14:paraId="7E05DEEA" w14:textId="45F90687" w:rsidR="00177EC2" w:rsidRDefault="000952A2" w:rsidP="00E51220">
            <w:pPr>
              <w:rPr>
                <w:rFonts w:ascii="Arial" w:hAnsi="Arial" w:cs="Arial"/>
              </w:rPr>
            </w:pPr>
            <w:r>
              <w:rPr>
                <w:rFonts w:ascii="Arial" w:hAnsi="Arial" w:cs="Arial"/>
              </w:rPr>
              <w:t>9.17</w:t>
            </w:r>
          </w:p>
        </w:tc>
      </w:tr>
      <w:tr w:rsidR="00177EC2" w14:paraId="25CA0D27" w14:textId="77777777" w:rsidTr="00E51220">
        <w:tc>
          <w:tcPr>
            <w:tcW w:w="5529" w:type="dxa"/>
          </w:tcPr>
          <w:p w14:paraId="2C8C4CFB" w14:textId="6AE91C19" w:rsidR="00177EC2" w:rsidRPr="00177EC2" w:rsidRDefault="00177EC2" w:rsidP="00E51220">
            <w:pPr>
              <w:rPr>
                <w:rFonts w:ascii="Arial" w:hAnsi="Arial" w:cs="Arial"/>
              </w:rPr>
            </w:pPr>
            <w:r w:rsidRPr="00177EC2">
              <w:rPr>
                <w:rFonts w:ascii="Arial" w:hAnsi="Arial" w:cs="Arial"/>
              </w:rPr>
              <w:t>LO discuss appeal with EHM(C) &amp; PO</w:t>
            </w:r>
          </w:p>
        </w:tc>
        <w:tc>
          <w:tcPr>
            <w:tcW w:w="1559" w:type="dxa"/>
          </w:tcPr>
          <w:p w14:paraId="1D7213ED" w14:textId="2B467EE1" w:rsidR="00177EC2" w:rsidRDefault="0000220F" w:rsidP="00E51220">
            <w:pPr>
              <w:rPr>
                <w:rFonts w:ascii="Arial" w:hAnsi="Arial" w:cs="Arial"/>
              </w:rPr>
            </w:pPr>
            <w:r>
              <w:rPr>
                <w:rFonts w:ascii="Arial" w:hAnsi="Arial" w:cs="Arial"/>
              </w:rPr>
              <w:t>10 mins</w:t>
            </w:r>
          </w:p>
        </w:tc>
        <w:tc>
          <w:tcPr>
            <w:tcW w:w="1242" w:type="dxa"/>
          </w:tcPr>
          <w:p w14:paraId="3C731D4D" w14:textId="1DEF56A0" w:rsidR="00177EC2" w:rsidRDefault="00220CCD" w:rsidP="00E51220">
            <w:pPr>
              <w:rPr>
                <w:rFonts w:ascii="Arial" w:hAnsi="Arial" w:cs="Arial"/>
              </w:rPr>
            </w:pPr>
            <w:r>
              <w:rPr>
                <w:rFonts w:ascii="Arial" w:hAnsi="Arial" w:cs="Arial"/>
              </w:rPr>
              <w:t>LO &amp; EHM(C)</w:t>
            </w:r>
          </w:p>
        </w:tc>
        <w:tc>
          <w:tcPr>
            <w:tcW w:w="2131" w:type="dxa"/>
          </w:tcPr>
          <w:p w14:paraId="2737E146" w14:textId="489F31DB" w:rsidR="00177EC2" w:rsidRDefault="000952A2" w:rsidP="00E51220">
            <w:pPr>
              <w:rPr>
                <w:rFonts w:ascii="Arial" w:hAnsi="Arial" w:cs="Arial"/>
              </w:rPr>
            </w:pPr>
            <w:r>
              <w:rPr>
                <w:rFonts w:ascii="Arial" w:hAnsi="Arial" w:cs="Arial"/>
              </w:rPr>
              <w:t>9.17</w:t>
            </w:r>
            <w:r w:rsidR="0000220F">
              <w:rPr>
                <w:rFonts w:ascii="Arial" w:hAnsi="Arial" w:cs="Arial"/>
              </w:rPr>
              <w:t xml:space="preserve"> &amp; </w:t>
            </w:r>
            <w:r>
              <w:rPr>
                <w:rFonts w:ascii="Arial" w:hAnsi="Arial" w:cs="Arial"/>
              </w:rPr>
              <w:t>15.83</w:t>
            </w:r>
          </w:p>
        </w:tc>
      </w:tr>
      <w:tr w:rsidR="00177EC2" w14:paraId="05324D43" w14:textId="77777777" w:rsidTr="00E51220">
        <w:tc>
          <w:tcPr>
            <w:tcW w:w="5529" w:type="dxa"/>
          </w:tcPr>
          <w:p w14:paraId="02B73F63" w14:textId="5D07F493" w:rsidR="00177EC2" w:rsidRPr="00177EC2" w:rsidRDefault="00177EC2" w:rsidP="00E51220">
            <w:pPr>
              <w:rPr>
                <w:rFonts w:ascii="Arial" w:hAnsi="Arial" w:cs="Arial"/>
              </w:rPr>
            </w:pPr>
            <w:r w:rsidRPr="00177EC2">
              <w:rPr>
                <w:rFonts w:ascii="Arial" w:hAnsi="Arial" w:cs="Arial"/>
              </w:rPr>
              <w:t>LO produce appeal response and relevant Notice</w:t>
            </w:r>
          </w:p>
        </w:tc>
        <w:tc>
          <w:tcPr>
            <w:tcW w:w="1559" w:type="dxa"/>
          </w:tcPr>
          <w:p w14:paraId="4B077967" w14:textId="34081619" w:rsidR="00177EC2" w:rsidRDefault="000952A2" w:rsidP="00E51220">
            <w:pPr>
              <w:rPr>
                <w:rFonts w:ascii="Arial" w:hAnsi="Arial" w:cs="Arial"/>
              </w:rPr>
            </w:pPr>
            <w:r>
              <w:rPr>
                <w:rFonts w:ascii="Arial" w:hAnsi="Arial" w:cs="Arial"/>
              </w:rPr>
              <w:t>1</w:t>
            </w:r>
            <w:r w:rsidR="005512DC">
              <w:rPr>
                <w:rFonts w:ascii="Arial" w:hAnsi="Arial" w:cs="Arial"/>
              </w:rPr>
              <w:t>0</w:t>
            </w:r>
            <w:r>
              <w:rPr>
                <w:rFonts w:ascii="Arial" w:hAnsi="Arial" w:cs="Arial"/>
              </w:rPr>
              <w:t xml:space="preserve"> mins</w:t>
            </w:r>
          </w:p>
        </w:tc>
        <w:tc>
          <w:tcPr>
            <w:tcW w:w="1242" w:type="dxa"/>
          </w:tcPr>
          <w:p w14:paraId="78C94659" w14:textId="48B2D341" w:rsidR="00177EC2" w:rsidRDefault="00220CCD" w:rsidP="00E51220">
            <w:pPr>
              <w:rPr>
                <w:rFonts w:ascii="Arial" w:hAnsi="Arial" w:cs="Arial"/>
              </w:rPr>
            </w:pPr>
            <w:r>
              <w:rPr>
                <w:rFonts w:ascii="Arial" w:hAnsi="Arial" w:cs="Arial"/>
              </w:rPr>
              <w:t>LO</w:t>
            </w:r>
          </w:p>
        </w:tc>
        <w:tc>
          <w:tcPr>
            <w:tcW w:w="2131" w:type="dxa"/>
          </w:tcPr>
          <w:p w14:paraId="5C9CC4AF" w14:textId="01289068" w:rsidR="00177EC2" w:rsidRDefault="005512DC" w:rsidP="00E51220">
            <w:pPr>
              <w:rPr>
                <w:rFonts w:ascii="Arial" w:hAnsi="Arial" w:cs="Arial"/>
              </w:rPr>
            </w:pPr>
            <w:r>
              <w:rPr>
                <w:rFonts w:ascii="Arial" w:hAnsi="Arial" w:cs="Arial"/>
              </w:rPr>
              <w:t>9.17</w:t>
            </w:r>
          </w:p>
        </w:tc>
      </w:tr>
      <w:tr w:rsidR="00177EC2" w14:paraId="570124BF" w14:textId="77777777" w:rsidTr="00E51220">
        <w:tc>
          <w:tcPr>
            <w:tcW w:w="5529" w:type="dxa"/>
          </w:tcPr>
          <w:p w14:paraId="7DAEC45A" w14:textId="068C7C2F" w:rsidR="00177EC2" w:rsidRPr="00177EC2" w:rsidRDefault="00177EC2" w:rsidP="00E51220">
            <w:pPr>
              <w:rPr>
                <w:rFonts w:ascii="Arial" w:hAnsi="Arial" w:cs="Arial"/>
              </w:rPr>
            </w:pPr>
            <w:r w:rsidRPr="00177EC2">
              <w:rPr>
                <w:rFonts w:ascii="Arial" w:hAnsi="Arial" w:cs="Arial"/>
              </w:rPr>
              <w:t>Issue Final Decision Notice following appeal (signed by EHM(C))</w:t>
            </w:r>
          </w:p>
        </w:tc>
        <w:tc>
          <w:tcPr>
            <w:tcW w:w="1559" w:type="dxa"/>
          </w:tcPr>
          <w:p w14:paraId="34AFBACA" w14:textId="248F5FB3" w:rsidR="00177EC2" w:rsidRDefault="000952A2" w:rsidP="00E51220">
            <w:pPr>
              <w:rPr>
                <w:rFonts w:ascii="Arial" w:hAnsi="Arial" w:cs="Arial"/>
              </w:rPr>
            </w:pPr>
            <w:r>
              <w:rPr>
                <w:rFonts w:ascii="Arial" w:hAnsi="Arial" w:cs="Arial"/>
              </w:rPr>
              <w:t>1</w:t>
            </w:r>
            <w:r w:rsidR="005512DC">
              <w:rPr>
                <w:rFonts w:ascii="Arial" w:hAnsi="Arial" w:cs="Arial"/>
              </w:rPr>
              <w:t>0</w:t>
            </w:r>
            <w:r>
              <w:rPr>
                <w:rFonts w:ascii="Arial" w:hAnsi="Arial" w:cs="Arial"/>
              </w:rPr>
              <w:t xml:space="preserve"> mins</w:t>
            </w:r>
          </w:p>
        </w:tc>
        <w:tc>
          <w:tcPr>
            <w:tcW w:w="1242" w:type="dxa"/>
          </w:tcPr>
          <w:p w14:paraId="549DA83B" w14:textId="54BAB080" w:rsidR="00177EC2" w:rsidRDefault="00220CCD" w:rsidP="00E51220">
            <w:pPr>
              <w:rPr>
                <w:rFonts w:ascii="Arial" w:hAnsi="Arial" w:cs="Arial"/>
              </w:rPr>
            </w:pPr>
            <w:r>
              <w:rPr>
                <w:rFonts w:ascii="Arial" w:hAnsi="Arial" w:cs="Arial"/>
              </w:rPr>
              <w:t>LO</w:t>
            </w:r>
          </w:p>
        </w:tc>
        <w:tc>
          <w:tcPr>
            <w:tcW w:w="2131" w:type="dxa"/>
          </w:tcPr>
          <w:p w14:paraId="3F4BB8E6" w14:textId="43384353" w:rsidR="00177EC2" w:rsidRDefault="005512DC" w:rsidP="00E51220">
            <w:pPr>
              <w:rPr>
                <w:rFonts w:ascii="Arial" w:hAnsi="Arial" w:cs="Arial"/>
              </w:rPr>
            </w:pPr>
            <w:r>
              <w:rPr>
                <w:rFonts w:ascii="Arial" w:hAnsi="Arial" w:cs="Arial"/>
              </w:rPr>
              <w:t>9.17</w:t>
            </w:r>
          </w:p>
        </w:tc>
      </w:tr>
      <w:tr w:rsidR="00177EC2" w14:paraId="28CE8401" w14:textId="77777777" w:rsidTr="00E51220">
        <w:tc>
          <w:tcPr>
            <w:tcW w:w="5529" w:type="dxa"/>
          </w:tcPr>
          <w:p w14:paraId="2AA2426B" w14:textId="2C45C584" w:rsidR="00177EC2" w:rsidRPr="00177EC2" w:rsidRDefault="00177EC2" w:rsidP="00E51220">
            <w:pPr>
              <w:rPr>
                <w:rFonts w:ascii="Arial" w:hAnsi="Arial" w:cs="Arial"/>
              </w:rPr>
            </w:pPr>
            <w:r w:rsidRPr="00177EC2">
              <w:rPr>
                <w:rFonts w:ascii="Arial" w:hAnsi="Arial" w:cs="Arial"/>
              </w:rPr>
              <w:t>Add Relevant Person details to Register</w:t>
            </w:r>
          </w:p>
        </w:tc>
        <w:tc>
          <w:tcPr>
            <w:tcW w:w="1559" w:type="dxa"/>
          </w:tcPr>
          <w:p w14:paraId="2DDAC855" w14:textId="6CEABED4" w:rsidR="00177EC2" w:rsidRDefault="000952A2" w:rsidP="00E51220">
            <w:pPr>
              <w:rPr>
                <w:rFonts w:ascii="Arial" w:hAnsi="Arial" w:cs="Arial"/>
              </w:rPr>
            </w:pPr>
            <w:r>
              <w:rPr>
                <w:rFonts w:ascii="Arial" w:hAnsi="Arial" w:cs="Arial"/>
              </w:rPr>
              <w:t>5 mins</w:t>
            </w:r>
          </w:p>
        </w:tc>
        <w:tc>
          <w:tcPr>
            <w:tcW w:w="1242" w:type="dxa"/>
          </w:tcPr>
          <w:p w14:paraId="3D4426F7" w14:textId="62E6A277" w:rsidR="00177EC2" w:rsidRDefault="00220CCD" w:rsidP="00E51220">
            <w:pPr>
              <w:rPr>
                <w:rFonts w:ascii="Arial" w:hAnsi="Arial" w:cs="Arial"/>
              </w:rPr>
            </w:pPr>
            <w:r>
              <w:rPr>
                <w:rFonts w:ascii="Arial" w:hAnsi="Arial" w:cs="Arial"/>
              </w:rPr>
              <w:t>LO</w:t>
            </w:r>
          </w:p>
        </w:tc>
        <w:tc>
          <w:tcPr>
            <w:tcW w:w="2131" w:type="dxa"/>
          </w:tcPr>
          <w:p w14:paraId="7A97B382" w14:textId="2CA51957" w:rsidR="00177EC2" w:rsidRDefault="005512DC" w:rsidP="00E51220">
            <w:pPr>
              <w:rPr>
                <w:rFonts w:ascii="Arial" w:hAnsi="Arial" w:cs="Arial"/>
              </w:rPr>
            </w:pPr>
            <w:r>
              <w:rPr>
                <w:rFonts w:ascii="Arial" w:hAnsi="Arial" w:cs="Arial"/>
              </w:rPr>
              <w:t>4.58</w:t>
            </w:r>
          </w:p>
        </w:tc>
      </w:tr>
      <w:tr w:rsidR="00177EC2" w14:paraId="14A9FA3E" w14:textId="77777777" w:rsidTr="00177EC2">
        <w:tc>
          <w:tcPr>
            <w:tcW w:w="5529" w:type="dxa"/>
            <w:tcBorders>
              <w:bottom w:val="single" w:sz="4" w:space="0" w:color="auto"/>
            </w:tcBorders>
          </w:tcPr>
          <w:p w14:paraId="517AF9E0" w14:textId="7B0E0536" w:rsidR="00177EC2" w:rsidRPr="00177EC2" w:rsidRDefault="00177EC2" w:rsidP="00E51220">
            <w:pPr>
              <w:rPr>
                <w:rFonts w:ascii="Arial" w:hAnsi="Arial" w:cs="Arial"/>
              </w:rPr>
            </w:pPr>
            <w:r w:rsidRPr="00177EC2">
              <w:rPr>
                <w:rFonts w:ascii="Arial" w:hAnsi="Arial" w:cs="Arial"/>
              </w:rPr>
              <w:t>Update flare record</w:t>
            </w:r>
          </w:p>
        </w:tc>
        <w:tc>
          <w:tcPr>
            <w:tcW w:w="1559" w:type="dxa"/>
            <w:tcBorders>
              <w:bottom w:val="single" w:sz="4" w:space="0" w:color="auto"/>
            </w:tcBorders>
          </w:tcPr>
          <w:p w14:paraId="75D0E83A" w14:textId="422730E3" w:rsidR="00177EC2" w:rsidRDefault="000952A2" w:rsidP="00E51220">
            <w:pPr>
              <w:rPr>
                <w:rFonts w:ascii="Arial" w:hAnsi="Arial" w:cs="Arial"/>
              </w:rPr>
            </w:pPr>
            <w:r>
              <w:rPr>
                <w:rFonts w:ascii="Arial" w:hAnsi="Arial" w:cs="Arial"/>
              </w:rPr>
              <w:t>5 mins</w:t>
            </w:r>
          </w:p>
        </w:tc>
        <w:tc>
          <w:tcPr>
            <w:tcW w:w="1242" w:type="dxa"/>
            <w:tcBorders>
              <w:bottom w:val="single" w:sz="4" w:space="0" w:color="auto"/>
            </w:tcBorders>
          </w:tcPr>
          <w:p w14:paraId="6A6A01D0" w14:textId="4E00C7A9" w:rsidR="00177EC2" w:rsidRDefault="00220CCD" w:rsidP="00E51220">
            <w:pPr>
              <w:rPr>
                <w:rFonts w:ascii="Arial" w:hAnsi="Arial" w:cs="Arial"/>
              </w:rPr>
            </w:pPr>
            <w:r>
              <w:rPr>
                <w:rFonts w:ascii="Arial" w:hAnsi="Arial" w:cs="Arial"/>
              </w:rPr>
              <w:t>LO</w:t>
            </w:r>
          </w:p>
        </w:tc>
        <w:tc>
          <w:tcPr>
            <w:tcW w:w="2131" w:type="dxa"/>
            <w:tcBorders>
              <w:bottom w:val="single" w:sz="4" w:space="0" w:color="auto"/>
            </w:tcBorders>
          </w:tcPr>
          <w:p w14:paraId="7FD4756E" w14:textId="5BF06006" w:rsidR="00177EC2" w:rsidRDefault="005512DC" w:rsidP="00E51220">
            <w:pPr>
              <w:rPr>
                <w:rFonts w:ascii="Arial" w:hAnsi="Arial" w:cs="Arial"/>
              </w:rPr>
            </w:pPr>
            <w:r>
              <w:rPr>
                <w:rFonts w:ascii="Arial" w:hAnsi="Arial" w:cs="Arial"/>
              </w:rPr>
              <w:t>4.58</w:t>
            </w:r>
          </w:p>
        </w:tc>
      </w:tr>
      <w:tr w:rsidR="00177EC2" w14:paraId="4BE4B3FF" w14:textId="77777777" w:rsidTr="00177EC2">
        <w:tc>
          <w:tcPr>
            <w:tcW w:w="5529" w:type="dxa"/>
            <w:shd w:val="clear" w:color="auto" w:fill="8BDCFF" w:themeFill="accent1" w:themeFillTint="66"/>
          </w:tcPr>
          <w:p w14:paraId="691F1260" w14:textId="603C1118" w:rsidR="00177EC2" w:rsidRPr="00177EC2" w:rsidRDefault="00177EC2" w:rsidP="00E51220">
            <w:pPr>
              <w:rPr>
                <w:rFonts w:ascii="Arial" w:hAnsi="Arial" w:cs="Arial"/>
              </w:rPr>
            </w:pPr>
            <w:r>
              <w:rPr>
                <w:rFonts w:ascii="Arial" w:hAnsi="Arial" w:cs="Arial"/>
              </w:rPr>
              <w:t>Total cost of application</w:t>
            </w:r>
          </w:p>
        </w:tc>
        <w:tc>
          <w:tcPr>
            <w:tcW w:w="1559" w:type="dxa"/>
            <w:shd w:val="clear" w:color="auto" w:fill="8BDCFF" w:themeFill="accent1" w:themeFillTint="66"/>
          </w:tcPr>
          <w:p w14:paraId="6810D21A" w14:textId="77777777" w:rsidR="00177EC2" w:rsidRDefault="00177EC2" w:rsidP="00E51220">
            <w:pPr>
              <w:rPr>
                <w:rFonts w:ascii="Arial" w:hAnsi="Arial" w:cs="Arial"/>
              </w:rPr>
            </w:pPr>
          </w:p>
        </w:tc>
        <w:tc>
          <w:tcPr>
            <w:tcW w:w="1242" w:type="dxa"/>
            <w:shd w:val="clear" w:color="auto" w:fill="8BDCFF" w:themeFill="accent1" w:themeFillTint="66"/>
          </w:tcPr>
          <w:p w14:paraId="6859187E" w14:textId="77777777" w:rsidR="00177EC2" w:rsidRDefault="00177EC2" w:rsidP="00E51220">
            <w:pPr>
              <w:rPr>
                <w:rFonts w:ascii="Arial" w:hAnsi="Arial" w:cs="Arial"/>
              </w:rPr>
            </w:pPr>
          </w:p>
        </w:tc>
        <w:tc>
          <w:tcPr>
            <w:tcW w:w="2131" w:type="dxa"/>
            <w:shd w:val="clear" w:color="auto" w:fill="8BDCFF" w:themeFill="accent1" w:themeFillTint="66"/>
          </w:tcPr>
          <w:p w14:paraId="3D0D8CF0" w14:textId="3C63AD73" w:rsidR="00177EC2" w:rsidRDefault="005512DC" w:rsidP="00E51220">
            <w:pPr>
              <w:rPr>
                <w:rFonts w:ascii="Arial" w:hAnsi="Arial" w:cs="Arial"/>
              </w:rPr>
            </w:pPr>
            <w:r>
              <w:rPr>
                <w:rFonts w:ascii="Arial" w:hAnsi="Arial" w:cs="Arial"/>
              </w:rPr>
              <w:t>233.92</w:t>
            </w:r>
          </w:p>
        </w:tc>
      </w:tr>
    </w:tbl>
    <w:p w14:paraId="554D7028" w14:textId="77777777" w:rsidR="00220CCD" w:rsidRDefault="00220CCD" w:rsidP="00220CCD">
      <w:pPr>
        <w:spacing w:after="0" w:line="240" w:lineRule="auto"/>
        <w:rPr>
          <w:rFonts w:ascii="Arial" w:hAnsi="Arial" w:cs="Arial"/>
        </w:rPr>
      </w:pPr>
    </w:p>
    <w:p w14:paraId="74ED5A3F" w14:textId="77777777" w:rsidR="00220CCD" w:rsidRDefault="00220CCD" w:rsidP="00220CCD">
      <w:pPr>
        <w:spacing w:after="0" w:line="240" w:lineRule="auto"/>
        <w:rPr>
          <w:rFonts w:ascii="Arial" w:hAnsi="Arial" w:cs="Arial"/>
        </w:rPr>
      </w:pPr>
    </w:p>
    <w:p w14:paraId="136132B9" w14:textId="16D4988F" w:rsidR="00B377FC" w:rsidRPr="00FE2A9A" w:rsidRDefault="00FE2A9A" w:rsidP="00220CCD">
      <w:pPr>
        <w:spacing w:after="0" w:line="240" w:lineRule="auto"/>
        <w:rPr>
          <w:rFonts w:ascii="Arial" w:hAnsi="Arial" w:cs="Arial"/>
        </w:rPr>
      </w:pPr>
      <w:r w:rsidRPr="00FE2A9A">
        <w:rPr>
          <w:rFonts w:ascii="Arial" w:hAnsi="Arial" w:cs="Arial"/>
        </w:rPr>
        <w:t>The above does not include any costs for travel to and from the site for time associated with the application and checking of conditions. An assumption has been made that no cases will result in appeal to FTT.</w:t>
      </w:r>
    </w:p>
    <w:sectPr w:rsidR="00B377FC" w:rsidRPr="00FE2A9A" w:rsidSect="00E01E5E">
      <w:headerReference w:type="even" r:id="rId13"/>
      <w:headerReference w:type="default" r:id="rId14"/>
      <w:footerReference w:type="even" r:id="rId15"/>
      <w:footerReference w:type="default" r:id="rId16"/>
      <w:footerReference w:type="first" r:id="rId17"/>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F0EC" w14:textId="77777777" w:rsidR="00FE2A9A" w:rsidRDefault="00FE2A9A" w:rsidP="008952DF">
      <w:r>
        <w:separator/>
      </w:r>
    </w:p>
  </w:endnote>
  <w:endnote w:type="continuationSeparator" w:id="0">
    <w:p w14:paraId="7E971CA5" w14:textId="77777777" w:rsidR="00FE2A9A" w:rsidRDefault="00FE2A9A"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8972"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967261"/>
      <w:docPartObj>
        <w:docPartGallery w:val="Page Numbers (Bottom of Page)"/>
        <w:docPartUnique/>
      </w:docPartObj>
    </w:sdtPr>
    <w:sdtEndPr>
      <w:rPr>
        <w:noProof/>
      </w:rPr>
    </w:sdtEndPr>
    <w:sdtContent>
      <w:p w14:paraId="2BBC6BCF" w14:textId="4144371E" w:rsidR="00E01E5E" w:rsidRDefault="00E01E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0901E" w14:textId="6DCC546A" w:rsidR="0002446C" w:rsidRDefault="0002446C" w:rsidP="00E01E5E">
    <w:pPr>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4032" w14:textId="461AC2D3" w:rsidR="0002446C" w:rsidRPr="0049312B" w:rsidRDefault="0002446C" w:rsidP="00E01E5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8D9F" w14:textId="77777777" w:rsidR="00FE2A9A" w:rsidRDefault="00FE2A9A" w:rsidP="008952DF">
      <w:r>
        <w:separator/>
      </w:r>
    </w:p>
  </w:footnote>
  <w:footnote w:type="continuationSeparator" w:id="0">
    <w:p w14:paraId="690E0281" w14:textId="77777777" w:rsidR="00FE2A9A" w:rsidRDefault="00FE2A9A"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9305"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8DC4"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902314"/>
    <w:multiLevelType w:val="hybridMultilevel"/>
    <w:tmpl w:val="33165F70"/>
    <w:lvl w:ilvl="0" w:tplc="0E121F5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1"/>
  </w:num>
  <w:num w:numId="3">
    <w:abstractNumId w:val="7"/>
  </w:num>
  <w:num w:numId="4">
    <w:abstractNumId w:val="4"/>
  </w:num>
  <w:num w:numId="5">
    <w:abstractNumId w:val="5"/>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9A"/>
    <w:rsid w:val="0000220F"/>
    <w:rsid w:val="0002446C"/>
    <w:rsid w:val="000952A2"/>
    <w:rsid w:val="00126E15"/>
    <w:rsid w:val="00177EC2"/>
    <w:rsid w:val="00220CCD"/>
    <w:rsid w:val="00324433"/>
    <w:rsid w:val="00363A16"/>
    <w:rsid w:val="003D033D"/>
    <w:rsid w:val="004067A0"/>
    <w:rsid w:val="004404F5"/>
    <w:rsid w:val="00492E76"/>
    <w:rsid w:val="0049312B"/>
    <w:rsid w:val="00520C03"/>
    <w:rsid w:val="00535E8E"/>
    <w:rsid w:val="005512DC"/>
    <w:rsid w:val="005A5C91"/>
    <w:rsid w:val="0065240B"/>
    <w:rsid w:val="00682C97"/>
    <w:rsid w:val="00726EA3"/>
    <w:rsid w:val="007455B3"/>
    <w:rsid w:val="007C339D"/>
    <w:rsid w:val="0083385A"/>
    <w:rsid w:val="008952DF"/>
    <w:rsid w:val="008D63B3"/>
    <w:rsid w:val="009255E9"/>
    <w:rsid w:val="009B41EF"/>
    <w:rsid w:val="00A47EE0"/>
    <w:rsid w:val="00AF592C"/>
    <w:rsid w:val="00B237C0"/>
    <w:rsid w:val="00B377FC"/>
    <w:rsid w:val="00B530D1"/>
    <w:rsid w:val="00C00AB0"/>
    <w:rsid w:val="00C520E4"/>
    <w:rsid w:val="00E01E5E"/>
    <w:rsid w:val="00E078E6"/>
    <w:rsid w:val="00E51220"/>
    <w:rsid w:val="00E52B03"/>
    <w:rsid w:val="00EB6BD0"/>
    <w:rsid w:val="00F87B8D"/>
    <w:rsid w:val="00FE2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8DDB2D"/>
  <w15:chartTrackingRefBased/>
  <w15:docId w15:val="{11583FF3-DFAD-428D-A930-19C72539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1210">
      <w:bodyDiv w:val="1"/>
      <w:marLeft w:val="0"/>
      <w:marRight w:val="0"/>
      <w:marTop w:val="0"/>
      <w:marBottom w:val="0"/>
      <w:divBdr>
        <w:top w:val="none" w:sz="0" w:space="0" w:color="auto"/>
        <w:left w:val="none" w:sz="0" w:space="0" w:color="auto"/>
        <w:bottom w:val="none" w:sz="0" w:space="0" w:color="auto"/>
        <w:right w:val="none" w:sz="0" w:space="0" w:color="auto"/>
      </w:divBdr>
    </w:div>
    <w:div w:id="13216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B6FABE-6F15-487C-973D-A5AEDE97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Rackley, Shaun</dc:creator>
  <cp:keywords/>
  <dc:description/>
  <cp:lastModifiedBy>Rackley, Shaun</cp:lastModifiedBy>
  <cp:revision>5</cp:revision>
  <dcterms:created xsi:type="dcterms:W3CDTF">2021-06-17T14:23:00Z</dcterms:created>
  <dcterms:modified xsi:type="dcterms:W3CDTF">2021-06-30T07:49:00Z</dcterms:modified>
</cp:coreProperties>
</file>