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1" w:rightFromText="181" w:bottomFromText="284"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47"/>
        <w:gridCol w:w="3773"/>
      </w:tblGrid>
      <w:tr w:rsidR="00BE7EE2" w:rsidRPr="00BE7EE2" w:rsidTr="00BE7EE2">
        <w:trPr>
          <w:trHeight w:val="711"/>
        </w:trPr>
        <w:tc>
          <w:tcPr>
            <w:tcW w:w="6663" w:type="dxa"/>
          </w:tcPr>
          <w:p w:rsidR="00BE7EE2" w:rsidRPr="00BE7EE2" w:rsidRDefault="00BE7EE2" w:rsidP="00BE7EE2"/>
        </w:tc>
        <w:tc>
          <w:tcPr>
            <w:tcW w:w="3793" w:type="dxa"/>
          </w:tcPr>
          <w:p w:rsidR="00BE7EE2" w:rsidRPr="00BE7EE2" w:rsidRDefault="00BE7EE2" w:rsidP="00BE7EE2">
            <w:pPr>
              <w:jc w:val="right"/>
            </w:pPr>
            <w:r w:rsidRPr="00BE7EE2">
              <w:rPr>
                <w:noProof/>
                <w:lang w:eastAsia="en-GB"/>
              </w:rPr>
              <w:drawing>
                <wp:inline distT="0" distB="0" distL="0" distR="0" wp14:anchorId="7744EACB" wp14:editId="29F0603D">
                  <wp:extent cx="2160000" cy="3368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336880"/>
                          </a:xfrm>
                          <a:prstGeom prst="rect">
                            <a:avLst/>
                          </a:prstGeom>
                        </pic:spPr>
                      </pic:pic>
                    </a:graphicData>
                  </a:graphic>
                </wp:inline>
              </w:drawing>
            </w:r>
          </w:p>
        </w:tc>
      </w:tr>
      <w:tr w:rsidR="00BE7EE2" w:rsidRPr="00BE7EE2" w:rsidTr="00BE7EE2">
        <w:trPr>
          <w:trHeight w:val="711"/>
        </w:trPr>
        <w:tc>
          <w:tcPr>
            <w:tcW w:w="6663" w:type="dxa"/>
          </w:tcPr>
          <w:p w:rsidR="00BE7EE2" w:rsidRPr="00BE7EE2" w:rsidRDefault="00BE7EE2" w:rsidP="00BE7EE2">
            <w:pPr>
              <w:spacing w:line="240" w:lineRule="auto"/>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t>A</w:t>
            </w:r>
            <w:r w:rsidR="002C2314">
              <w:rPr>
                <w:rFonts w:asciiTheme="majorHAnsi" w:eastAsiaTheme="majorEastAsia" w:hAnsiTheme="majorHAnsi" w:cstheme="majorBidi"/>
                <w:spacing w:val="-10"/>
                <w:kern w:val="28"/>
                <w:sz w:val="56"/>
                <w:szCs w:val="56"/>
              </w:rPr>
              <w:t>nnual Pay Policy Statement 2021-</w:t>
            </w:r>
            <w:r>
              <w:rPr>
                <w:rFonts w:asciiTheme="majorHAnsi" w:eastAsiaTheme="majorEastAsia" w:hAnsiTheme="majorHAnsi" w:cstheme="majorBidi"/>
                <w:spacing w:val="-10"/>
                <w:kern w:val="28"/>
                <w:sz w:val="56"/>
                <w:szCs w:val="56"/>
              </w:rPr>
              <w:t>22</w:t>
            </w:r>
          </w:p>
        </w:tc>
        <w:tc>
          <w:tcPr>
            <w:tcW w:w="3793" w:type="dxa"/>
          </w:tcPr>
          <w:p w:rsidR="00BE7EE2" w:rsidRPr="00BE7EE2" w:rsidRDefault="00BE7EE2" w:rsidP="00BE7EE2">
            <w:pPr>
              <w:jc w:val="right"/>
              <w:rPr>
                <w:noProof/>
                <w:lang w:eastAsia="en-GB"/>
              </w:rPr>
            </w:pPr>
          </w:p>
        </w:tc>
      </w:tr>
      <w:tr w:rsidR="00BE7EE2" w:rsidRPr="00BE7EE2" w:rsidTr="00BE7EE2">
        <w:trPr>
          <w:trHeight w:val="711"/>
        </w:trPr>
        <w:tc>
          <w:tcPr>
            <w:tcW w:w="6663" w:type="dxa"/>
            <w:tcBorders>
              <w:bottom w:val="single" w:sz="24" w:space="0" w:color="969696" w:themeColor="accent3"/>
            </w:tcBorders>
          </w:tcPr>
          <w:p w:rsidR="00BE7EE2" w:rsidRPr="00BE7EE2" w:rsidRDefault="00044FF0" w:rsidP="00BE7EE2">
            <w:pPr>
              <w:numPr>
                <w:ilvl w:val="1"/>
                <w:numId w:val="0"/>
              </w:numPr>
              <w:spacing w:after="160"/>
              <w:rPr>
                <w:color w:val="5A5A5A" w:themeColor="text1" w:themeTint="A5"/>
                <w:spacing w:val="15"/>
                <w:sz w:val="22"/>
                <w:szCs w:val="22"/>
              </w:rPr>
            </w:pPr>
            <w:r>
              <w:rPr>
                <w:color w:val="5A5A5A" w:themeColor="text1" w:themeTint="A5"/>
                <w:spacing w:val="15"/>
                <w:sz w:val="22"/>
                <w:szCs w:val="22"/>
              </w:rPr>
              <w:t>February</w:t>
            </w:r>
            <w:r w:rsidR="00BE7EE2">
              <w:rPr>
                <w:color w:val="5A5A5A" w:themeColor="text1" w:themeTint="A5"/>
                <w:spacing w:val="15"/>
                <w:sz w:val="22"/>
                <w:szCs w:val="22"/>
              </w:rPr>
              <w:t xml:space="preserve"> 2021</w:t>
            </w:r>
          </w:p>
        </w:tc>
        <w:tc>
          <w:tcPr>
            <w:tcW w:w="3793" w:type="dxa"/>
            <w:tcBorders>
              <w:bottom w:val="single" w:sz="24" w:space="0" w:color="969696" w:themeColor="accent3"/>
            </w:tcBorders>
          </w:tcPr>
          <w:p w:rsidR="00BE7EE2" w:rsidRPr="00BE7EE2" w:rsidRDefault="00BE7EE2" w:rsidP="00BE7EE2">
            <w:pPr>
              <w:jc w:val="right"/>
              <w:rPr>
                <w:noProof/>
                <w:lang w:eastAsia="en-GB"/>
              </w:rPr>
            </w:pPr>
          </w:p>
        </w:tc>
      </w:tr>
      <w:tr w:rsidR="00BE7EE2" w:rsidRPr="00BE7EE2" w:rsidTr="00BE7EE2">
        <w:trPr>
          <w:trHeight w:val="711"/>
        </w:trPr>
        <w:tc>
          <w:tcPr>
            <w:tcW w:w="10456" w:type="dxa"/>
            <w:gridSpan w:val="2"/>
            <w:tcBorders>
              <w:top w:val="single" w:sz="24" w:space="0" w:color="969696" w:themeColor="accent3"/>
              <w:bottom w:val="single" w:sz="24" w:space="0" w:color="969696" w:themeColor="accent3"/>
            </w:tcBorders>
            <w:vAlign w:val="center"/>
          </w:tcPr>
          <w:p w:rsidR="00BE7EE2" w:rsidRPr="00BE7EE2" w:rsidRDefault="00BE7EE2" w:rsidP="00BE7EE2">
            <w:pPr>
              <w:spacing w:before="120" w:line="360" w:lineRule="auto"/>
              <w:rPr>
                <w:sz w:val="32"/>
              </w:rPr>
            </w:pPr>
            <w:r w:rsidRPr="00BE7EE2">
              <w:rPr>
                <w:sz w:val="32"/>
              </w:rPr>
              <w:t xml:space="preserve">This document can be made available in other languages and formats. For more information please contact </w:t>
            </w:r>
            <w:hyperlink r:id="rId9" w:history="1">
              <w:r w:rsidRPr="00BE7EE2">
                <w:rPr>
                  <w:sz w:val="32"/>
                </w:rPr>
                <w:t>hrpolicy@torbay.gov.uk</w:t>
              </w:r>
            </w:hyperlink>
          </w:p>
        </w:tc>
      </w:tr>
    </w:tbl>
    <w:p w:rsidR="00010F69" w:rsidRPr="00BE7EE2" w:rsidRDefault="00010F69" w:rsidP="00BE7EE2">
      <w:pPr>
        <w:spacing w:line="264" w:lineRule="auto"/>
        <w:rPr>
          <w:rFonts w:asciiTheme="majorHAnsi" w:eastAsiaTheme="majorEastAsia" w:hAnsiTheme="majorHAnsi" w:cstheme="majorBidi"/>
          <w:color w:val="595959" w:themeColor="text1" w:themeTint="A6"/>
          <w:sz w:val="40"/>
          <w:szCs w:val="36"/>
        </w:rPr>
      </w:pPr>
    </w:p>
    <w:p w:rsidR="00E23D96" w:rsidRPr="00E23D96" w:rsidRDefault="005109AF" w:rsidP="00E23D96">
      <w:pPr>
        <w:pStyle w:val="Heading3"/>
        <w:numPr>
          <w:ilvl w:val="0"/>
          <w:numId w:val="19"/>
        </w:numPr>
      </w:pPr>
      <w:r w:rsidRPr="005109AF">
        <w:t>Purpose and Scope</w:t>
      </w:r>
    </w:p>
    <w:p w:rsidR="005109AF" w:rsidRPr="005109AF" w:rsidRDefault="005109AF" w:rsidP="005109AF">
      <w:pPr>
        <w:ind w:left="720" w:hanging="720"/>
        <w:rPr>
          <w:rFonts w:ascii="Arial" w:hAnsi="Arial"/>
          <w:u w:color="17365D"/>
        </w:rPr>
      </w:pPr>
      <w:r w:rsidRPr="005109AF">
        <w:t>1.1</w:t>
      </w:r>
      <w:r w:rsidRPr="005109AF">
        <w:tab/>
      </w:r>
      <w:r w:rsidRPr="005109AF">
        <w:rPr>
          <w:rFonts w:ascii="Arial" w:hAnsi="Arial"/>
          <w:u w:color="17365D"/>
        </w:rPr>
        <w:t>S</w:t>
      </w:r>
      <w:r w:rsidRPr="005109AF">
        <w:rPr>
          <w:rFonts w:ascii="Arial" w:hAnsi="Arial"/>
          <w:u w:color="17365D"/>
          <w:lang w:val="fr-FR"/>
        </w:rPr>
        <w:t>ecti</w:t>
      </w:r>
      <w:r w:rsidRPr="005109AF">
        <w:rPr>
          <w:rFonts w:ascii="Arial" w:hAnsi="Arial"/>
          <w:u w:color="17365D"/>
        </w:rPr>
        <w:t>on</w:t>
      </w:r>
      <w:r w:rsidRPr="005109AF">
        <w:rPr>
          <w:rFonts w:ascii="Arial" w:hAnsi="Arial"/>
          <w:spacing w:val="-1"/>
          <w:u w:color="17365D"/>
        </w:rPr>
        <w:t xml:space="preserve"> </w:t>
      </w:r>
      <w:r w:rsidRPr="005109AF">
        <w:rPr>
          <w:rFonts w:ascii="Arial" w:hAnsi="Arial"/>
          <w:u w:color="17365D"/>
        </w:rPr>
        <w:t xml:space="preserve">38 </w:t>
      </w:r>
      <w:r w:rsidRPr="005109AF">
        <w:rPr>
          <w:rFonts w:ascii="Arial" w:hAnsi="Arial"/>
          <w:spacing w:val="-1"/>
          <w:u w:color="17365D"/>
        </w:rPr>
        <w:t>(</w:t>
      </w:r>
      <w:r w:rsidRPr="005109AF">
        <w:rPr>
          <w:rFonts w:ascii="Arial" w:hAnsi="Arial"/>
          <w:u w:color="17365D"/>
        </w:rPr>
        <w:t>1) of</w:t>
      </w:r>
      <w:r w:rsidRPr="005109AF">
        <w:rPr>
          <w:rFonts w:ascii="Arial" w:hAnsi="Arial"/>
          <w:spacing w:val="-1"/>
          <w:u w:color="17365D"/>
        </w:rPr>
        <w:t xml:space="preserve"> t</w:t>
      </w:r>
      <w:r w:rsidRPr="005109AF">
        <w:rPr>
          <w:rFonts w:ascii="Arial" w:hAnsi="Arial"/>
          <w:u w:color="17365D"/>
        </w:rPr>
        <w:t>he Localism</w:t>
      </w:r>
      <w:r w:rsidRPr="005109AF">
        <w:rPr>
          <w:rFonts w:ascii="Arial" w:hAnsi="Arial"/>
          <w:spacing w:val="-1"/>
          <w:u w:color="17365D"/>
        </w:rPr>
        <w:t xml:space="preserve"> </w:t>
      </w:r>
      <w:r w:rsidRPr="005109AF">
        <w:rPr>
          <w:rFonts w:ascii="Arial" w:hAnsi="Arial"/>
          <w:u w:color="17365D"/>
        </w:rPr>
        <w:t xml:space="preserve">Act 2011 </w:t>
      </w:r>
      <w:r w:rsidRPr="005109AF">
        <w:rPr>
          <w:rFonts w:ascii="Arial" w:hAnsi="Arial"/>
          <w:spacing w:val="-1"/>
          <w:u w:color="17365D"/>
        </w:rPr>
        <w:t>r</w:t>
      </w:r>
      <w:r w:rsidRPr="005109AF">
        <w:rPr>
          <w:rFonts w:ascii="Arial" w:hAnsi="Arial"/>
          <w:u w:color="17365D"/>
        </w:rPr>
        <w:t>e</w:t>
      </w:r>
      <w:r w:rsidRPr="005109AF">
        <w:rPr>
          <w:rFonts w:ascii="Arial" w:hAnsi="Arial"/>
          <w:spacing w:val="-1"/>
          <w:u w:color="17365D"/>
          <w:lang w:val="fr-FR"/>
        </w:rPr>
        <w:t>q</w:t>
      </w:r>
      <w:r w:rsidRPr="005109AF">
        <w:rPr>
          <w:rFonts w:ascii="Arial" w:hAnsi="Arial"/>
          <w:u w:color="17365D"/>
        </w:rPr>
        <w:t>ui</w:t>
      </w:r>
      <w:r w:rsidRPr="005109AF">
        <w:rPr>
          <w:rFonts w:ascii="Arial" w:hAnsi="Arial"/>
          <w:spacing w:val="-1"/>
          <w:u w:color="17365D"/>
        </w:rPr>
        <w:t>r</w:t>
      </w:r>
      <w:r w:rsidRPr="005109AF">
        <w:rPr>
          <w:rFonts w:ascii="Arial" w:hAnsi="Arial"/>
          <w:u w:color="17365D"/>
        </w:rPr>
        <w:t>es t</w:t>
      </w:r>
      <w:r w:rsidRPr="005109AF">
        <w:rPr>
          <w:rFonts w:ascii="Arial" w:hAnsi="Arial"/>
          <w:u w:color="17365D"/>
          <w:lang w:val="en-US"/>
        </w:rPr>
        <w:t xml:space="preserve">he </w:t>
      </w:r>
      <w:r w:rsidRPr="005109AF">
        <w:rPr>
          <w:rFonts w:ascii="Arial" w:hAnsi="Arial"/>
          <w:u w:color="17365D"/>
        </w:rPr>
        <w:t xml:space="preserve">Council </w:t>
      </w:r>
      <w:r w:rsidRPr="005109AF">
        <w:rPr>
          <w:rFonts w:ascii="Arial" w:hAnsi="Arial"/>
          <w:spacing w:val="-1"/>
          <w:u w:color="17365D"/>
        </w:rPr>
        <w:t>t</w:t>
      </w:r>
      <w:r w:rsidRPr="005109AF">
        <w:rPr>
          <w:rFonts w:ascii="Arial" w:hAnsi="Arial"/>
          <w:u w:color="17365D"/>
        </w:rPr>
        <w:t>o</w:t>
      </w:r>
      <w:r w:rsidRPr="005109AF">
        <w:rPr>
          <w:rFonts w:ascii="Arial" w:hAnsi="Arial"/>
          <w:spacing w:val="-1"/>
          <w:u w:color="17365D"/>
        </w:rPr>
        <w:t xml:space="preserve"> </w:t>
      </w:r>
      <w:r w:rsidRPr="005109AF">
        <w:rPr>
          <w:rFonts w:ascii="Arial" w:hAnsi="Arial"/>
          <w:u w:color="17365D"/>
        </w:rPr>
        <w:t>p</w:t>
      </w:r>
      <w:r w:rsidRPr="005109AF">
        <w:rPr>
          <w:rFonts w:ascii="Arial" w:hAnsi="Arial"/>
          <w:spacing w:val="-1"/>
          <w:u w:color="17365D"/>
        </w:rPr>
        <w:t>r</w:t>
      </w:r>
      <w:r w:rsidRPr="005109AF">
        <w:rPr>
          <w:rFonts w:ascii="Arial" w:hAnsi="Arial"/>
          <w:u w:color="17365D"/>
        </w:rPr>
        <w:t>epare an Annual Pay</w:t>
      </w:r>
      <w:r w:rsidRPr="005109AF">
        <w:rPr>
          <w:rFonts w:ascii="Arial" w:eastAsia="Arial" w:hAnsi="Arial" w:cs="Arial"/>
          <w:u w:color="17365D"/>
        </w:rPr>
        <w:t xml:space="preserve"> </w:t>
      </w:r>
      <w:r w:rsidRPr="005109AF">
        <w:rPr>
          <w:rFonts w:ascii="Arial" w:hAnsi="Arial"/>
          <w:u w:color="17365D"/>
        </w:rPr>
        <w:t>Poli</w:t>
      </w:r>
      <w:r w:rsidRPr="005109AF">
        <w:rPr>
          <w:rFonts w:ascii="Arial" w:hAnsi="Arial"/>
          <w:spacing w:val="-1"/>
          <w:u w:color="17365D"/>
        </w:rPr>
        <w:t>c</w:t>
      </w:r>
      <w:r w:rsidRPr="005109AF">
        <w:rPr>
          <w:rFonts w:ascii="Arial" w:hAnsi="Arial"/>
          <w:u w:color="17365D"/>
        </w:rPr>
        <w:t>y S</w:t>
      </w:r>
      <w:r w:rsidRPr="005109AF">
        <w:rPr>
          <w:rFonts w:ascii="Arial" w:hAnsi="Arial"/>
          <w:spacing w:val="-1"/>
          <w:u w:color="17365D"/>
        </w:rPr>
        <w:t>t</w:t>
      </w:r>
      <w:r w:rsidRPr="005109AF">
        <w:rPr>
          <w:rFonts w:ascii="Arial" w:hAnsi="Arial"/>
          <w:u w:color="17365D"/>
        </w:rPr>
        <w:t>ate</w:t>
      </w:r>
      <w:r w:rsidRPr="005109AF">
        <w:rPr>
          <w:rFonts w:ascii="Arial" w:hAnsi="Arial"/>
          <w:spacing w:val="-1"/>
          <w:u w:color="17365D"/>
        </w:rPr>
        <w:t>m</w:t>
      </w:r>
      <w:r w:rsidRPr="005109AF">
        <w:rPr>
          <w:rFonts w:ascii="Arial" w:hAnsi="Arial"/>
          <w:u w:color="17365D"/>
        </w:rPr>
        <w:t>ent.</w:t>
      </w:r>
    </w:p>
    <w:p w:rsidR="005109AF" w:rsidRPr="005109AF" w:rsidRDefault="005109AF" w:rsidP="005109AF">
      <w:pPr>
        <w:ind w:left="720" w:hanging="720"/>
        <w:rPr>
          <w:rFonts w:ascii="Arial" w:eastAsia="Arial" w:hAnsi="Arial" w:cs="Arial"/>
          <w:u w:color="17365D"/>
        </w:rPr>
      </w:pPr>
      <w:r w:rsidRPr="005109AF">
        <w:rPr>
          <w:rFonts w:ascii="Arial" w:hAnsi="Arial"/>
          <w:u w:color="17365D"/>
        </w:rPr>
        <w:t>1.2</w:t>
      </w:r>
      <w:r w:rsidRPr="005109AF">
        <w:rPr>
          <w:rFonts w:ascii="Arial" w:hAnsi="Arial"/>
          <w:u w:color="17365D"/>
        </w:rPr>
        <w:tab/>
        <w:t>Suppl</w:t>
      </w:r>
      <w:r w:rsidRPr="005109AF">
        <w:rPr>
          <w:rFonts w:ascii="Arial" w:hAnsi="Arial"/>
          <w:u w:color="17365D"/>
          <w:lang w:val="fr-FR"/>
        </w:rPr>
        <w:t>emen</w:t>
      </w:r>
      <w:r w:rsidRPr="005109AF">
        <w:rPr>
          <w:rFonts w:ascii="Arial" w:hAnsi="Arial"/>
          <w:spacing w:val="-1"/>
          <w:u w:color="17365D"/>
        </w:rPr>
        <w:t>t</w:t>
      </w:r>
      <w:r w:rsidRPr="005109AF">
        <w:rPr>
          <w:rFonts w:ascii="Arial" w:hAnsi="Arial"/>
          <w:u w:color="17365D"/>
          <w:lang w:val="en-US"/>
        </w:rPr>
        <w:t>ary</w:t>
      </w:r>
      <w:r w:rsidRPr="005109AF">
        <w:rPr>
          <w:rFonts w:ascii="Arial" w:hAnsi="Arial"/>
          <w:u w:color="17365D"/>
        </w:rPr>
        <w:t xml:space="preserve"> </w:t>
      </w:r>
      <w:r w:rsidRPr="005109AF">
        <w:rPr>
          <w:rFonts w:ascii="Arial" w:hAnsi="Arial"/>
          <w:spacing w:val="-1"/>
          <w:u w:color="17365D"/>
        </w:rPr>
        <w:t>g</w:t>
      </w:r>
      <w:r w:rsidRPr="005109AF">
        <w:rPr>
          <w:rFonts w:ascii="Arial" w:hAnsi="Arial"/>
          <w:u w:color="17365D"/>
        </w:rPr>
        <w:t xml:space="preserve">uidance </w:t>
      </w:r>
      <w:r w:rsidRPr="005109AF">
        <w:rPr>
          <w:rFonts w:ascii="Arial" w:hAnsi="Arial"/>
          <w:u w:color="17365D"/>
          <w:lang w:val="en-US"/>
        </w:rPr>
        <w:t>w</w:t>
      </w:r>
      <w:r w:rsidRPr="005109AF">
        <w:rPr>
          <w:rFonts w:ascii="Arial" w:hAnsi="Arial"/>
          <w:u w:color="17365D"/>
        </w:rPr>
        <w:t>as</w:t>
      </w:r>
      <w:r w:rsidRPr="005109AF">
        <w:rPr>
          <w:rFonts w:ascii="Arial" w:hAnsi="Arial"/>
          <w:spacing w:val="-1"/>
          <w:u w:color="17365D"/>
        </w:rPr>
        <w:t xml:space="preserve"> </w:t>
      </w:r>
      <w:r w:rsidRPr="005109AF">
        <w:rPr>
          <w:rFonts w:ascii="Arial" w:hAnsi="Arial"/>
          <w:u w:color="17365D"/>
        </w:rPr>
        <w:t>published</w:t>
      </w:r>
      <w:r w:rsidRPr="005109AF">
        <w:rPr>
          <w:rFonts w:ascii="Arial" w:hAnsi="Arial"/>
          <w:spacing w:val="-1"/>
          <w:u w:color="17365D"/>
        </w:rPr>
        <w:t xml:space="preserve"> </w:t>
      </w:r>
      <w:r w:rsidRPr="005109AF">
        <w:rPr>
          <w:rFonts w:ascii="Arial" w:hAnsi="Arial"/>
          <w:u w:color="17365D"/>
        </w:rPr>
        <w:t>in</w:t>
      </w:r>
      <w:r w:rsidRPr="005109AF">
        <w:rPr>
          <w:rFonts w:ascii="Arial" w:hAnsi="Arial"/>
          <w:spacing w:val="-1"/>
          <w:u w:color="17365D"/>
        </w:rPr>
        <w:t xml:space="preserve"> </w:t>
      </w:r>
      <w:r w:rsidRPr="005109AF">
        <w:rPr>
          <w:rFonts w:ascii="Arial" w:hAnsi="Arial"/>
          <w:u w:color="17365D"/>
        </w:rPr>
        <w:t>Februa</w:t>
      </w:r>
      <w:r w:rsidRPr="005109AF">
        <w:rPr>
          <w:rFonts w:ascii="Arial" w:hAnsi="Arial"/>
          <w:spacing w:val="-1"/>
          <w:u w:color="17365D"/>
        </w:rPr>
        <w:t>r</w:t>
      </w:r>
      <w:r w:rsidRPr="005109AF">
        <w:rPr>
          <w:rFonts w:ascii="Arial" w:hAnsi="Arial"/>
          <w:u w:color="17365D"/>
        </w:rPr>
        <w:t>y 2013</w:t>
      </w:r>
      <w:r w:rsidRPr="005109AF">
        <w:rPr>
          <w:rFonts w:ascii="Arial" w:hAnsi="Arial"/>
          <w:spacing w:val="-1"/>
          <w:u w:color="17365D"/>
        </w:rPr>
        <w:t xml:space="preserve"> </w:t>
      </w:r>
      <w:r w:rsidRPr="005109AF">
        <w:rPr>
          <w:rFonts w:ascii="Arial" w:hAnsi="Arial"/>
          <w:u w:color="17365D"/>
          <w:lang w:val="en-US"/>
        </w:rPr>
        <w:t>–</w:t>
      </w:r>
      <w:r w:rsidRPr="005109AF">
        <w:rPr>
          <w:rFonts w:ascii="Arial" w:hAnsi="Arial"/>
          <w:u w:color="17365D"/>
        </w:rPr>
        <w:t xml:space="preserve"> </w:t>
      </w:r>
      <w:r w:rsidRPr="005109AF">
        <w:rPr>
          <w:rFonts w:ascii="Arial" w:hAnsi="Arial"/>
          <w:spacing w:val="-1"/>
          <w:u w:color="17365D"/>
          <w:lang w:val="en-US"/>
        </w:rPr>
        <w:t>“</w:t>
      </w:r>
      <w:r w:rsidRPr="005109AF">
        <w:rPr>
          <w:rFonts w:ascii="Arial" w:hAnsi="Arial"/>
          <w:spacing w:val="-1"/>
          <w:u w:color="17365D"/>
        </w:rPr>
        <w:t>O</w:t>
      </w:r>
      <w:r w:rsidRPr="005109AF">
        <w:rPr>
          <w:rFonts w:ascii="Arial" w:hAnsi="Arial"/>
          <w:u w:color="17365D"/>
        </w:rPr>
        <w:t>penness</w:t>
      </w:r>
      <w:r w:rsidRPr="005109AF">
        <w:rPr>
          <w:rFonts w:ascii="Arial" w:hAnsi="Arial"/>
          <w:spacing w:val="-1"/>
          <w:u w:color="17365D"/>
        </w:rPr>
        <w:t xml:space="preserve"> </w:t>
      </w:r>
      <w:r w:rsidRPr="005109AF">
        <w:rPr>
          <w:rFonts w:ascii="Arial" w:hAnsi="Arial"/>
          <w:u w:color="17365D"/>
        </w:rPr>
        <w:t>and A</w:t>
      </w:r>
      <w:r w:rsidRPr="005109AF">
        <w:rPr>
          <w:rFonts w:ascii="Arial" w:hAnsi="Arial"/>
          <w:u w:color="17365D"/>
          <w:lang w:val="it-IT"/>
        </w:rPr>
        <w:t>cco</w:t>
      </w:r>
      <w:r w:rsidRPr="005109AF">
        <w:rPr>
          <w:rFonts w:ascii="Arial" w:hAnsi="Arial"/>
          <w:u w:color="17365D"/>
        </w:rPr>
        <w:t>untabili</w:t>
      </w:r>
      <w:r w:rsidRPr="005109AF">
        <w:rPr>
          <w:rFonts w:ascii="Arial" w:hAnsi="Arial"/>
          <w:spacing w:val="-1"/>
          <w:u w:color="17365D"/>
        </w:rPr>
        <w:t>t</w:t>
      </w:r>
      <w:r w:rsidRPr="005109AF">
        <w:rPr>
          <w:rFonts w:ascii="Arial" w:hAnsi="Arial"/>
          <w:u w:color="17365D"/>
        </w:rPr>
        <w:t>y in</w:t>
      </w:r>
      <w:r w:rsidRPr="005109AF">
        <w:rPr>
          <w:rFonts w:ascii="Arial" w:hAnsi="Arial"/>
          <w:spacing w:val="-1"/>
          <w:u w:color="17365D"/>
        </w:rPr>
        <w:t xml:space="preserve"> </w:t>
      </w:r>
      <w:r w:rsidRPr="005109AF">
        <w:rPr>
          <w:rFonts w:ascii="Arial" w:hAnsi="Arial"/>
          <w:u w:color="17365D"/>
        </w:rPr>
        <w:t>Lo</w:t>
      </w:r>
      <w:r w:rsidRPr="005109AF">
        <w:rPr>
          <w:rFonts w:ascii="Arial" w:hAnsi="Arial"/>
          <w:u w:color="17365D"/>
          <w:lang w:val="en-US"/>
        </w:rPr>
        <w:t xml:space="preserve">cal </w:t>
      </w:r>
      <w:r w:rsidRPr="005109AF">
        <w:rPr>
          <w:rFonts w:ascii="Arial" w:hAnsi="Arial"/>
          <w:u w:color="17365D"/>
        </w:rPr>
        <w:t xml:space="preserve">Pay: </w:t>
      </w:r>
      <w:r w:rsidRPr="005109AF">
        <w:rPr>
          <w:rFonts w:ascii="Arial" w:hAnsi="Arial"/>
          <w:spacing w:val="-1"/>
          <w:u w:color="17365D"/>
        </w:rPr>
        <w:t xml:space="preserve"> </w:t>
      </w:r>
      <w:r w:rsidRPr="005109AF">
        <w:rPr>
          <w:rFonts w:ascii="Arial" w:hAnsi="Arial"/>
          <w:u w:color="17365D"/>
        </w:rPr>
        <w:t>Supplemen</w:t>
      </w:r>
      <w:r w:rsidRPr="005109AF">
        <w:rPr>
          <w:rFonts w:ascii="Arial" w:hAnsi="Arial"/>
          <w:spacing w:val="-1"/>
          <w:u w:color="17365D"/>
        </w:rPr>
        <w:t>t</w:t>
      </w:r>
      <w:r w:rsidRPr="005109AF">
        <w:rPr>
          <w:rFonts w:ascii="Arial" w:hAnsi="Arial"/>
          <w:u w:color="17365D"/>
          <w:lang w:val="en-US"/>
        </w:rPr>
        <w:t xml:space="preserve">ary </w:t>
      </w:r>
      <w:r w:rsidRPr="005109AF">
        <w:rPr>
          <w:rFonts w:ascii="Arial" w:hAnsi="Arial"/>
          <w:spacing w:val="-1"/>
          <w:u w:color="17365D"/>
        </w:rPr>
        <w:t>G</w:t>
      </w:r>
      <w:r w:rsidRPr="005109AF">
        <w:rPr>
          <w:rFonts w:ascii="Arial" w:hAnsi="Arial"/>
          <w:u w:color="17365D"/>
        </w:rPr>
        <w:t>uidance</w:t>
      </w:r>
      <w:r w:rsidRPr="005109AF">
        <w:rPr>
          <w:rFonts w:ascii="Arial" w:hAnsi="Arial"/>
          <w:u w:color="17365D"/>
          <w:lang w:val="en-US"/>
        </w:rPr>
        <w:t>”</w:t>
      </w:r>
      <w:r w:rsidRPr="005109AF">
        <w:rPr>
          <w:rFonts w:ascii="Arial" w:hAnsi="Arial"/>
          <w:u w:color="17365D"/>
        </w:rPr>
        <w:t xml:space="preserve">. </w:t>
      </w:r>
      <w:r w:rsidRPr="005109AF">
        <w:rPr>
          <w:rFonts w:ascii="Arial" w:hAnsi="Arial"/>
          <w:spacing w:val="-1"/>
          <w:u w:color="17365D"/>
        </w:rPr>
        <w:t xml:space="preserve"> </w:t>
      </w:r>
      <w:r w:rsidRPr="005109AF">
        <w:rPr>
          <w:rFonts w:ascii="Arial" w:hAnsi="Arial"/>
          <w:u w:color="17365D"/>
        </w:rPr>
        <w:t xml:space="preserve">Due </w:t>
      </w:r>
      <w:r w:rsidRPr="005109AF">
        <w:rPr>
          <w:rFonts w:ascii="Arial" w:hAnsi="Arial"/>
          <w:spacing w:val="-1"/>
          <w:u w:color="17365D"/>
        </w:rPr>
        <w:t>r</w:t>
      </w:r>
      <w:r w:rsidRPr="005109AF">
        <w:rPr>
          <w:rFonts w:ascii="Arial" w:hAnsi="Arial"/>
          <w:u w:color="17365D"/>
        </w:rPr>
        <w:t>e</w:t>
      </w:r>
      <w:r w:rsidRPr="005109AF">
        <w:rPr>
          <w:rFonts w:ascii="Arial" w:hAnsi="Arial"/>
          <w:spacing w:val="-1"/>
          <w:u w:color="17365D"/>
        </w:rPr>
        <w:t>g</w:t>
      </w:r>
      <w:r w:rsidRPr="005109AF">
        <w:rPr>
          <w:rFonts w:ascii="Arial" w:hAnsi="Arial"/>
          <w:u w:color="17365D"/>
        </w:rPr>
        <w:t>a</w:t>
      </w:r>
      <w:r w:rsidRPr="005109AF">
        <w:rPr>
          <w:rFonts w:ascii="Arial" w:hAnsi="Arial"/>
          <w:spacing w:val="-1"/>
          <w:u w:color="17365D"/>
        </w:rPr>
        <w:t>r</w:t>
      </w:r>
      <w:r w:rsidRPr="005109AF">
        <w:rPr>
          <w:rFonts w:ascii="Arial" w:hAnsi="Arial"/>
          <w:u w:color="17365D"/>
        </w:rPr>
        <w:t>d</w:t>
      </w:r>
      <w:r w:rsidRPr="005109AF">
        <w:rPr>
          <w:rFonts w:ascii="Arial" w:hAnsi="Arial"/>
          <w:spacing w:val="-1"/>
          <w:u w:color="17365D"/>
        </w:rPr>
        <w:t xml:space="preserve"> </w:t>
      </w:r>
      <w:r w:rsidRPr="005109AF">
        <w:rPr>
          <w:rFonts w:ascii="Arial" w:hAnsi="Arial"/>
          <w:u w:color="17365D"/>
        </w:rPr>
        <w:t xml:space="preserve">has been </w:t>
      </w:r>
      <w:r w:rsidRPr="005109AF">
        <w:rPr>
          <w:rFonts w:ascii="Arial" w:hAnsi="Arial"/>
          <w:spacing w:val="-1"/>
          <w:u w:color="17365D"/>
        </w:rPr>
        <w:t>g</w:t>
      </w:r>
      <w:r w:rsidRPr="005109AF">
        <w:rPr>
          <w:rFonts w:ascii="Arial" w:hAnsi="Arial"/>
          <w:u w:color="17365D"/>
        </w:rPr>
        <w:t>iven</w:t>
      </w:r>
      <w:r w:rsidRPr="005109AF">
        <w:rPr>
          <w:rFonts w:ascii="Arial" w:hAnsi="Arial"/>
          <w:spacing w:val="-1"/>
          <w:u w:color="17365D"/>
          <w:lang w:val="en-US"/>
        </w:rPr>
        <w:t xml:space="preserve"> to t</w:t>
      </w:r>
      <w:r w:rsidRPr="005109AF">
        <w:rPr>
          <w:rFonts w:ascii="Arial" w:hAnsi="Arial"/>
          <w:u w:color="17365D"/>
        </w:rPr>
        <w:t xml:space="preserve">hat </w:t>
      </w:r>
      <w:r w:rsidRPr="005109AF">
        <w:rPr>
          <w:rFonts w:ascii="Arial" w:hAnsi="Arial"/>
          <w:spacing w:val="-1"/>
          <w:u w:color="17365D"/>
        </w:rPr>
        <w:t>g</w:t>
      </w:r>
      <w:r w:rsidRPr="005109AF">
        <w:rPr>
          <w:rFonts w:ascii="Arial" w:hAnsi="Arial"/>
          <w:u w:color="17365D"/>
        </w:rPr>
        <w:t>uidance</w:t>
      </w:r>
      <w:r w:rsidRPr="005109AF">
        <w:rPr>
          <w:rFonts w:ascii="Arial" w:hAnsi="Arial"/>
          <w:spacing w:val="-1"/>
          <w:u w:color="17365D"/>
        </w:rPr>
        <w:t xml:space="preserve"> </w:t>
      </w:r>
      <w:r w:rsidRPr="005109AF">
        <w:rPr>
          <w:rFonts w:ascii="Arial" w:hAnsi="Arial"/>
          <w:u w:color="17365D"/>
        </w:rPr>
        <w:t>in</w:t>
      </w:r>
      <w:r w:rsidRPr="005109AF">
        <w:rPr>
          <w:rFonts w:ascii="Arial" w:hAnsi="Arial"/>
          <w:spacing w:val="-1"/>
          <w:u w:color="17365D"/>
        </w:rPr>
        <w:t xml:space="preserve"> </w:t>
      </w:r>
      <w:r w:rsidRPr="005109AF">
        <w:rPr>
          <w:rFonts w:ascii="Arial" w:hAnsi="Arial"/>
          <w:u w:color="17365D"/>
        </w:rPr>
        <w:t>p</w:t>
      </w:r>
      <w:r w:rsidRPr="005109AF">
        <w:rPr>
          <w:rFonts w:ascii="Arial" w:hAnsi="Arial"/>
          <w:spacing w:val="-1"/>
          <w:u w:color="17365D"/>
        </w:rPr>
        <w:t>r</w:t>
      </w:r>
      <w:r w:rsidRPr="005109AF">
        <w:rPr>
          <w:rFonts w:ascii="Arial" w:hAnsi="Arial"/>
          <w:u w:color="17365D"/>
        </w:rPr>
        <w:t>eparation</w:t>
      </w:r>
      <w:r w:rsidRPr="005109AF">
        <w:rPr>
          <w:rFonts w:ascii="Arial" w:hAnsi="Arial"/>
          <w:spacing w:val="-1"/>
          <w:u w:color="17365D"/>
        </w:rPr>
        <w:t xml:space="preserve"> </w:t>
      </w:r>
      <w:r w:rsidRPr="005109AF">
        <w:rPr>
          <w:rFonts w:ascii="Arial" w:hAnsi="Arial"/>
          <w:u w:color="17365D"/>
        </w:rPr>
        <w:t>of</w:t>
      </w:r>
      <w:r w:rsidRPr="005109AF">
        <w:rPr>
          <w:rFonts w:ascii="Arial" w:hAnsi="Arial"/>
          <w:spacing w:val="-1"/>
          <w:u w:color="17365D"/>
        </w:rPr>
        <w:t xml:space="preserve"> t</w:t>
      </w:r>
      <w:r w:rsidRPr="005109AF">
        <w:rPr>
          <w:rFonts w:ascii="Arial" w:hAnsi="Arial"/>
          <w:u w:color="17365D"/>
        </w:rPr>
        <w:t>his</w:t>
      </w:r>
      <w:r w:rsidRPr="005109AF">
        <w:rPr>
          <w:rFonts w:ascii="Arial" w:hAnsi="Arial"/>
          <w:spacing w:val="-1"/>
          <w:u w:color="17365D"/>
        </w:rPr>
        <w:t xml:space="preserve"> </w:t>
      </w:r>
      <w:r w:rsidRPr="005109AF">
        <w:rPr>
          <w:rFonts w:ascii="Arial" w:hAnsi="Arial"/>
          <w:u w:color="17365D"/>
        </w:rPr>
        <w:t>policy.</w:t>
      </w:r>
    </w:p>
    <w:p w:rsidR="005109AF" w:rsidRPr="005109AF" w:rsidRDefault="005109AF" w:rsidP="005109AF">
      <w:pPr>
        <w:ind w:left="720" w:hanging="720"/>
        <w:rPr>
          <w:rFonts w:ascii="Arial" w:eastAsia="Arial" w:hAnsi="Arial" w:cs="Arial"/>
          <w:u w:color="17365D"/>
        </w:rPr>
      </w:pPr>
      <w:r w:rsidRPr="005109AF">
        <w:rPr>
          <w:rFonts w:ascii="Arial" w:hAnsi="Arial"/>
          <w:spacing w:val="-1"/>
          <w:u w:color="17365D"/>
        </w:rPr>
        <w:t>1.3</w:t>
      </w:r>
      <w:r w:rsidRPr="005109AF">
        <w:rPr>
          <w:rFonts w:ascii="Arial" w:hAnsi="Arial"/>
          <w:spacing w:val="-1"/>
          <w:u w:color="17365D"/>
        </w:rPr>
        <w:tab/>
        <w:t>I</w:t>
      </w:r>
      <w:r w:rsidRPr="005109AF">
        <w:rPr>
          <w:rFonts w:ascii="Arial" w:hAnsi="Arial"/>
          <w:u w:color="17365D"/>
        </w:rPr>
        <w:t>n</w:t>
      </w:r>
      <w:r w:rsidRPr="005109AF">
        <w:rPr>
          <w:rFonts w:ascii="Arial" w:hAnsi="Arial"/>
          <w:spacing w:val="-1"/>
          <w:u w:color="17365D"/>
        </w:rPr>
        <w:t xml:space="preserve"> </w:t>
      </w:r>
      <w:r w:rsidRPr="005109AF">
        <w:rPr>
          <w:rFonts w:ascii="Arial" w:hAnsi="Arial"/>
          <w:u w:color="17365D"/>
        </w:rPr>
        <w:t xml:space="preserve">dealing </w:t>
      </w:r>
      <w:r w:rsidRPr="005109AF">
        <w:rPr>
          <w:rFonts w:ascii="Arial" w:hAnsi="Arial"/>
          <w:u w:color="17365D"/>
          <w:lang w:val="en-US"/>
        </w:rPr>
        <w:t>w</w:t>
      </w:r>
      <w:r w:rsidRPr="005109AF">
        <w:rPr>
          <w:rFonts w:ascii="Arial" w:hAnsi="Arial"/>
          <w:u w:color="17365D"/>
        </w:rPr>
        <w:t>i</w:t>
      </w:r>
      <w:r w:rsidRPr="005109AF">
        <w:rPr>
          <w:rFonts w:ascii="Arial" w:hAnsi="Arial"/>
          <w:spacing w:val="-1"/>
          <w:u w:color="17365D"/>
        </w:rPr>
        <w:t>t</w:t>
      </w:r>
      <w:r w:rsidRPr="005109AF">
        <w:rPr>
          <w:rFonts w:ascii="Arial" w:hAnsi="Arial"/>
          <w:u w:color="17365D"/>
        </w:rPr>
        <w:t>h</w:t>
      </w:r>
      <w:r w:rsidRPr="005109AF">
        <w:rPr>
          <w:rFonts w:ascii="Arial" w:hAnsi="Arial"/>
          <w:spacing w:val="-1"/>
          <w:u w:color="17365D"/>
        </w:rPr>
        <w:t xml:space="preserve"> </w:t>
      </w:r>
      <w:r w:rsidRPr="005109AF">
        <w:rPr>
          <w:rFonts w:ascii="Arial" w:hAnsi="Arial"/>
          <w:u w:color="17365D"/>
        </w:rPr>
        <w:t>s</w:t>
      </w:r>
      <w:r w:rsidRPr="005109AF">
        <w:rPr>
          <w:rFonts w:ascii="Arial" w:hAnsi="Arial"/>
          <w:spacing w:val="-1"/>
          <w:u w:color="17365D"/>
        </w:rPr>
        <w:t>t</w:t>
      </w:r>
      <w:r w:rsidRPr="005109AF">
        <w:rPr>
          <w:rFonts w:ascii="Arial" w:hAnsi="Arial"/>
          <w:u w:color="17365D"/>
        </w:rPr>
        <w:t>a</w:t>
      </w:r>
      <w:r w:rsidRPr="005109AF">
        <w:rPr>
          <w:rFonts w:ascii="Arial" w:hAnsi="Arial"/>
          <w:spacing w:val="-1"/>
          <w:u w:color="17365D"/>
        </w:rPr>
        <w:t>f</w:t>
      </w:r>
      <w:r w:rsidRPr="005109AF">
        <w:rPr>
          <w:rFonts w:ascii="Arial" w:hAnsi="Arial"/>
          <w:u w:color="17365D"/>
          <w:lang w:val="en-US"/>
        </w:rPr>
        <w:t>f pay</w:t>
      </w:r>
      <w:r w:rsidRPr="005109AF">
        <w:rPr>
          <w:rFonts w:ascii="Arial" w:hAnsi="Arial"/>
          <w:u w:color="17365D"/>
        </w:rPr>
        <w:t xml:space="preserve"> it</w:t>
      </w:r>
      <w:r w:rsidRPr="005109AF">
        <w:rPr>
          <w:rFonts w:ascii="Arial" w:hAnsi="Arial"/>
          <w:spacing w:val="-1"/>
          <w:u w:color="17365D"/>
        </w:rPr>
        <w:t xml:space="preserve"> </w:t>
      </w:r>
      <w:r w:rsidRPr="005109AF">
        <w:rPr>
          <w:rFonts w:ascii="Arial" w:hAnsi="Arial"/>
          <w:u w:color="17365D"/>
        </w:rPr>
        <w:t xml:space="preserve">is </w:t>
      </w:r>
      <w:r w:rsidRPr="005109AF">
        <w:rPr>
          <w:rFonts w:ascii="Arial" w:hAnsi="Arial"/>
          <w:spacing w:val="-1"/>
          <w:u w:color="17365D"/>
        </w:rPr>
        <w:t>t</w:t>
      </w:r>
      <w:r w:rsidRPr="005109AF">
        <w:rPr>
          <w:rFonts w:ascii="Arial" w:hAnsi="Arial"/>
          <w:u w:color="17365D"/>
        </w:rPr>
        <w:t>he</w:t>
      </w:r>
      <w:r w:rsidRPr="005109AF">
        <w:rPr>
          <w:rFonts w:ascii="Arial" w:hAnsi="Arial"/>
          <w:spacing w:val="-1"/>
          <w:u w:color="17365D"/>
        </w:rPr>
        <w:t xml:space="preserve"> </w:t>
      </w:r>
      <w:r w:rsidRPr="005109AF">
        <w:rPr>
          <w:rFonts w:ascii="Arial" w:hAnsi="Arial"/>
          <w:u w:color="17365D"/>
        </w:rPr>
        <w:t>Council</w:t>
      </w:r>
      <w:r w:rsidRPr="005109AF">
        <w:rPr>
          <w:rFonts w:ascii="Arial" w:hAnsi="Arial"/>
          <w:u w:color="17365D"/>
          <w:lang w:val="en-US"/>
        </w:rPr>
        <w:t>’</w:t>
      </w:r>
      <w:r w:rsidRPr="005109AF">
        <w:rPr>
          <w:rFonts w:ascii="Arial" w:hAnsi="Arial"/>
          <w:u w:color="17365D"/>
        </w:rPr>
        <w:t>s</w:t>
      </w:r>
      <w:r w:rsidRPr="005109AF">
        <w:rPr>
          <w:rFonts w:ascii="Arial" w:hAnsi="Arial"/>
          <w:spacing w:val="-1"/>
          <w:u w:color="17365D"/>
        </w:rPr>
        <w:t xml:space="preserve"> </w:t>
      </w:r>
      <w:r w:rsidRPr="005109AF">
        <w:rPr>
          <w:rFonts w:ascii="Arial" w:hAnsi="Arial"/>
          <w:u w:color="17365D"/>
        </w:rPr>
        <w:t>s</w:t>
      </w:r>
      <w:r w:rsidRPr="005109AF">
        <w:rPr>
          <w:rFonts w:ascii="Arial" w:hAnsi="Arial"/>
          <w:spacing w:val="-1"/>
          <w:u w:color="17365D"/>
        </w:rPr>
        <w:t>tr</w:t>
      </w:r>
      <w:r w:rsidRPr="005109AF">
        <w:rPr>
          <w:rFonts w:ascii="Arial" w:hAnsi="Arial"/>
          <w:u w:color="17365D"/>
        </w:rPr>
        <w:t>a</w:t>
      </w:r>
      <w:r w:rsidRPr="005109AF">
        <w:rPr>
          <w:rFonts w:ascii="Arial" w:hAnsi="Arial"/>
          <w:spacing w:val="-1"/>
          <w:u w:color="17365D"/>
        </w:rPr>
        <w:t>t</w:t>
      </w:r>
      <w:r w:rsidRPr="005109AF">
        <w:rPr>
          <w:rFonts w:ascii="Arial" w:hAnsi="Arial"/>
          <w:u w:color="17365D"/>
        </w:rPr>
        <w:t>e</w:t>
      </w:r>
      <w:r w:rsidRPr="005109AF">
        <w:rPr>
          <w:rFonts w:ascii="Arial" w:hAnsi="Arial"/>
          <w:spacing w:val="-1"/>
          <w:u w:color="17365D"/>
        </w:rPr>
        <w:t>g</w:t>
      </w:r>
      <w:r w:rsidRPr="005109AF">
        <w:rPr>
          <w:rFonts w:ascii="Arial" w:hAnsi="Arial"/>
          <w:u w:color="17365D"/>
        </w:rPr>
        <w:t xml:space="preserve">y </w:t>
      </w:r>
      <w:r w:rsidRPr="005109AF">
        <w:rPr>
          <w:rFonts w:ascii="Arial" w:hAnsi="Arial"/>
          <w:spacing w:val="-1"/>
          <w:u w:color="17365D"/>
        </w:rPr>
        <w:t>t</w:t>
      </w:r>
      <w:r w:rsidRPr="005109AF">
        <w:rPr>
          <w:rFonts w:ascii="Arial" w:hAnsi="Arial"/>
          <w:u w:color="17365D"/>
        </w:rPr>
        <w:t>o en</w:t>
      </w:r>
      <w:r w:rsidRPr="005109AF">
        <w:rPr>
          <w:rFonts w:ascii="Arial" w:hAnsi="Arial"/>
          <w:u w:color="17365D"/>
          <w:lang w:val="fr-FR"/>
        </w:rPr>
        <w:t>sure</w:t>
      </w:r>
      <w:r w:rsidRPr="005109AF">
        <w:rPr>
          <w:rFonts w:ascii="Arial" w:hAnsi="Arial"/>
          <w:u w:color="17365D"/>
        </w:rPr>
        <w:t xml:space="preserve"> </w:t>
      </w:r>
      <w:r w:rsidRPr="005109AF">
        <w:rPr>
          <w:rFonts w:ascii="Arial" w:hAnsi="Arial"/>
          <w:spacing w:val="-1"/>
          <w:u w:color="17365D"/>
        </w:rPr>
        <w:t>t</w:t>
      </w:r>
      <w:r w:rsidRPr="005109AF">
        <w:rPr>
          <w:rFonts w:ascii="Arial" w:hAnsi="Arial"/>
          <w:u w:color="17365D"/>
        </w:rPr>
        <w:t>hat</w:t>
      </w:r>
      <w:r w:rsidRPr="005109AF">
        <w:rPr>
          <w:rFonts w:ascii="Arial" w:hAnsi="Arial"/>
          <w:spacing w:val="-1"/>
          <w:u w:color="17365D"/>
        </w:rPr>
        <w:t xml:space="preserve"> </w:t>
      </w:r>
      <w:r w:rsidRPr="005109AF">
        <w:rPr>
          <w:rFonts w:ascii="Arial" w:hAnsi="Arial"/>
          <w:u w:color="17365D"/>
        </w:rPr>
        <w:t>our</w:t>
      </w:r>
      <w:r w:rsidRPr="005109AF">
        <w:rPr>
          <w:rFonts w:ascii="Arial" w:hAnsi="Arial"/>
          <w:spacing w:val="-1"/>
          <w:u w:color="17365D"/>
        </w:rPr>
        <w:t xml:space="preserve"> </w:t>
      </w:r>
      <w:r w:rsidRPr="005109AF">
        <w:rPr>
          <w:rFonts w:ascii="Arial" w:hAnsi="Arial"/>
          <w:u w:color="17365D"/>
        </w:rPr>
        <w:t>Pay Policy</w:t>
      </w:r>
      <w:r w:rsidRPr="005109AF">
        <w:rPr>
          <w:rFonts w:ascii="Arial" w:eastAsia="Arial" w:hAnsi="Arial" w:cs="Arial"/>
          <w:u w:color="17365D"/>
        </w:rPr>
        <w:t xml:space="preserve"> </w:t>
      </w:r>
      <w:r w:rsidRPr="005109AF">
        <w:rPr>
          <w:rFonts w:ascii="Arial" w:hAnsi="Arial"/>
          <w:spacing w:val="-1"/>
          <w:u w:color="17365D"/>
        </w:rPr>
        <w:t>f</w:t>
      </w:r>
      <w:r w:rsidRPr="005109AF">
        <w:rPr>
          <w:rFonts w:ascii="Arial" w:hAnsi="Arial"/>
          <w:u w:color="17365D"/>
        </w:rPr>
        <w:t>acili</w:t>
      </w:r>
      <w:r w:rsidRPr="005109AF">
        <w:rPr>
          <w:rFonts w:ascii="Arial" w:hAnsi="Arial"/>
          <w:spacing w:val="-1"/>
          <w:u w:color="17365D"/>
        </w:rPr>
        <w:t>t</w:t>
      </w:r>
      <w:r w:rsidRPr="005109AF">
        <w:rPr>
          <w:rFonts w:ascii="Arial" w:hAnsi="Arial"/>
          <w:u w:color="17365D"/>
          <w:lang w:val="en-US"/>
        </w:rPr>
        <w:t xml:space="preserve">ates </w:t>
      </w:r>
      <w:r w:rsidRPr="005109AF">
        <w:rPr>
          <w:rFonts w:ascii="Arial" w:hAnsi="Arial"/>
          <w:spacing w:val="-1"/>
          <w:u w:color="17365D"/>
        </w:rPr>
        <w:t>t</w:t>
      </w:r>
      <w:r w:rsidRPr="005109AF">
        <w:rPr>
          <w:rFonts w:ascii="Arial" w:hAnsi="Arial"/>
          <w:u w:color="17365D"/>
        </w:rPr>
        <w:t xml:space="preserve">he </w:t>
      </w:r>
      <w:r w:rsidRPr="005109AF">
        <w:rPr>
          <w:rFonts w:ascii="Arial" w:hAnsi="Arial"/>
          <w:spacing w:val="-1"/>
          <w:u w:color="17365D"/>
        </w:rPr>
        <w:t>r</w:t>
      </w:r>
      <w:r w:rsidRPr="005109AF">
        <w:rPr>
          <w:rFonts w:ascii="Arial" w:hAnsi="Arial"/>
          <w:u w:color="17365D"/>
        </w:rPr>
        <w:t>ec</w:t>
      </w:r>
      <w:r w:rsidRPr="005109AF">
        <w:rPr>
          <w:rFonts w:ascii="Arial" w:hAnsi="Arial"/>
          <w:spacing w:val="-1"/>
          <w:u w:color="17365D"/>
        </w:rPr>
        <w:t>r</w:t>
      </w:r>
      <w:r w:rsidRPr="005109AF">
        <w:rPr>
          <w:rFonts w:ascii="Arial" w:hAnsi="Arial"/>
          <w:u w:color="17365D"/>
        </w:rPr>
        <w:t>ui</w:t>
      </w:r>
      <w:r w:rsidRPr="005109AF">
        <w:rPr>
          <w:rFonts w:ascii="Arial" w:hAnsi="Arial"/>
          <w:spacing w:val="-1"/>
          <w:u w:color="17365D"/>
        </w:rPr>
        <w:t>tm</w:t>
      </w:r>
      <w:r w:rsidRPr="005109AF">
        <w:rPr>
          <w:rFonts w:ascii="Arial" w:hAnsi="Arial"/>
          <w:u w:color="17365D"/>
        </w:rPr>
        <w:t>ent</w:t>
      </w:r>
      <w:r w:rsidRPr="005109AF">
        <w:rPr>
          <w:rFonts w:ascii="Arial" w:hAnsi="Arial"/>
          <w:spacing w:val="-1"/>
          <w:u w:color="17365D"/>
        </w:rPr>
        <w:t xml:space="preserve"> </w:t>
      </w:r>
      <w:r w:rsidRPr="005109AF">
        <w:rPr>
          <w:rFonts w:ascii="Arial" w:hAnsi="Arial"/>
          <w:u w:color="17365D"/>
        </w:rPr>
        <w:t xml:space="preserve">and </w:t>
      </w:r>
      <w:r w:rsidRPr="005109AF">
        <w:rPr>
          <w:rFonts w:ascii="Arial" w:hAnsi="Arial"/>
          <w:spacing w:val="-1"/>
          <w:u w:color="17365D"/>
        </w:rPr>
        <w:t>r</w:t>
      </w:r>
      <w:r w:rsidRPr="005109AF">
        <w:rPr>
          <w:rFonts w:ascii="Arial" w:hAnsi="Arial"/>
          <w:u w:color="17365D"/>
        </w:rPr>
        <w:t>eten</w:t>
      </w:r>
      <w:r w:rsidRPr="005109AF">
        <w:rPr>
          <w:rFonts w:ascii="Arial" w:hAnsi="Arial"/>
          <w:spacing w:val="-1"/>
          <w:u w:color="17365D"/>
        </w:rPr>
        <w:t>t</w:t>
      </w:r>
      <w:r w:rsidRPr="005109AF">
        <w:rPr>
          <w:rFonts w:ascii="Arial" w:hAnsi="Arial"/>
          <w:u w:color="17365D"/>
        </w:rPr>
        <w:t>ion</w:t>
      </w:r>
      <w:r w:rsidRPr="005109AF">
        <w:rPr>
          <w:rFonts w:ascii="Arial" w:hAnsi="Arial"/>
          <w:spacing w:val="-1"/>
          <w:u w:color="17365D"/>
        </w:rPr>
        <w:t xml:space="preserve"> </w:t>
      </w:r>
      <w:r w:rsidRPr="005109AF">
        <w:rPr>
          <w:rFonts w:ascii="Arial" w:hAnsi="Arial"/>
          <w:u w:color="17365D"/>
        </w:rPr>
        <w:t>of</w:t>
      </w:r>
      <w:r w:rsidRPr="005109AF">
        <w:rPr>
          <w:rFonts w:ascii="Arial" w:hAnsi="Arial"/>
          <w:spacing w:val="-1"/>
          <w:u w:color="17365D"/>
        </w:rPr>
        <w:t xml:space="preserve"> </w:t>
      </w:r>
      <w:r w:rsidRPr="005109AF">
        <w:rPr>
          <w:rFonts w:ascii="Arial" w:hAnsi="Arial"/>
          <w:u w:color="17365D"/>
        </w:rPr>
        <w:t>s</w:t>
      </w:r>
      <w:r w:rsidRPr="005109AF">
        <w:rPr>
          <w:rFonts w:ascii="Arial" w:hAnsi="Arial"/>
          <w:spacing w:val="-1"/>
          <w:u w:color="17365D"/>
        </w:rPr>
        <w:t>t</w:t>
      </w:r>
      <w:r w:rsidRPr="005109AF">
        <w:rPr>
          <w:rFonts w:ascii="Arial" w:hAnsi="Arial"/>
          <w:u w:color="17365D"/>
        </w:rPr>
        <w:t>a</w:t>
      </w:r>
      <w:r w:rsidRPr="005109AF">
        <w:rPr>
          <w:rFonts w:ascii="Arial" w:hAnsi="Arial"/>
          <w:spacing w:val="-1"/>
          <w:u w:color="17365D"/>
        </w:rPr>
        <w:t>f</w:t>
      </w:r>
      <w:r w:rsidRPr="005109AF">
        <w:rPr>
          <w:rFonts w:ascii="Arial" w:hAnsi="Arial"/>
          <w:u w:color="17365D"/>
        </w:rPr>
        <w:t>f</w:t>
      </w:r>
      <w:r w:rsidRPr="005109AF">
        <w:rPr>
          <w:rFonts w:ascii="Arial" w:hAnsi="Arial"/>
          <w:spacing w:val="-1"/>
          <w:u w:color="17365D"/>
        </w:rPr>
        <w:t xml:space="preserve"> </w:t>
      </w:r>
      <w:r w:rsidRPr="005109AF">
        <w:rPr>
          <w:rFonts w:ascii="Arial" w:hAnsi="Arial"/>
          <w:u w:color="17365D"/>
          <w:lang w:val="en-US"/>
        </w:rPr>
        <w:t>w</w:t>
      </w:r>
      <w:r w:rsidRPr="005109AF">
        <w:rPr>
          <w:rFonts w:ascii="Arial" w:hAnsi="Arial"/>
          <w:u w:color="17365D"/>
        </w:rPr>
        <w:t>i</w:t>
      </w:r>
      <w:r w:rsidRPr="005109AF">
        <w:rPr>
          <w:rFonts w:ascii="Arial" w:hAnsi="Arial"/>
          <w:spacing w:val="-1"/>
          <w:u w:color="17365D"/>
        </w:rPr>
        <w:t>t</w:t>
      </w:r>
      <w:r w:rsidRPr="005109AF">
        <w:rPr>
          <w:rFonts w:ascii="Arial" w:hAnsi="Arial"/>
          <w:u w:color="17365D"/>
        </w:rPr>
        <w:t>h</w:t>
      </w:r>
      <w:r w:rsidRPr="005109AF">
        <w:rPr>
          <w:rFonts w:ascii="Arial" w:hAnsi="Arial"/>
          <w:spacing w:val="-1"/>
          <w:u w:color="17365D"/>
        </w:rPr>
        <w:t xml:space="preserve"> t</w:t>
      </w:r>
      <w:r w:rsidRPr="005109AF">
        <w:rPr>
          <w:rFonts w:ascii="Arial" w:hAnsi="Arial"/>
          <w:u w:color="17365D"/>
        </w:rPr>
        <w:t>he s</w:t>
      </w:r>
      <w:r w:rsidRPr="005109AF">
        <w:rPr>
          <w:rFonts w:ascii="Arial" w:hAnsi="Arial"/>
          <w:spacing w:val="-1"/>
          <w:u w:color="17365D"/>
        </w:rPr>
        <w:t>k</w:t>
      </w:r>
      <w:r w:rsidRPr="005109AF">
        <w:rPr>
          <w:rFonts w:ascii="Arial" w:hAnsi="Arial"/>
          <w:u w:color="17365D"/>
        </w:rPr>
        <w:t>ills</w:t>
      </w:r>
      <w:r w:rsidRPr="005109AF">
        <w:rPr>
          <w:rFonts w:ascii="Arial" w:hAnsi="Arial"/>
          <w:spacing w:val="-1"/>
          <w:u w:color="17365D"/>
        </w:rPr>
        <w:t xml:space="preserve"> </w:t>
      </w:r>
      <w:r w:rsidRPr="005109AF">
        <w:rPr>
          <w:rFonts w:ascii="Arial" w:hAnsi="Arial"/>
          <w:u w:color="17365D"/>
        </w:rPr>
        <w:t>and</w:t>
      </w:r>
      <w:r w:rsidRPr="005109AF">
        <w:rPr>
          <w:rFonts w:ascii="Arial" w:hAnsi="Arial"/>
          <w:spacing w:val="-1"/>
          <w:u w:color="17365D"/>
        </w:rPr>
        <w:t xml:space="preserve"> </w:t>
      </w:r>
      <w:r w:rsidRPr="005109AF">
        <w:rPr>
          <w:rFonts w:ascii="Arial" w:hAnsi="Arial"/>
          <w:u w:color="17365D"/>
        </w:rPr>
        <w:t>capabili</w:t>
      </w:r>
      <w:r w:rsidRPr="005109AF">
        <w:rPr>
          <w:rFonts w:ascii="Arial" w:hAnsi="Arial"/>
          <w:spacing w:val="-1"/>
          <w:u w:color="17365D"/>
        </w:rPr>
        <w:t>t</w:t>
      </w:r>
      <w:r w:rsidRPr="005109AF">
        <w:rPr>
          <w:rFonts w:ascii="Arial" w:hAnsi="Arial"/>
          <w:u w:color="17365D"/>
        </w:rPr>
        <w:t>ies</w:t>
      </w:r>
      <w:r w:rsidRPr="005109AF">
        <w:rPr>
          <w:rFonts w:ascii="Arial" w:hAnsi="Arial"/>
          <w:spacing w:val="-1"/>
          <w:u w:color="17365D"/>
        </w:rPr>
        <w:t xml:space="preserve"> t</w:t>
      </w:r>
      <w:r w:rsidRPr="005109AF">
        <w:rPr>
          <w:rFonts w:ascii="Arial" w:hAnsi="Arial"/>
          <w:u w:color="17365D"/>
        </w:rPr>
        <w:t>he Council need</w:t>
      </w:r>
      <w:r w:rsidRPr="005109AF">
        <w:rPr>
          <w:rFonts w:ascii="Arial" w:hAnsi="Arial"/>
          <w:u w:color="17365D"/>
          <w:lang w:val="pt-PT"/>
        </w:rPr>
        <w:t>s.</w:t>
      </w:r>
    </w:p>
    <w:p w:rsidR="005109AF" w:rsidRPr="005109AF" w:rsidRDefault="005109AF" w:rsidP="005109AF">
      <w:pPr>
        <w:rPr>
          <w:rFonts w:ascii="Arial" w:eastAsia="Arial" w:hAnsi="Arial" w:cs="Arial"/>
          <w:u w:color="17365D"/>
        </w:rPr>
      </w:pPr>
      <w:r w:rsidRPr="005109AF">
        <w:rPr>
          <w:rFonts w:ascii="Arial" w:hAnsi="Arial"/>
          <w:u w:color="17365D"/>
        </w:rPr>
        <w:t>1.4</w:t>
      </w:r>
      <w:r w:rsidRPr="005109AF">
        <w:rPr>
          <w:rFonts w:ascii="Arial" w:hAnsi="Arial"/>
          <w:u w:color="17365D"/>
        </w:rPr>
        <w:tab/>
        <w:t>A</w:t>
      </w:r>
      <w:r w:rsidRPr="005109AF">
        <w:rPr>
          <w:rFonts w:ascii="Arial" w:hAnsi="Arial"/>
          <w:spacing w:val="-1"/>
          <w:u w:color="17365D"/>
        </w:rPr>
        <w:t>rr</w:t>
      </w:r>
      <w:r w:rsidRPr="005109AF">
        <w:rPr>
          <w:rFonts w:ascii="Arial" w:hAnsi="Arial"/>
          <w:u w:color="17365D"/>
        </w:rPr>
        <w:t>an</w:t>
      </w:r>
      <w:r w:rsidRPr="005109AF">
        <w:rPr>
          <w:rFonts w:ascii="Arial" w:hAnsi="Arial"/>
          <w:spacing w:val="-1"/>
          <w:u w:color="17365D"/>
        </w:rPr>
        <w:t>g</w:t>
      </w:r>
      <w:r w:rsidRPr="005109AF">
        <w:rPr>
          <w:rFonts w:ascii="Arial" w:hAnsi="Arial"/>
          <w:u w:color="17365D"/>
        </w:rPr>
        <w:t>emen</w:t>
      </w:r>
      <w:r w:rsidRPr="005109AF">
        <w:rPr>
          <w:rFonts w:ascii="Arial" w:hAnsi="Arial"/>
          <w:spacing w:val="-1"/>
          <w:u w:color="17365D"/>
        </w:rPr>
        <w:t>t</w:t>
      </w:r>
      <w:r w:rsidRPr="005109AF">
        <w:rPr>
          <w:rFonts w:ascii="Arial" w:hAnsi="Arial"/>
          <w:u w:color="17365D"/>
        </w:rPr>
        <w:t xml:space="preserve">s </w:t>
      </w:r>
      <w:r w:rsidRPr="005109AF">
        <w:rPr>
          <w:rFonts w:ascii="Arial" w:hAnsi="Arial"/>
          <w:spacing w:val="-1"/>
          <w:u w:color="17365D"/>
        </w:rPr>
        <w:t>f</w:t>
      </w:r>
      <w:r w:rsidRPr="005109AF">
        <w:rPr>
          <w:rFonts w:ascii="Arial" w:hAnsi="Arial"/>
          <w:u w:color="17365D"/>
        </w:rPr>
        <w:t>or</w:t>
      </w:r>
      <w:r w:rsidRPr="005109AF">
        <w:rPr>
          <w:rFonts w:ascii="Arial" w:hAnsi="Arial"/>
          <w:spacing w:val="-1"/>
          <w:u w:color="17365D"/>
        </w:rPr>
        <w:t xml:space="preserve"> </w:t>
      </w:r>
      <w:r w:rsidRPr="005109AF">
        <w:rPr>
          <w:rFonts w:ascii="Arial" w:hAnsi="Arial"/>
          <w:u w:color="17365D"/>
        </w:rPr>
        <w:t>s</w:t>
      </w:r>
      <w:r w:rsidRPr="005109AF">
        <w:rPr>
          <w:rFonts w:ascii="Arial" w:hAnsi="Arial"/>
          <w:spacing w:val="-1"/>
          <w:u w:color="17365D"/>
        </w:rPr>
        <w:t>t</w:t>
      </w:r>
      <w:r w:rsidRPr="005109AF">
        <w:rPr>
          <w:rFonts w:ascii="Arial" w:hAnsi="Arial"/>
          <w:u w:color="17365D"/>
        </w:rPr>
        <w:t>a</w:t>
      </w:r>
      <w:r w:rsidRPr="005109AF">
        <w:rPr>
          <w:rFonts w:ascii="Arial" w:hAnsi="Arial"/>
          <w:spacing w:val="-1"/>
          <w:u w:color="17365D"/>
        </w:rPr>
        <w:t>f</w:t>
      </w:r>
      <w:r w:rsidRPr="005109AF">
        <w:rPr>
          <w:rFonts w:ascii="Arial" w:hAnsi="Arial"/>
          <w:u w:color="17365D"/>
        </w:rPr>
        <w:t xml:space="preserve">f pay </w:t>
      </w:r>
      <w:r w:rsidRPr="005109AF">
        <w:rPr>
          <w:rFonts w:ascii="Arial" w:hAnsi="Arial"/>
          <w:spacing w:val="-1"/>
          <w:u w:color="17365D"/>
        </w:rPr>
        <w:t>m</w:t>
      </w:r>
      <w:r w:rsidRPr="005109AF">
        <w:rPr>
          <w:rFonts w:ascii="Arial" w:hAnsi="Arial"/>
          <w:u w:color="17365D"/>
          <w:lang w:val="en-US"/>
        </w:rPr>
        <w:t>ust comp</w:t>
      </w:r>
      <w:r w:rsidRPr="005109AF">
        <w:rPr>
          <w:rFonts w:ascii="Arial" w:hAnsi="Arial"/>
          <w:u w:color="17365D"/>
        </w:rPr>
        <w:t xml:space="preserve">ly </w:t>
      </w:r>
      <w:r w:rsidRPr="005109AF">
        <w:rPr>
          <w:rFonts w:ascii="Arial" w:hAnsi="Arial"/>
          <w:u w:color="17365D"/>
          <w:lang w:val="en-US"/>
        </w:rPr>
        <w:t>w</w:t>
      </w:r>
      <w:r w:rsidRPr="005109AF">
        <w:rPr>
          <w:rFonts w:ascii="Arial" w:hAnsi="Arial"/>
          <w:u w:color="17365D"/>
        </w:rPr>
        <w:t>i</w:t>
      </w:r>
      <w:r w:rsidRPr="005109AF">
        <w:rPr>
          <w:rFonts w:ascii="Arial" w:hAnsi="Arial"/>
          <w:spacing w:val="-1"/>
          <w:u w:color="17365D"/>
        </w:rPr>
        <w:t>t</w:t>
      </w:r>
      <w:r w:rsidRPr="005109AF">
        <w:rPr>
          <w:rFonts w:ascii="Arial" w:hAnsi="Arial"/>
          <w:u w:color="17365D"/>
        </w:rPr>
        <w:t>h</w:t>
      </w:r>
      <w:r w:rsidRPr="005109AF">
        <w:rPr>
          <w:rFonts w:ascii="Arial" w:hAnsi="Arial"/>
          <w:spacing w:val="-1"/>
          <w:u w:color="17365D"/>
        </w:rPr>
        <w:t xml:space="preserve"> </w:t>
      </w:r>
      <w:r w:rsidRPr="005109AF">
        <w:rPr>
          <w:rFonts w:ascii="Arial" w:hAnsi="Arial"/>
          <w:u w:color="17365D"/>
        </w:rPr>
        <w:t>E</w:t>
      </w:r>
      <w:r w:rsidRPr="005109AF">
        <w:rPr>
          <w:rFonts w:ascii="Arial" w:hAnsi="Arial"/>
          <w:spacing w:val="-1"/>
          <w:u w:color="17365D"/>
          <w:lang w:val="fr-FR"/>
        </w:rPr>
        <w:t>q</w:t>
      </w:r>
      <w:r w:rsidRPr="005109AF">
        <w:rPr>
          <w:rFonts w:ascii="Arial" w:hAnsi="Arial"/>
          <w:u w:color="17365D"/>
        </w:rPr>
        <w:t>ual Pay le</w:t>
      </w:r>
      <w:r w:rsidRPr="005109AF">
        <w:rPr>
          <w:rFonts w:ascii="Arial" w:hAnsi="Arial"/>
          <w:spacing w:val="-1"/>
          <w:u w:color="17365D"/>
        </w:rPr>
        <w:t>g</w:t>
      </w:r>
      <w:r w:rsidRPr="005109AF">
        <w:rPr>
          <w:rFonts w:ascii="Arial" w:hAnsi="Arial"/>
          <w:u w:color="17365D"/>
        </w:rPr>
        <w:t>islation.</w:t>
      </w:r>
    </w:p>
    <w:p w:rsidR="005109AF" w:rsidRPr="005109AF" w:rsidRDefault="005109AF" w:rsidP="005109AF">
      <w:pPr>
        <w:ind w:left="720" w:hanging="720"/>
      </w:pPr>
      <w:r w:rsidRPr="005109AF">
        <w:lastRenderedPageBreak/>
        <w:t>1.5</w:t>
      </w:r>
      <w:r w:rsidRPr="005109AF">
        <w:tab/>
        <w:t xml:space="preserve">Senior Officers – these are posts with specific responsibility such as Section 151Officer and/or where the salary is above £50,000 </w:t>
      </w:r>
    </w:p>
    <w:p w:rsidR="005109AF" w:rsidRPr="005109AF" w:rsidRDefault="005109AF" w:rsidP="005109AF">
      <w:pPr>
        <w:ind w:left="720" w:hanging="720"/>
      </w:pPr>
      <w:r w:rsidRPr="005109AF">
        <w:t>1.6</w:t>
      </w:r>
      <w:r w:rsidRPr="005109AF">
        <w:tab/>
        <w:t>This Pay Policy Statement is a supplement to Torbay Council’s overarching Pay and associated policies which form part of the terms and conditions of employees. These include but are not limited to:-</w:t>
      </w:r>
    </w:p>
    <w:p w:rsidR="005109AF" w:rsidRPr="005109AF" w:rsidRDefault="005109AF" w:rsidP="005109AF">
      <w:pPr>
        <w:numPr>
          <w:ilvl w:val="0"/>
          <w:numId w:val="10"/>
        </w:numPr>
        <w:contextualSpacing/>
      </w:pPr>
      <w:r w:rsidRPr="005109AF">
        <w:t>Torbay Council Pay Policy</w:t>
      </w:r>
    </w:p>
    <w:p w:rsidR="005109AF" w:rsidRPr="005109AF" w:rsidRDefault="005109AF" w:rsidP="005109AF">
      <w:pPr>
        <w:numPr>
          <w:ilvl w:val="0"/>
          <w:numId w:val="10"/>
        </w:numPr>
        <w:contextualSpacing/>
      </w:pPr>
      <w:r w:rsidRPr="005109AF">
        <w:t>Job Evaluation Scheme Policies (Greater London Provincial Councils Job Evaluation Scheme).</w:t>
      </w:r>
    </w:p>
    <w:p w:rsidR="005109AF" w:rsidRPr="005109AF" w:rsidRDefault="005109AF" w:rsidP="005109AF">
      <w:pPr>
        <w:numPr>
          <w:ilvl w:val="0"/>
          <w:numId w:val="10"/>
        </w:numPr>
        <w:contextualSpacing/>
      </w:pPr>
      <w:r w:rsidRPr="005109AF">
        <w:t xml:space="preserve">NJC Terms and Conditions of Employment (Green Book) </w:t>
      </w:r>
      <w:r w:rsidRPr="005109AF">
        <w:rPr>
          <w:noProof/>
          <w:lang w:eastAsia="en-GB"/>
        </w:rPr>
        <w:drawing>
          <wp:inline distT="0" distB="0" distL="0" distR="0" wp14:anchorId="0C6BDF1F" wp14:editId="215B5E23">
            <wp:extent cx="171450" cy="17145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3.png"/>
                    <pic:cNvPicPr>
                      <a:picLocks noChangeAspect="1"/>
                    </pic:cNvPicPr>
                  </pic:nvPicPr>
                  <pic:blipFill>
                    <a:blip r:embed="rId10">
                      <a:extLst/>
                    </a:blip>
                    <a:stretch>
                      <a:fillRect/>
                    </a:stretch>
                  </pic:blipFill>
                  <pic:spPr>
                    <a:xfrm>
                      <a:off x="0" y="0"/>
                      <a:ext cx="171450" cy="171450"/>
                    </a:xfrm>
                    <a:prstGeom prst="rect">
                      <a:avLst/>
                    </a:prstGeom>
                    <a:ln w="12700" cap="flat">
                      <a:noFill/>
                      <a:miter lim="400000"/>
                    </a:ln>
                    <a:effectLst/>
                  </pic:spPr>
                </pic:pic>
              </a:graphicData>
            </a:graphic>
          </wp:inline>
        </w:drawing>
      </w:r>
    </w:p>
    <w:p w:rsidR="005109AF" w:rsidRPr="005109AF" w:rsidRDefault="005109AF" w:rsidP="005109AF">
      <w:pPr>
        <w:numPr>
          <w:ilvl w:val="0"/>
          <w:numId w:val="10"/>
        </w:numPr>
        <w:contextualSpacing/>
      </w:pPr>
      <w:r w:rsidRPr="005109AF">
        <w:t>JNC Terms and Conditions for Chief Executives</w:t>
      </w:r>
    </w:p>
    <w:p w:rsidR="005109AF" w:rsidRPr="005109AF" w:rsidRDefault="005109AF" w:rsidP="005109AF">
      <w:pPr>
        <w:numPr>
          <w:ilvl w:val="0"/>
          <w:numId w:val="10"/>
        </w:numPr>
        <w:contextualSpacing/>
      </w:pPr>
      <w:r w:rsidRPr="005109AF">
        <w:t xml:space="preserve">JNC Terms and Conditions for Chief Officers (Directors within Torbay Council are appointed to these Terms and Conditions). </w:t>
      </w:r>
      <w:r w:rsidRPr="005109AF">
        <w:rPr>
          <w:noProof/>
          <w:lang w:eastAsia="en-GB"/>
        </w:rPr>
        <w:drawing>
          <wp:inline distT="0" distB="0" distL="0" distR="0" wp14:anchorId="49372F31" wp14:editId="651A59C5">
            <wp:extent cx="171450" cy="17145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3.png"/>
                    <pic:cNvPicPr>
                      <a:picLocks noChangeAspect="1"/>
                    </pic:cNvPicPr>
                  </pic:nvPicPr>
                  <pic:blipFill>
                    <a:blip r:embed="rId10">
                      <a:extLst/>
                    </a:blip>
                    <a:stretch>
                      <a:fillRect/>
                    </a:stretch>
                  </pic:blipFill>
                  <pic:spPr>
                    <a:xfrm>
                      <a:off x="0" y="0"/>
                      <a:ext cx="171450" cy="171450"/>
                    </a:xfrm>
                    <a:prstGeom prst="rect">
                      <a:avLst/>
                    </a:prstGeom>
                    <a:ln w="12700" cap="flat">
                      <a:noFill/>
                      <a:miter lim="400000"/>
                    </a:ln>
                    <a:effectLst/>
                  </pic:spPr>
                </pic:pic>
              </a:graphicData>
            </a:graphic>
          </wp:inline>
        </w:drawing>
      </w:r>
      <w:r w:rsidRPr="005109AF">
        <w:t xml:space="preserve"> </w:t>
      </w:r>
    </w:p>
    <w:p w:rsidR="005109AF" w:rsidRPr="005109AF" w:rsidRDefault="005109AF" w:rsidP="005109AF">
      <w:pPr>
        <w:numPr>
          <w:ilvl w:val="0"/>
          <w:numId w:val="10"/>
        </w:numPr>
        <w:contextualSpacing/>
      </w:pPr>
      <w:r w:rsidRPr="005109AF">
        <w:t>NHS Terms and Conditions</w:t>
      </w:r>
    </w:p>
    <w:p w:rsidR="005109AF" w:rsidRPr="005109AF" w:rsidRDefault="005109AF" w:rsidP="005109AF">
      <w:pPr>
        <w:numPr>
          <w:ilvl w:val="0"/>
          <w:numId w:val="10"/>
        </w:numPr>
        <w:contextualSpacing/>
      </w:pPr>
      <w:r w:rsidRPr="005109AF">
        <w:t>Torbay Council Local Government Pension Scheme Policy Discretions</w:t>
      </w:r>
    </w:p>
    <w:p w:rsidR="005109AF" w:rsidRPr="005109AF" w:rsidRDefault="005109AF" w:rsidP="005109AF">
      <w:pPr>
        <w:numPr>
          <w:ilvl w:val="0"/>
          <w:numId w:val="10"/>
        </w:numPr>
        <w:contextualSpacing/>
      </w:pPr>
      <w:r w:rsidRPr="005109AF">
        <w:t>Employment of Apprentices Policy</w:t>
      </w:r>
    </w:p>
    <w:p w:rsidR="005109AF" w:rsidRPr="005109AF" w:rsidRDefault="005109AF" w:rsidP="005109AF">
      <w:pPr>
        <w:numPr>
          <w:ilvl w:val="0"/>
          <w:numId w:val="10"/>
        </w:numPr>
        <w:contextualSpacing/>
      </w:pPr>
      <w:r w:rsidRPr="005109AF">
        <w:t>Re-Evaluation Policy</w:t>
      </w:r>
    </w:p>
    <w:p w:rsidR="005109AF" w:rsidRPr="005109AF" w:rsidRDefault="005109AF" w:rsidP="005109AF">
      <w:pPr>
        <w:numPr>
          <w:ilvl w:val="0"/>
          <w:numId w:val="10"/>
        </w:numPr>
        <w:contextualSpacing/>
      </w:pPr>
      <w:r w:rsidRPr="005109AF">
        <w:t>Temporary Acting Up Policy</w:t>
      </w:r>
    </w:p>
    <w:p w:rsidR="005109AF" w:rsidRPr="005109AF" w:rsidRDefault="005109AF" w:rsidP="005109AF">
      <w:pPr>
        <w:numPr>
          <w:ilvl w:val="0"/>
          <w:numId w:val="10"/>
        </w:numPr>
        <w:contextualSpacing/>
      </w:pPr>
      <w:r w:rsidRPr="005109AF">
        <w:t>Temporary Additional Duties Policy</w:t>
      </w:r>
    </w:p>
    <w:p w:rsidR="005109AF" w:rsidRPr="005109AF" w:rsidRDefault="005109AF" w:rsidP="005109AF">
      <w:pPr>
        <w:numPr>
          <w:ilvl w:val="0"/>
          <w:numId w:val="10"/>
        </w:numPr>
        <w:contextualSpacing/>
      </w:pPr>
      <w:r w:rsidRPr="005109AF">
        <w:t>Expenses Policy</w:t>
      </w:r>
    </w:p>
    <w:p w:rsidR="005109AF" w:rsidRPr="005109AF" w:rsidRDefault="005109AF" w:rsidP="005109AF">
      <w:pPr>
        <w:numPr>
          <w:ilvl w:val="0"/>
          <w:numId w:val="10"/>
        </w:numPr>
        <w:contextualSpacing/>
      </w:pPr>
      <w:r w:rsidRPr="005109AF">
        <w:t>Market Supplement Policy</w:t>
      </w:r>
    </w:p>
    <w:p w:rsidR="005109AF" w:rsidRPr="005109AF" w:rsidRDefault="005109AF" w:rsidP="005109AF">
      <w:pPr>
        <w:numPr>
          <w:ilvl w:val="0"/>
          <w:numId w:val="10"/>
        </w:numPr>
        <w:contextualSpacing/>
      </w:pPr>
      <w:r w:rsidRPr="005109AF">
        <w:t>Market Forces Policy</w:t>
      </w:r>
    </w:p>
    <w:p w:rsidR="005109AF" w:rsidRPr="005109AF" w:rsidRDefault="005109AF" w:rsidP="005109AF">
      <w:pPr>
        <w:numPr>
          <w:ilvl w:val="0"/>
          <w:numId w:val="10"/>
        </w:numPr>
        <w:contextualSpacing/>
      </w:pPr>
      <w:r w:rsidRPr="005109AF">
        <w:t>Staff Travel Plan</w:t>
      </w:r>
    </w:p>
    <w:p w:rsidR="005109AF" w:rsidRPr="005109AF" w:rsidRDefault="005109AF" w:rsidP="005109AF">
      <w:pPr>
        <w:numPr>
          <w:ilvl w:val="0"/>
          <w:numId w:val="10"/>
        </w:numPr>
        <w:contextualSpacing/>
      </w:pPr>
      <w:r w:rsidRPr="005109AF">
        <w:t>Key Skills Retention policy</w:t>
      </w:r>
    </w:p>
    <w:p w:rsidR="005109AF" w:rsidRPr="005109AF" w:rsidRDefault="005109AF" w:rsidP="005109AF">
      <w:pPr>
        <w:numPr>
          <w:ilvl w:val="0"/>
          <w:numId w:val="10"/>
        </w:numPr>
        <w:contextualSpacing/>
      </w:pPr>
      <w:r w:rsidRPr="005109AF">
        <w:t>Key Skills Golden Hello Scheme</w:t>
      </w:r>
    </w:p>
    <w:p w:rsidR="005109AF" w:rsidRPr="005109AF" w:rsidRDefault="005109AF" w:rsidP="005109AF">
      <w:pPr>
        <w:numPr>
          <w:ilvl w:val="0"/>
          <w:numId w:val="10"/>
        </w:numPr>
        <w:contextualSpacing/>
      </w:pPr>
      <w:r w:rsidRPr="005109AF">
        <w:lastRenderedPageBreak/>
        <w:t>Key Skills Student Loans Allowance Scheme</w:t>
      </w:r>
    </w:p>
    <w:p w:rsidR="005109AF" w:rsidRPr="005109AF" w:rsidRDefault="005109AF" w:rsidP="005109AF">
      <w:pPr>
        <w:numPr>
          <w:ilvl w:val="0"/>
          <w:numId w:val="10"/>
        </w:numPr>
        <w:contextualSpacing/>
      </w:pPr>
      <w:r w:rsidRPr="005109AF">
        <w:t>Flexible Retirement</w:t>
      </w:r>
    </w:p>
    <w:p w:rsidR="005109AF" w:rsidRPr="005109AF" w:rsidRDefault="005109AF" w:rsidP="005109AF">
      <w:pPr>
        <w:numPr>
          <w:ilvl w:val="0"/>
          <w:numId w:val="10"/>
        </w:numPr>
        <w:contextualSpacing/>
      </w:pPr>
      <w:r w:rsidRPr="005109AF">
        <w:t>Retirement and Long Service Award</w:t>
      </w:r>
    </w:p>
    <w:p w:rsidR="005109AF" w:rsidRPr="005109AF" w:rsidRDefault="005109AF" w:rsidP="005109AF">
      <w:pPr>
        <w:numPr>
          <w:ilvl w:val="0"/>
          <w:numId w:val="10"/>
        </w:numPr>
        <w:contextualSpacing/>
      </w:pPr>
      <w:r w:rsidRPr="005109AF">
        <w:t>Re-organisation and Redundancy Policy</w:t>
      </w:r>
    </w:p>
    <w:p w:rsidR="005109AF" w:rsidRPr="005109AF" w:rsidRDefault="005109AF" w:rsidP="005109AF"/>
    <w:p w:rsidR="005109AF" w:rsidRPr="005109AF" w:rsidRDefault="005109AF" w:rsidP="005109AF">
      <w:pPr>
        <w:ind w:left="720" w:hanging="720"/>
      </w:pPr>
      <w:r w:rsidRPr="005109AF">
        <w:t>1.7</w:t>
      </w:r>
      <w:r w:rsidRPr="005109AF">
        <w:tab/>
        <w:t>Guidance from the Secretary of State makes reference to the Hutton Review of Fair Pay.  This indicated that the most appropriate metric for pay dispersion is the multiple of Chief Executive pay to median salary.  Tracking this multiple will allow the Council to ensure that public services are accountable for the relationship between top pay and that paid to the wider workforce. This annual pay policy statement will publish this multiple along with the following information:</w:t>
      </w:r>
    </w:p>
    <w:p w:rsidR="005109AF" w:rsidRPr="005109AF" w:rsidRDefault="005109AF" w:rsidP="005109AF">
      <w:pPr>
        <w:ind w:left="720" w:firstLine="720"/>
      </w:pPr>
      <w:r w:rsidRPr="005109AF">
        <w:t xml:space="preserve">The level of salary for each of the Officers as defined in 1.5 above; </w:t>
      </w:r>
    </w:p>
    <w:p w:rsidR="005109AF" w:rsidRPr="005109AF" w:rsidRDefault="005109AF" w:rsidP="005109AF">
      <w:pPr>
        <w:ind w:left="1440"/>
      </w:pPr>
      <w:r w:rsidRPr="005109AF">
        <w:t>The salary of the lowest paid employee - this information can be found in Appendix 1 of this policy.</w:t>
      </w:r>
    </w:p>
    <w:p w:rsidR="00E23D96" w:rsidRPr="00E23D96" w:rsidRDefault="00BE7EE2" w:rsidP="00E23D96">
      <w:pPr>
        <w:pStyle w:val="Heading3"/>
        <w:numPr>
          <w:ilvl w:val="0"/>
          <w:numId w:val="19"/>
        </w:numPr>
      </w:pPr>
      <w:r>
        <w:t>Arrangements for officer pay</w:t>
      </w:r>
    </w:p>
    <w:p w:rsidR="005109AF" w:rsidRPr="005109AF" w:rsidRDefault="005109AF" w:rsidP="005109AF">
      <w:pPr>
        <w:spacing w:line="276" w:lineRule="auto"/>
        <w:ind w:left="720" w:hanging="720"/>
        <w:contextualSpacing/>
      </w:pPr>
      <w:r w:rsidRPr="005109AF">
        <w:t>2.1</w:t>
      </w:r>
      <w:r w:rsidRPr="005109AF">
        <w:tab/>
        <w:t>The general terms and conditions of employment are governed by the following national agreements:</w:t>
      </w:r>
    </w:p>
    <w:p w:rsidR="005109AF" w:rsidRPr="005109AF" w:rsidRDefault="005109AF" w:rsidP="005109AF">
      <w:pPr>
        <w:spacing w:line="276" w:lineRule="auto"/>
        <w:ind w:left="1440" w:hanging="720"/>
        <w:contextualSpacing/>
      </w:pPr>
      <w:r w:rsidRPr="005109AF">
        <w:t>-</w:t>
      </w:r>
      <w:r w:rsidRPr="005109AF">
        <w:tab/>
        <w:t>Chief Executive/Head of Paid Service - JNC for Chief Executives of Local Authorities</w:t>
      </w:r>
    </w:p>
    <w:p w:rsidR="005109AF" w:rsidRPr="005109AF" w:rsidRDefault="005109AF" w:rsidP="005109AF">
      <w:pPr>
        <w:spacing w:line="276" w:lineRule="auto"/>
        <w:ind w:left="360" w:firstLine="360"/>
        <w:contextualSpacing/>
      </w:pPr>
      <w:r w:rsidRPr="005109AF">
        <w:t>-</w:t>
      </w:r>
      <w:r w:rsidRPr="005109AF">
        <w:tab/>
        <w:t>Directors and Assistant Directors - JNC for Chief Officers of Local Authorities</w:t>
      </w:r>
    </w:p>
    <w:p w:rsidR="005109AF" w:rsidRPr="005109AF" w:rsidRDefault="005109AF" w:rsidP="005109AF">
      <w:pPr>
        <w:spacing w:line="276" w:lineRule="auto"/>
        <w:ind w:left="360" w:firstLine="360"/>
        <w:contextualSpacing/>
      </w:pPr>
      <w:r w:rsidRPr="005109AF">
        <w:t>-</w:t>
      </w:r>
      <w:r w:rsidRPr="005109AF">
        <w:tab/>
        <w:t>Senior Officers - NJC for Local Government Services</w:t>
      </w:r>
    </w:p>
    <w:p w:rsidR="005109AF" w:rsidRPr="005109AF" w:rsidRDefault="005109AF" w:rsidP="005109AF">
      <w:pPr>
        <w:spacing w:line="276" w:lineRule="auto"/>
        <w:ind w:left="1440" w:hanging="720"/>
        <w:contextualSpacing/>
      </w:pPr>
      <w:r w:rsidRPr="005109AF">
        <w:lastRenderedPageBreak/>
        <w:t>-</w:t>
      </w:r>
      <w:r w:rsidRPr="005109AF">
        <w:tab/>
        <w:t>Educational Advisors and Inspectors/ Educational Psychologists – Soulbury Pay and Conditions</w:t>
      </w:r>
    </w:p>
    <w:p w:rsidR="005109AF" w:rsidRPr="005109AF" w:rsidRDefault="005109AF" w:rsidP="005109AF">
      <w:pPr>
        <w:spacing w:line="276" w:lineRule="auto"/>
        <w:ind w:firstLine="720"/>
        <w:contextualSpacing/>
      </w:pPr>
      <w:r w:rsidRPr="005109AF">
        <w:t>-</w:t>
      </w:r>
      <w:r w:rsidRPr="005109AF">
        <w:tab/>
        <w:t>All other Employee Groups – NJC for Local Government Services</w:t>
      </w:r>
    </w:p>
    <w:p w:rsidR="005109AF" w:rsidRPr="005109AF" w:rsidRDefault="005109AF" w:rsidP="005109AF">
      <w:pPr>
        <w:spacing w:line="276" w:lineRule="auto"/>
        <w:ind w:left="1440" w:hanging="720"/>
        <w:contextualSpacing/>
      </w:pPr>
      <w:r w:rsidRPr="005109AF">
        <w:t>-</w:t>
      </w:r>
      <w:r w:rsidRPr="005109AF">
        <w:tab/>
        <w:t>Public Health – NHS Terms and Conditions of Service (for employees who have transferred under TUPE)</w:t>
      </w:r>
    </w:p>
    <w:p w:rsidR="005109AF" w:rsidRPr="005109AF" w:rsidRDefault="005109AF" w:rsidP="005109AF">
      <w:pPr>
        <w:spacing w:line="276" w:lineRule="auto"/>
        <w:ind w:left="1440" w:hanging="720"/>
        <w:contextualSpacing/>
      </w:pPr>
    </w:p>
    <w:p w:rsidR="005109AF" w:rsidRPr="005109AF" w:rsidRDefault="005109AF" w:rsidP="005109AF">
      <w:pPr>
        <w:spacing w:line="276" w:lineRule="auto"/>
        <w:ind w:left="720" w:hanging="720"/>
        <w:contextualSpacing/>
      </w:pPr>
      <w:r w:rsidRPr="005109AF">
        <w:t>2.2</w:t>
      </w:r>
      <w:r w:rsidRPr="005109AF">
        <w:tab/>
        <w:t>The Council uses two forms of Job Evaluation to identify officer pay. This is either through the Council’s GLPC Job Evaluation Scheme or the Hay Evaluation Scheme. The Hay Evaluation scheme produces both a Know How Score and a total points score for each post evaluated.  Torbay Council pays salary (with a pay band of 4 spinal points) on the basis of the Know How Score only (not the final points score). Know-How is the sum of every kind of knowledge, skill and experience required for standard acceptable job performance.</w:t>
      </w:r>
    </w:p>
    <w:p w:rsidR="005109AF" w:rsidRPr="005109AF" w:rsidRDefault="005109AF" w:rsidP="005109AF">
      <w:pPr>
        <w:spacing w:line="276" w:lineRule="auto"/>
        <w:contextualSpacing/>
      </w:pPr>
    </w:p>
    <w:p w:rsidR="005109AF" w:rsidRPr="005109AF" w:rsidRDefault="005109AF" w:rsidP="005109AF">
      <w:pPr>
        <w:spacing w:line="276" w:lineRule="auto"/>
        <w:ind w:left="720" w:hanging="720"/>
        <w:contextualSpacing/>
      </w:pPr>
      <w:r w:rsidRPr="005109AF">
        <w:t xml:space="preserve">2.3 </w:t>
      </w:r>
      <w:r w:rsidRPr="005109AF">
        <w:tab/>
        <w:t xml:space="preserve">The Hay Job Evaluation scheme is used to evaluate the following roles within the Council:-. </w:t>
      </w:r>
    </w:p>
    <w:p w:rsidR="005109AF" w:rsidRPr="005109AF" w:rsidRDefault="005109AF" w:rsidP="005109AF">
      <w:pPr>
        <w:spacing w:line="276" w:lineRule="auto"/>
        <w:ind w:left="360" w:firstLine="360"/>
        <w:contextualSpacing/>
      </w:pPr>
      <w:r w:rsidRPr="005109AF">
        <w:t>-</w:t>
      </w:r>
      <w:r w:rsidRPr="005109AF">
        <w:tab/>
        <w:t>Chief Executive/Head of Paid Service</w:t>
      </w:r>
    </w:p>
    <w:p w:rsidR="005109AF" w:rsidRPr="005109AF" w:rsidRDefault="005109AF" w:rsidP="005109AF">
      <w:pPr>
        <w:spacing w:line="276" w:lineRule="auto"/>
        <w:ind w:left="360" w:firstLine="360"/>
        <w:contextualSpacing/>
      </w:pPr>
      <w:r w:rsidRPr="005109AF">
        <w:t>-</w:t>
      </w:r>
      <w:r w:rsidRPr="005109AF">
        <w:tab/>
        <w:t>Directors and Assistant Directors</w:t>
      </w:r>
    </w:p>
    <w:p w:rsidR="005109AF" w:rsidRPr="005109AF" w:rsidRDefault="005109AF" w:rsidP="005109AF">
      <w:pPr>
        <w:spacing w:line="276" w:lineRule="auto"/>
        <w:ind w:left="360" w:firstLine="360"/>
        <w:contextualSpacing/>
      </w:pPr>
      <w:r w:rsidRPr="005109AF">
        <w:t>-</w:t>
      </w:r>
      <w:r w:rsidRPr="005109AF">
        <w:tab/>
        <w:t xml:space="preserve">Senior Officers </w:t>
      </w:r>
    </w:p>
    <w:p w:rsidR="005109AF" w:rsidRPr="005109AF" w:rsidRDefault="005109AF" w:rsidP="005109AF">
      <w:pPr>
        <w:spacing w:line="276" w:lineRule="auto"/>
        <w:ind w:left="720"/>
        <w:contextualSpacing/>
      </w:pPr>
    </w:p>
    <w:p w:rsidR="005109AF" w:rsidRPr="005109AF" w:rsidRDefault="005109AF" w:rsidP="005109AF">
      <w:pPr>
        <w:spacing w:line="276" w:lineRule="auto"/>
        <w:ind w:left="720"/>
        <w:contextualSpacing/>
      </w:pPr>
      <w:r w:rsidRPr="005109AF">
        <w:t xml:space="preserve">All Grade N and O roles are evaluated under GLPC and Hay (this is due to the cross over point of the two schemes).  </w:t>
      </w:r>
    </w:p>
    <w:p w:rsidR="005109AF" w:rsidRPr="005109AF" w:rsidRDefault="005109AF" w:rsidP="005109AF">
      <w:pPr>
        <w:spacing w:line="276" w:lineRule="auto"/>
        <w:ind w:left="720"/>
        <w:contextualSpacing/>
      </w:pPr>
    </w:p>
    <w:p w:rsidR="005109AF" w:rsidRPr="005109AF" w:rsidRDefault="005109AF" w:rsidP="005109AF">
      <w:pPr>
        <w:spacing w:line="276" w:lineRule="auto"/>
        <w:ind w:left="720"/>
        <w:contextualSpacing/>
      </w:pPr>
      <w:r w:rsidRPr="005109AF">
        <w:t>Public Health posts are evaluated on the Council’s GLPC Job Evaluation Scheme. Public Health posts can also be evaluated using the “Agenda for Change” job evaluation scheme in order to provide Market Forces information.</w:t>
      </w:r>
    </w:p>
    <w:p w:rsidR="005109AF" w:rsidRPr="005109AF" w:rsidRDefault="005109AF" w:rsidP="005109AF">
      <w:pPr>
        <w:spacing w:line="276" w:lineRule="auto"/>
        <w:ind w:left="720"/>
        <w:contextualSpacing/>
      </w:pPr>
    </w:p>
    <w:p w:rsidR="005109AF" w:rsidRPr="005109AF" w:rsidRDefault="005109AF" w:rsidP="005109AF">
      <w:pPr>
        <w:spacing w:line="276" w:lineRule="auto"/>
        <w:ind w:left="720"/>
        <w:contextualSpacing/>
      </w:pPr>
      <w:r w:rsidRPr="005109AF">
        <w:t>All other posts within the Council are evaluated under the Torbay Council GLPC evaluation scheme in accordance with the agreed policies.</w:t>
      </w:r>
    </w:p>
    <w:p w:rsidR="005109AF" w:rsidRPr="005109AF" w:rsidRDefault="005109AF" w:rsidP="005109AF">
      <w:pPr>
        <w:spacing w:line="276" w:lineRule="auto"/>
        <w:contextualSpacing/>
      </w:pPr>
    </w:p>
    <w:p w:rsidR="005109AF" w:rsidRPr="005109AF" w:rsidRDefault="005109AF" w:rsidP="005109AF">
      <w:pPr>
        <w:spacing w:line="276" w:lineRule="auto"/>
        <w:ind w:left="720" w:hanging="720"/>
        <w:contextualSpacing/>
      </w:pPr>
      <w:r w:rsidRPr="005109AF">
        <w:t>2.4</w:t>
      </w:r>
      <w:r w:rsidRPr="005109AF">
        <w:tab/>
        <w:t xml:space="preserve">A review of Hay salary data was purchased in 2018 and salaries were reviewed in line with this and with South-West public and private sector data.  This salary information, together with corresponding job descriptions, is available from the Council’s internet page, link as follows:- </w:t>
      </w:r>
      <w:hyperlink r:id="rId11" w:history="1">
        <w:r w:rsidRPr="005109AF">
          <w:rPr>
            <w:color w:val="5F5F5F" w:themeColor="hyperlink"/>
            <w:u w:val="single"/>
          </w:rPr>
          <w:t>http://www.torbay.gov.uk/council/finance/salary-levels/</w:t>
        </w:r>
      </w:hyperlink>
    </w:p>
    <w:p w:rsidR="005109AF" w:rsidRPr="005109AF" w:rsidRDefault="005109AF" w:rsidP="005109AF">
      <w:pPr>
        <w:spacing w:line="276" w:lineRule="auto"/>
        <w:ind w:left="720" w:hanging="720"/>
        <w:contextualSpacing/>
      </w:pPr>
    </w:p>
    <w:p w:rsidR="005109AF" w:rsidRPr="005109AF" w:rsidRDefault="005109AF" w:rsidP="005109AF">
      <w:pPr>
        <w:spacing w:line="276" w:lineRule="auto"/>
        <w:ind w:left="720" w:hanging="720"/>
        <w:contextualSpacing/>
      </w:pPr>
      <w:r w:rsidRPr="005109AF">
        <w:t>2.5</w:t>
      </w:r>
      <w:r w:rsidRPr="005109AF">
        <w:tab/>
        <w:t xml:space="preserve">In determining the salary for the Chief Executive/Head of Paid Service within the Council, and in the absence of appropriate data from Hay, the Council will take advice from the Head of Human Resources and the Director, Corporate Services.. In such a scenario independent advice will be sought from South West Councils (HR and Employment Services) and other professional organisations to advise the Council as to the appropriate level of remuneration to be awarded. </w:t>
      </w:r>
    </w:p>
    <w:p w:rsidR="005109AF" w:rsidRPr="005109AF" w:rsidRDefault="005109AF" w:rsidP="005109AF">
      <w:pPr>
        <w:spacing w:line="276" w:lineRule="auto"/>
        <w:ind w:left="720" w:hanging="720"/>
        <w:contextualSpacing/>
      </w:pPr>
    </w:p>
    <w:p w:rsidR="005109AF" w:rsidRPr="005109AF" w:rsidRDefault="005109AF" w:rsidP="005109AF">
      <w:pPr>
        <w:spacing w:line="276" w:lineRule="auto"/>
        <w:ind w:left="720" w:hanging="720"/>
        <w:contextualSpacing/>
      </w:pPr>
      <w:r w:rsidRPr="005109AF">
        <w:t>2.6</w:t>
      </w:r>
      <w:r w:rsidRPr="005109AF">
        <w:tab/>
        <w:t>The Chief Executive under the general scheme of delegation within the Council will determine the terms and conditions of employment of all officers.  Advice will be sought from the Head of Human Resources and Director, Corporate Services as required.</w:t>
      </w:r>
    </w:p>
    <w:p w:rsidR="005109AF" w:rsidRPr="005109AF" w:rsidRDefault="005109AF" w:rsidP="005109AF">
      <w:pPr>
        <w:spacing w:line="276" w:lineRule="auto"/>
        <w:ind w:left="720" w:hanging="720"/>
        <w:contextualSpacing/>
      </w:pPr>
    </w:p>
    <w:p w:rsidR="005109AF" w:rsidRPr="005109AF" w:rsidRDefault="005109AF" w:rsidP="005109AF">
      <w:pPr>
        <w:spacing w:line="276" w:lineRule="auto"/>
        <w:ind w:left="720" w:hanging="720"/>
        <w:contextualSpacing/>
      </w:pPr>
      <w:r w:rsidRPr="005109AF">
        <w:t>2.7</w:t>
      </w:r>
      <w:r w:rsidRPr="005109AF">
        <w:tab/>
        <w:t xml:space="preserve">Following significant changes in duties, any post can be re-evaluated. The evaluation will be based on a Job Evaluation Questionnaire which will be assessed by an independent panel of Job Evaluation trained assessors.  External advice and benchmarking will also be undertaken if </w:t>
      </w:r>
      <w:r w:rsidRPr="005109AF">
        <w:lastRenderedPageBreak/>
        <w:t>necessary to ensure that market conditions are taken into account for pay and grading.</w:t>
      </w:r>
    </w:p>
    <w:p w:rsidR="005109AF" w:rsidRPr="005109AF" w:rsidRDefault="005109AF" w:rsidP="005109AF">
      <w:pPr>
        <w:spacing w:line="276" w:lineRule="auto"/>
        <w:ind w:left="720" w:hanging="720"/>
        <w:contextualSpacing/>
      </w:pPr>
    </w:p>
    <w:p w:rsidR="005109AF" w:rsidRPr="005109AF" w:rsidRDefault="005109AF" w:rsidP="005109AF">
      <w:pPr>
        <w:spacing w:line="276" w:lineRule="auto"/>
        <w:ind w:left="720" w:hanging="720"/>
        <w:contextualSpacing/>
      </w:pPr>
      <w:r w:rsidRPr="005109AF">
        <w:t>2.8</w:t>
      </w:r>
      <w:r w:rsidRPr="005109AF">
        <w:tab/>
        <w:t>Salary increases in relation to cost of living will be applied to all posts according to the awards made by the appropriate National Joint Council as described in paragraph 2.1.</w:t>
      </w:r>
    </w:p>
    <w:p w:rsidR="005109AF" w:rsidRPr="005109AF" w:rsidRDefault="005109AF" w:rsidP="005109AF">
      <w:pPr>
        <w:spacing w:line="276" w:lineRule="auto"/>
        <w:ind w:left="360" w:hanging="360"/>
        <w:contextualSpacing/>
      </w:pPr>
    </w:p>
    <w:p w:rsidR="005109AF" w:rsidRPr="005109AF" w:rsidRDefault="005109AF" w:rsidP="005109AF">
      <w:pPr>
        <w:spacing w:line="276" w:lineRule="auto"/>
        <w:ind w:left="360" w:firstLine="360"/>
        <w:contextualSpacing/>
      </w:pPr>
      <w:r w:rsidRPr="005109AF">
        <w:t xml:space="preserve">The Council’s pay and grading structure is available from the Council’s website :- </w:t>
      </w:r>
    </w:p>
    <w:p w:rsidR="005109AF" w:rsidRPr="005109AF" w:rsidRDefault="007C297C" w:rsidP="005109AF">
      <w:pPr>
        <w:spacing w:line="276" w:lineRule="auto"/>
        <w:ind w:left="360" w:firstLine="360"/>
        <w:contextualSpacing/>
      </w:pPr>
      <w:hyperlink r:id="rId12" w:history="1">
        <w:r w:rsidR="005109AF" w:rsidRPr="005109AF">
          <w:rPr>
            <w:color w:val="5F5F5F" w:themeColor="hyperlink"/>
            <w:u w:val="single"/>
          </w:rPr>
          <w:t>https://www.torbay.gov.uk/council/jobs/what-we-offer/salary-and-grades/</w:t>
        </w:r>
      </w:hyperlink>
    </w:p>
    <w:p w:rsidR="005109AF" w:rsidRPr="005109AF" w:rsidRDefault="005109AF" w:rsidP="005109AF">
      <w:pPr>
        <w:spacing w:line="276" w:lineRule="auto"/>
        <w:ind w:left="360" w:hanging="360"/>
        <w:contextualSpacing/>
      </w:pPr>
    </w:p>
    <w:p w:rsidR="005109AF" w:rsidRPr="005109AF" w:rsidRDefault="005109AF" w:rsidP="005109AF">
      <w:pPr>
        <w:numPr>
          <w:ilvl w:val="1"/>
          <w:numId w:val="12"/>
        </w:numPr>
        <w:spacing w:line="276" w:lineRule="auto"/>
        <w:contextualSpacing/>
      </w:pPr>
      <w:r w:rsidRPr="005109AF">
        <w:tab/>
        <w:t>No additional payments are made to in respect of:</w:t>
      </w:r>
    </w:p>
    <w:p w:rsidR="005109AF" w:rsidRPr="005109AF" w:rsidRDefault="005109AF" w:rsidP="005109AF">
      <w:pPr>
        <w:spacing w:line="276" w:lineRule="auto"/>
        <w:contextualSpacing/>
      </w:pPr>
    </w:p>
    <w:p w:rsidR="005109AF" w:rsidRPr="005109AF" w:rsidRDefault="005109AF" w:rsidP="005109AF">
      <w:pPr>
        <w:numPr>
          <w:ilvl w:val="0"/>
          <w:numId w:val="13"/>
        </w:numPr>
        <w:spacing w:line="276" w:lineRule="auto"/>
        <w:contextualSpacing/>
      </w:pPr>
      <w:r w:rsidRPr="005109AF">
        <w:t xml:space="preserve">Bonus payments or Performance payments to the Senior Officers defined in 1.5, unless where given as a result of protections under TUPE e.g. Director of Public Health whose protected medical terms and conditions include access to additional NHS allowances in regard to Clinical Excellence and on-call duties, details can be found on the NHS Employers webpage as follows: - </w:t>
      </w:r>
      <w:hyperlink r:id="rId13" w:history="1">
        <w:r w:rsidRPr="005109AF">
          <w:rPr>
            <w:color w:val="5F5F5F" w:themeColor="hyperlink"/>
            <w:u w:val="single"/>
          </w:rPr>
          <w:t>https://www.nhsemployers.org/-/media/Employers/Documents/Pay-and-reward/Junior-Doctors/FINAL-Pay-and-Conditions-Circular-MD-12017-MARCH-2018.pdf</w:t>
        </w:r>
      </w:hyperlink>
    </w:p>
    <w:p w:rsidR="005109AF" w:rsidRPr="005109AF" w:rsidRDefault="005109AF" w:rsidP="005109AF">
      <w:pPr>
        <w:numPr>
          <w:ilvl w:val="0"/>
          <w:numId w:val="13"/>
        </w:numPr>
        <w:spacing w:line="276" w:lineRule="auto"/>
        <w:contextualSpacing/>
      </w:pPr>
      <w:r w:rsidRPr="005109AF">
        <w:t>Additional enhancements are paid to NJC Employees who are employed on SCP 23 or below of the Torbay Council Salary Scale. These enhancements were varied in accordance with a Collective Agreement with our Trades Unions, dated 13th December 2016.</w:t>
      </w:r>
    </w:p>
    <w:p w:rsidR="005109AF" w:rsidRPr="005109AF" w:rsidRDefault="005109AF" w:rsidP="005109AF">
      <w:pPr>
        <w:spacing w:line="276" w:lineRule="auto"/>
        <w:ind w:left="360" w:hanging="360"/>
        <w:contextualSpacing/>
      </w:pPr>
    </w:p>
    <w:p w:rsidR="005109AF" w:rsidRPr="005109AF" w:rsidRDefault="005109AF" w:rsidP="00E74A9A">
      <w:pPr>
        <w:pStyle w:val="ListParagraph"/>
        <w:numPr>
          <w:ilvl w:val="1"/>
          <w:numId w:val="12"/>
        </w:numPr>
        <w:spacing w:line="276" w:lineRule="auto"/>
      </w:pPr>
      <w:r w:rsidRPr="005109AF">
        <w:lastRenderedPageBreak/>
        <w:t xml:space="preserve">Additional payments are made to any Council Officers who act as Returning Officers,     </w:t>
      </w:r>
      <w:r w:rsidR="00E74A9A">
        <w:t xml:space="preserve">    </w:t>
      </w:r>
      <w:r w:rsidRPr="005109AF">
        <w:t>Deputy Returning Officers and those who carry out specific duties at elections. These payments are calculated according to the approved scale or set by a government department depending on the nature of the election. This is treated as a separate employment as and when required.</w:t>
      </w:r>
    </w:p>
    <w:p w:rsidR="005109AF" w:rsidRPr="005109AF" w:rsidRDefault="005109AF" w:rsidP="005109AF">
      <w:pPr>
        <w:spacing w:line="276" w:lineRule="auto"/>
        <w:ind w:left="360" w:hanging="360"/>
        <w:contextualSpacing/>
      </w:pPr>
    </w:p>
    <w:p w:rsidR="005109AF" w:rsidRPr="005109AF" w:rsidRDefault="005109AF" w:rsidP="005109AF">
      <w:pPr>
        <w:numPr>
          <w:ilvl w:val="1"/>
          <w:numId w:val="12"/>
        </w:numPr>
        <w:spacing w:line="276" w:lineRule="auto"/>
        <w:contextualSpacing/>
      </w:pPr>
      <w:r w:rsidRPr="005109AF">
        <w:t>In comparing the Chief Executive/Head of Paid Service pay with the wider workforce the</w:t>
      </w:r>
    </w:p>
    <w:p w:rsidR="005109AF" w:rsidRPr="005109AF" w:rsidRDefault="005109AF" w:rsidP="005109AF">
      <w:pPr>
        <w:spacing w:line="276" w:lineRule="auto"/>
        <w:ind w:firstLine="720"/>
        <w:contextualSpacing/>
      </w:pPr>
      <w:r w:rsidRPr="005109AF">
        <w:t>Council will use the following definitions:</w:t>
      </w:r>
    </w:p>
    <w:p w:rsidR="005109AF" w:rsidRPr="005109AF" w:rsidRDefault="005109AF" w:rsidP="005109AF">
      <w:pPr>
        <w:numPr>
          <w:ilvl w:val="0"/>
          <w:numId w:val="13"/>
        </w:numPr>
        <w:spacing w:line="276" w:lineRule="auto"/>
        <w:contextualSpacing/>
      </w:pPr>
      <w:r w:rsidRPr="005109AF">
        <w:t>The lowest-paid employee: the employee or group of employees with the lowest salary</w:t>
      </w:r>
    </w:p>
    <w:p w:rsidR="005109AF" w:rsidRPr="005109AF" w:rsidRDefault="005109AF" w:rsidP="005109AF">
      <w:pPr>
        <w:spacing w:line="276" w:lineRule="auto"/>
        <w:ind w:left="360" w:firstLine="360"/>
        <w:contextualSpacing/>
      </w:pPr>
      <w:r w:rsidRPr="005109AF">
        <w:t>(full-time equivalent) employed by the Council at the date of assessment.</w:t>
      </w:r>
    </w:p>
    <w:p w:rsidR="005109AF" w:rsidRPr="005109AF" w:rsidRDefault="005109AF" w:rsidP="005109AF">
      <w:pPr>
        <w:numPr>
          <w:ilvl w:val="0"/>
          <w:numId w:val="13"/>
        </w:numPr>
        <w:spacing w:line="276" w:lineRule="auto"/>
        <w:contextualSpacing/>
      </w:pPr>
      <w:r w:rsidRPr="005109AF">
        <w:t>The median: the mid-point salary when full-time equivalent salaries are arranged in order of size (highest to lowest).  Based on salary levels of staff on the date of assessment.</w:t>
      </w:r>
    </w:p>
    <w:p w:rsidR="005109AF" w:rsidRPr="005109AF" w:rsidRDefault="005109AF" w:rsidP="005109AF">
      <w:pPr>
        <w:spacing w:line="276" w:lineRule="auto"/>
        <w:ind w:left="360"/>
        <w:contextualSpacing/>
      </w:pPr>
    </w:p>
    <w:p w:rsidR="005109AF" w:rsidRPr="005109AF" w:rsidRDefault="005109AF" w:rsidP="005109AF">
      <w:pPr>
        <w:spacing w:line="276" w:lineRule="auto"/>
        <w:ind w:left="360"/>
        <w:contextualSpacing/>
      </w:pPr>
      <w:r w:rsidRPr="005109AF">
        <w:t>This excludes those employed on casual contracts of employment, but includes part time employees where their salaries are normalised to the full-time equivalent. It also excludes Apprentices who are employed on the Torbay Council apprentice pay grade.</w:t>
      </w:r>
    </w:p>
    <w:p w:rsidR="00E23D96" w:rsidRDefault="00E23D96" w:rsidP="00E23D96">
      <w:pPr>
        <w:spacing w:before="120" w:after="0" w:line="360" w:lineRule="auto"/>
      </w:pPr>
    </w:p>
    <w:p w:rsidR="005109AF" w:rsidRPr="00E23D96" w:rsidRDefault="005109AF" w:rsidP="00E23D96">
      <w:pPr>
        <w:pStyle w:val="Heading3"/>
        <w:numPr>
          <w:ilvl w:val="0"/>
          <w:numId w:val="19"/>
        </w:numPr>
      </w:pPr>
      <w:r w:rsidRPr="00E23D96">
        <w:t>Pensions contributions and other terms and conditions</w:t>
      </w:r>
      <w:r w:rsidRPr="00E23D96">
        <w:tab/>
      </w:r>
    </w:p>
    <w:p w:rsidR="005109AF" w:rsidRPr="005109AF" w:rsidRDefault="005109AF" w:rsidP="005109AF">
      <w:pPr>
        <w:widowControl w:val="0"/>
        <w:pBdr>
          <w:top w:val="nil"/>
          <w:left w:val="nil"/>
          <w:bottom w:val="nil"/>
          <w:right w:val="nil"/>
          <w:between w:val="nil"/>
          <w:bar w:val="nil"/>
        </w:pBdr>
        <w:spacing w:before="2" w:after="0" w:line="120" w:lineRule="exact"/>
        <w:rPr>
          <w:rFonts w:ascii="Calibri" w:eastAsia="Calibri" w:hAnsi="Calibri" w:cs="Calibri"/>
          <w:color w:val="17365D"/>
          <w:sz w:val="12"/>
          <w:szCs w:val="12"/>
          <w:u w:color="17365D"/>
          <w:bdr w:val="nil"/>
          <w:lang w:eastAsia="en-GB"/>
        </w:rPr>
      </w:pPr>
    </w:p>
    <w:p w:rsidR="005109AF" w:rsidRPr="005109AF" w:rsidRDefault="005109AF" w:rsidP="005109AF">
      <w:pPr>
        <w:spacing w:line="276" w:lineRule="auto"/>
        <w:ind w:left="720" w:hanging="720"/>
      </w:pPr>
      <w:r w:rsidRPr="005109AF">
        <w:lastRenderedPageBreak/>
        <w:t>3.1</w:t>
      </w:r>
      <w:r w:rsidRPr="005109AF">
        <w:tab/>
        <w:t>All staff who are members of the Local Government Pension Scheme make employee contributions to the scheme in accordance with the following LGPS</w:t>
      </w:r>
      <w:r w:rsidR="00F57485">
        <w:t xml:space="preserve"> contributions table.  T</w:t>
      </w:r>
      <w:r w:rsidR="00FF519E">
        <w:t>hese figures represent the 202</w:t>
      </w:r>
      <w:r w:rsidR="00F57485">
        <w:t>1</w:t>
      </w:r>
      <w:r w:rsidR="00FF519E">
        <w:t>/2</w:t>
      </w:r>
      <w:r w:rsidR="00F57485">
        <w:t>2</w:t>
      </w:r>
      <w:r w:rsidRPr="005109AF">
        <w:t xml:space="preserve"> contribution rates and bandings.</w:t>
      </w:r>
    </w:p>
    <w:p w:rsidR="005109AF" w:rsidRPr="005109AF" w:rsidRDefault="005109AF" w:rsidP="005109AF">
      <w:pPr>
        <w:spacing w:line="276" w:lineRule="auto"/>
        <w:ind w:left="360"/>
        <w:contextualSpacing/>
      </w:pPr>
    </w:p>
    <w:tbl>
      <w:tblPr>
        <w:tblStyle w:val="ListTable4-Accent41"/>
        <w:tblW w:w="0" w:type="auto"/>
        <w:tblLook w:val="04A0" w:firstRow="1" w:lastRow="0" w:firstColumn="1" w:lastColumn="0" w:noHBand="0" w:noVBand="1"/>
      </w:tblPr>
      <w:tblGrid>
        <w:gridCol w:w="1941"/>
        <w:gridCol w:w="2618"/>
        <w:gridCol w:w="3064"/>
        <w:gridCol w:w="2587"/>
      </w:tblGrid>
      <w:tr w:rsidR="00FF519E" w:rsidRPr="005109AF" w:rsidTr="00FF5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F519E" w:rsidRPr="005109AF" w:rsidRDefault="00FF519E" w:rsidP="005109AF">
            <w:pPr>
              <w:spacing w:after="120"/>
              <w:rPr>
                <w:rFonts w:asciiTheme="minorHAnsi" w:hAnsiTheme="minorHAnsi"/>
                <w:b w:val="0"/>
                <w:bCs w:val="0"/>
                <w:color w:val="auto"/>
              </w:rPr>
            </w:pPr>
            <w:r w:rsidRPr="005109AF">
              <w:rPr>
                <w:rFonts w:asciiTheme="minorHAnsi" w:hAnsiTheme="minorHAnsi"/>
                <w:b w:val="0"/>
                <w:bCs w:val="0"/>
                <w:color w:val="auto"/>
              </w:rPr>
              <w:t>Band</w:t>
            </w:r>
          </w:p>
        </w:tc>
        <w:tc>
          <w:tcPr>
            <w:tcW w:w="2618" w:type="dxa"/>
          </w:tcPr>
          <w:p w:rsidR="00FF519E" w:rsidRPr="005109AF" w:rsidRDefault="00FF519E" w:rsidP="005109AF">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5109AF">
              <w:rPr>
                <w:rFonts w:asciiTheme="minorHAnsi" w:hAnsiTheme="minorHAnsi"/>
                <w:b w:val="0"/>
                <w:bCs w:val="0"/>
                <w:color w:val="auto"/>
              </w:rPr>
              <w:t>Salary Range</w:t>
            </w:r>
          </w:p>
        </w:tc>
        <w:tc>
          <w:tcPr>
            <w:tcW w:w="3064" w:type="dxa"/>
          </w:tcPr>
          <w:p w:rsidR="00FF519E" w:rsidRPr="005109AF" w:rsidRDefault="00FF519E" w:rsidP="005109AF">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rPr>
            </w:pPr>
            <w:r w:rsidRPr="005109AF">
              <w:rPr>
                <w:rFonts w:asciiTheme="minorHAnsi" w:hAnsiTheme="minorHAnsi"/>
                <w:b w:val="0"/>
                <w:bCs w:val="0"/>
                <w:color w:val="auto"/>
              </w:rPr>
              <w:t>Contribution Rate</w:t>
            </w:r>
          </w:p>
        </w:tc>
        <w:tc>
          <w:tcPr>
            <w:tcW w:w="2587" w:type="dxa"/>
          </w:tcPr>
          <w:p w:rsidR="00FF519E" w:rsidRPr="005109AF" w:rsidRDefault="00FF519E" w:rsidP="005109AF">
            <w:pPr>
              <w:cnfStyle w:val="100000000000" w:firstRow="1" w:lastRow="0" w:firstColumn="0" w:lastColumn="0" w:oddVBand="0" w:evenVBand="0" w:oddHBand="0" w:evenHBand="0" w:firstRowFirstColumn="0" w:firstRowLastColumn="0" w:lastRowFirstColumn="0" w:lastRowLastColumn="0"/>
              <w:rPr>
                <w:b w:val="0"/>
                <w:bCs w:val="0"/>
              </w:rPr>
            </w:pPr>
            <w:r w:rsidRPr="005109AF">
              <w:rPr>
                <w:rFonts w:asciiTheme="minorHAnsi" w:hAnsiTheme="minorHAnsi"/>
                <w:b w:val="0"/>
                <w:bCs w:val="0"/>
                <w:color w:val="auto"/>
              </w:rPr>
              <w:t>Contribution Rate</w:t>
            </w:r>
          </w:p>
        </w:tc>
      </w:tr>
      <w:tr w:rsidR="00FF519E" w:rsidRPr="005109AF" w:rsidTr="00FF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F519E" w:rsidRPr="005109AF" w:rsidRDefault="00FF519E" w:rsidP="005109AF">
            <w:pPr>
              <w:spacing w:after="120"/>
              <w:rPr>
                <w:bCs w:val="0"/>
              </w:rPr>
            </w:pPr>
            <w:r>
              <w:rPr>
                <w:bCs w:val="0"/>
              </w:rPr>
              <w:t>1</w:t>
            </w:r>
          </w:p>
        </w:tc>
        <w:tc>
          <w:tcPr>
            <w:tcW w:w="2618" w:type="dxa"/>
          </w:tcPr>
          <w:p w:rsidR="00FF519E" w:rsidRPr="005109AF" w:rsidRDefault="00755D87" w:rsidP="005109AF">
            <w:pPr>
              <w:spacing w:after="120"/>
              <w:cnfStyle w:val="000000100000" w:firstRow="0" w:lastRow="0" w:firstColumn="0" w:lastColumn="0" w:oddVBand="0" w:evenVBand="0" w:oddHBand="1" w:evenHBand="0" w:firstRowFirstColumn="0" w:firstRowLastColumn="0" w:lastRowFirstColumn="0" w:lastRowLastColumn="0"/>
            </w:pPr>
            <w:r w:rsidRPr="00755D87">
              <w:t>£0 To £14,600</w:t>
            </w:r>
          </w:p>
        </w:tc>
        <w:tc>
          <w:tcPr>
            <w:tcW w:w="3064" w:type="dxa"/>
          </w:tcPr>
          <w:p w:rsidR="00FF519E" w:rsidRPr="005109AF" w:rsidRDefault="00755D87" w:rsidP="00755D87">
            <w:pPr>
              <w:spacing w:after="120"/>
              <w:jc w:val="center"/>
              <w:cnfStyle w:val="000000100000" w:firstRow="0" w:lastRow="0" w:firstColumn="0" w:lastColumn="0" w:oddVBand="0" w:evenVBand="0" w:oddHBand="1" w:evenHBand="0" w:firstRowFirstColumn="0" w:firstRowLastColumn="0" w:lastRowFirstColumn="0" w:lastRowLastColumn="0"/>
            </w:pPr>
            <w:r w:rsidRPr="00755D87">
              <w:t>5.50%</w:t>
            </w:r>
          </w:p>
        </w:tc>
        <w:tc>
          <w:tcPr>
            <w:tcW w:w="2587"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t>2.75%</w:t>
            </w:r>
          </w:p>
        </w:tc>
      </w:tr>
      <w:tr w:rsidR="00FF519E" w:rsidRPr="005109AF" w:rsidTr="00FF519E">
        <w:tc>
          <w:tcPr>
            <w:cnfStyle w:val="001000000000" w:firstRow="0" w:lastRow="0" w:firstColumn="1" w:lastColumn="0" w:oddVBand="0" w:evenVBand="0" w:oddHBand="0" w:evenHBand="0" w:firstRowFirstColumn="0" w:firstRowLastColumn="0" w:lastRowFirstColumn="0" w:lastRowLastColumn="0"/>
            <w:tcW w:w="1941" w:type="dxa"/>
          </w:tcPr>
          <w:p w:rsidR="00FF519E" w:rsidRPr="005109AF" w:rsidRDefault="00FF519E" w:rsidP="005109AF">
            <w:pPr>
              <w:spacing w:after="120"/>
              <w:rPr>
                <w:bCs w:val="0"/>
              </w:rPr>
            </w:pPr>
            <w:r>
              <w:rPr>
                <w:bCs w:val="0"/>
              </w:rPr>
              <w:t>2</w:t>
            </w:r>
          </w:p>
        </w:tc>
        <w:tc>
          <w:tcPr>
            <w:tcW w:w="2618" w:type="dxa"/>
          </w:tcPr>
          <w:p w:rsidR="00FF519E" w:rsidRPr="005109AF" w:rsidRDefault="00755D87" w:rsidP="00F57485">
            <w:pPr>
              <w:spacing w:after="120"/>
              <w:cnfStyle w:val="000000000000" w:firstRow="0" w:lastRow="0" w:firstColumn="0" w:lastColumn="0" w:oddVBand="0" w:evenVBand="0" w:oddHBand="0" w:evenHBand="0" w:firstRowFirstColumn="0" w:firstRowLastColumn="0" w:lastRowFirstColumn="0" w:lastRowLastColumn="0"/>
            </w:pPr>
            <w:r w:rsidRPr="00755D87">
              <w:t>£14,601 To £22,</w:t>
            </w:r>
            <w:r w:rsidR="00F57485">
              <w:t>9</w:t>
            </w:r>
            <w:r w:rsidRPr="00755D87">
              <w:t>00</w:t>
            </w:r>
          </w:p>
        </w:tc>
        <w:tc>
          <w:tcPr>
            <w:tcW w:w="3064" w:type="dxa"/>
          </w:tcPr>
          <w:p w:rsidR="00FF519E" w:rsidRPr="005109AF" w:rsidRDefault="00755D87" w:rsidP="00755D87">
            <w:pPr>
              <w:spacing w:after="120"/>
              <w:jc w:val="center"/>
              <w:cnfStyle w:val="000000000000" w:firstRow="0" w:lastRow="0" w:firstColumn="0" w:lastColumn="0" w:oddVBand="0" w:evenVBand="0" w:oddHBand="0" w:evenHBand="0" w:firstRowFirstColumn="0" w:firstRowLastColumn="0" w:lastRowFirstColumn="0" w:lastRowLastColumn="0"/>
            </w:pPr>
            <w:r w:rsidRPr="00755D87">
              <w:t>5.80%</w:t>
            </w:r>
          </w:p>
        </w:tc>
        <w:tc>
          <w:tcPr>
            <w:tcW w:w="2587" w:type="dxa"/>
          </w:tcPr>
          <w:p w:rsidR="00FF519E" w:rsidRPr="005109AF" w:rsidRDefault="00FF519E" w:rsidP="00755D87">
            <w:pPr>
              <w:jc w:val="center"/>
              <w:cnfStyle w:val="000000000000" w:firstRow="0" w:lastRow="0" w:firstColumn="0" w:lastColumn="0" w:oddVBand="0" w:evenVBand="0" w:oddHBand="0" w:evenHBand="0" w:firstRowFirstColumn="0" w:firstRowLastColumn="0" w:lastRowFirstColumn="0" w:lastRowLastColumn="0"/>
            </w:pPr>
            <w:r w:rsidRPr="00FF519E">
              <w:t>2.90%</w:t>
            </w:r>
          </w:p>
        </w:tc>
      </w:tr>
      <w:tr w:rsidR="00FF519E" w:rsidRPr="005109AF" w:rsidTr="00FF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3</w:t>
            </w:r>
          </w:p>
        </w:tc>
        <w:tc>
          <w:tcPr>
            <w:tcW w:w="2618" w:type="dxa"/>
          </w:tcPr>
          <w:p w:rsidR="00FF519E" w:rsidRPr="005109AF" w:rsidRDefault="00F57485" w:rsidP="00F57485">
            <w:pPr>
              <w:cnfStyle w:val="000000100000" w:firstRow="0" w:lastRow="0" w:firstColumn="0" w:lastColumn="0" w:oddVBand="0" w:evenVBand="0" w:oddHBand="1" w:evenHBand="0" w:firstRowFirstColumn="0" w:firstRowLastColumn="0" w:lastRowFirstColumn="0" w:lastRowLastColumn="0"/>
            </w:pPr>
            <w:r>
              <w:t>£22,9</w:t>
            </w:r>
            <w:r w:rsidR="00FF519E" w:rsidRPr="00FF519E">
              <w:t>01 To £37,</w:t>
            </w:r>
            <w:r>
              <w:t>2</w:t>
            </w:r>
            <w:r w:rsidR="00FF519E" w:rsidRPr="00FF519E">
              <w:t>00</w:t>
            </w:r>
          </w:p>
        </w:tc>
        <w:tc>
          <w:tcPr>
            <w:tcW w:w="3064"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rsidRPr="00FF519E">
              <w:t>6.50%</w:t>
            </w:r>
          </w:p>
        </w:tc>
        <w:tc>
          <w:tcPr>
            <w:tcW w:w="2587"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rsidRPr="00FF519E">
              <w:t>3.25%</w:t>
            </w:r>
          </w:p>
        </w:tc>
      </w:tr>
      <w:tr w:rsidR="00FF519E" w:rsidRPr="005109AF" w:rsidTr="00FF519E">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4</w:t>
            </w:r>
          </w:p>
        </w:tc>
        <w:tc>
          <w:tcPr>
            <w:tcW w:w="2618" w:type="dxa"/>
          </w:tcPr>
          <w:p w:rsidR="00FF519E" w:rsidRPr="005109AF" w:rsidRDefault="00F57485" w:rsidP="00F57485">
            <w:pPr>
              <w:cnfStyle w:val="000000000000" w:firstRow="0" w:lastRow="0" w:firstColumn="0" w:lastColumn="0" w:oddVBand="0" w:evenVBand="0" w:oddHBand="0" w:evenHBand="0" w:firstRowFirstColumn="0" w:firstRowLastColumn="0" w:lastRowFirstColumn="0" w:lastRowLastColumn="0"/>
            </w:pPr>
            <w:r>
              <w:t>£37,2</w:t>
            </w:r>
            <w:r w:rsidR="00FF519E" w:rsidRPr="00FF519E">
              <w:t>01 To £4</w:t>
            </w:r>
            <w:r>
              <w:t>7</w:t>
            </w:r>
            <w:r w:rsidR="00FF519E" w:rsidRPr="00FF519E">
              <w:t>,</w:t>
            </w:r>
            <w:r>
              <w:t>1</w:t>
            </w:r>
            <w:r w:rsidR="00FF519E" w:rsidRPr="00FF519E">
              <w:t>00</w:t>
            </w:r>
          </w:p>
        </w:tc>
        <w:tc>
          <w:tcPr>
            <w:tcW w:w="3064" w:type="dxa"/>
          </w:tcPr>
          <w:p w:rsidR="00FF519E" w:rsidRPr="005109AF" w:rsidRDefault="00FF519E" w:rsidP="00755D87">
            <w:pPr>
              <w:jc w:val="center"/>
              <w:cnfStyle w:val="000000000000" w:firstRow="0" w:lastRow="0" w:firstColumn="0" w:lastColumn="0" w:oddVBand="0" w:evenVBand="0" w:oddHBand="0" w:evenHBand="0" w:firstRowFirstColumn="0" w:firstRowLastColumn="0" w:lastRowFirstColumn="0" w:lastRowLastColumn="0"/>
            </w:pPr>
            <w:r w:rsidRPr="00FF519E">
              <w:t>6.80%</w:t>
            </w:r>
          </w:p>
        </w:tc>
        <w:tc>
          <w:tcPr>
            <w:tcW w:w="2587" w:type="dxa"/>
          </w:tcPr>
          <w:p w:rsidR="00FF519E" w:rsidRPr="005109AF" w:rsidRDefault="00FF519E" w:rsidP="00755D87">
            <w:pPr>
              <w:jc w:val="center"/>
              <w:cnfStyle w:val="000000000000" w:firstRow="0" w:lastRow="0" w:firstColumn="0" w:lastColumn="0" w:oddVBand="0" w:evenVBand="0" w:oddHBand="0" w:evenHBand="0" w:firstRowFirstColumn="0" w:firstRowLastColumn="0" w:lastRowFirstColumn="0" w:lastRowLastColumn="0"/>
            </w:pPr>
            <w:r w:rsidRPr="00FF519E">
              <w:t>3.40%</w:t>
            </w:r>
          </w:p>
        </w:tc>
      </w:tr>
      <w:tr w:rsidR="00FF519E" w:rsidRPr="005109AF" w:rsidTr="00FF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5</w:t>
            </w:r>
          </w:p>
        </w:tc>
        <w:tc>
          <w:tcPr>
            <w:tcW w:w="2618" w:type="dxa"/>
          </w:tcPr>
          <w:p w:rsidR="00FF519E" w:rsidRPr="005109AF" w:rsidRDefault="00FF519E" w:rsidP="00F57485">
            <w:pPr>
              <w:cnfStyle w:val="000000100000" w:firstRow="0" w:lastRow="0" w:firstColumn="0" w:lastColumn="0" w:oddVBand="0" w:evenVBand="0" w:oddHBand="1" w:evenHBand="0" w:firstRowFirstColumn="0" w:firstRowLastColumn="0" w:lastRowFirstColumn="0" w:lastRowLastColumn="0"/>
            </w:pPr>
            <w:r w:rsidRPr="00FF519E">
              <w:t>£4</w:t>
            </w:r>
            <w:r w:rsidR="00F57485">
              <w:t>7,101 To £65,9</w:t>
            </w:r>
            <w:r w:rsidRPr="00FF519E">
              <w:t>00</w:t>
            </w:r>
          </w:p>
        </w:tc>
        <w:tc>
          <w:tcPr>
            <w:tcW w:w="3064"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rsidRPr="00FF519E">
              <w:t>8.50%</w:t>
            </w:r>
          </w:p>
        </w:tc>
        <w:tc>
          <w:tcPr>
            <w:tcW w:w="2587"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rsidRPr="00FF519E">
              <w:t>4.25%</w:t>
            </w:r>
          </w:p>
        </w:tc>
      </w:tr>
      <w:tr w:rsidR="00FF519E" w:rsidRPr="005109AF" w:rsidTr="00FF519E">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6</w:t>
            </w:r>
          </w:p>
        </w:tc>
        <w:tc>
          <w:tcPr>
            <w:tcW w:w="2618" w:type="dxa"/>
          </w:tcPr>
          <w:p w:rsidR="00FF519E" w:rsidRPr="005109AF" w:rsidRDefault="00F57485" w:rsidP="005109AF">
            <w:pPr>
              <w:cnfStyle w:val="000000000000" w:firstRow="0" w:lastRow="0" w:firstColumn="0" w:lastColumn="0" w:oddVBand="0" w:evenVBand="0" w:oddHBand="0" w:evenHBand="0" w:firstRowFirstColumn="0" w:firstRowLastColumn="0" w:lastRowFirstColumn="0" w:lastRowLastColumn="0"/>
            </w:pPr>
            <w:r>
              <w:t>£65,901 To £93,4</w:t>
            </w:r>
            <w:r w:rsidR="00FF519E" w:rsidRPr="00FF519E">
              <w:t>00</w:t>
            </w:r>
          </w:p>
        </w:tc>
        <w:tc>
          <w:tcPr>
            <w:tcW w:w="3064" w:type="dxa"/>
          </w:tcPr>
          <w:p w:rsidR="00FF519E" w:rsidRPr="005109AF" w:rsidRDefault="00FF519E" w:rsidP="00755D87">
            <w:pPr>
              <w:jc w:val="center"/>
              <w:cnfStyle w:val="000000000000" w:firstRow="0" w:lastRow="0" w:firstColumn="0" w:lastColumn="0" w:oddVBand="0" w:evenVBand="0" w:oddHBand="0" w:evenHBand="0" w:firstRowFirstColumn="0" w:firstRowLastColumn="0" w:lastRowFirstColumn="0" w:lastRowLastColumn="0"/>
            </w:pPr>
            <w:r w:rsidRPr="00FF519E">
              <w:t>9.90%</w:t>
            </w:r>
          </w:p>
        </w:tc>
        <w:tc>
          <w:tcPr>
            <w:tcW w:w="2587" w:type="dxa"/>
          </w:tcPr>
          <w:p w:rsidR="00FF519E" w:rsidRPr="005109AF" w:rsidRDefault="00FF519E" w:rsidP="00755D87">
            <w:pPr>
              <w:jc w:val="center"/>
              <w:cnfStyle w:val="000000000000" w:firstRow="0" w:lastRow="0" w:firstColumn="0" w:lastColumn="0" w:oddVBand="0" w:evenVBand="0" w:oddHBand="0" w:evenHBand="0" w:firstRowFirstColumn="0" w:firstRowLastColumn="0" w:lastRowFirstColumn="0" w:lastRowLastColumn="0"/>
            </w:pPr>
            <w:r w:rsidRPr="00FF519E">
              <w:t>4.95%</w:t>
            </w:r>
          </w:p>
        </w:tc>
      </w:tr>
      <w:tr w:rsidR="00FF519E" w:rsidRPr="005109AF" w:rsidTr="00FF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7</w:t>
            </w:r>
          </w:p>
        </w:tc>
        <w:tc>
          <w:tcPr>
            <w:tcW w:w="2618" w:type="dxa"/>
          </w:tcPr>
          <w:p w:rsidR="00FF519E" w:rsidRPr="005109AF" w:rsidRDefault="00F57485" w:rsidP="00F57485">
            <w:pPr>
              <w:cnfStyle w:val="000000100000" w:firstRow="0" w:lastRow="0" w:firstColumn="0" w:lastColumn="0" w:oddVBand="0" w:evenVBand="0" w:oddHBand="1" w:evenHBand="0" w:firstRowFirstColumn="0" w:firstRowLastColumn="0" w:lastRowFirstColumn="0" w:lastRowLastColumn="0"/>
            </w:pPr>
            <w:r>
              <w:t>£93,401 To £110,0</w:t>
            </w:r>
            <w:r w:rsidR="00FF519E" w:rsidRPr="00FF519E">
              <w:t>00</w:t>
            </w:r>
          </w:p>
        </w:tc>
        <w:tc>
          <w:tcPr>
            <w:tcW w:w="3064"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rsidRPr="00FF519E">
              <w:t>10.5%</w:t>
            </w:r>
          </w:p>
        </w:tc>
        <w:tc>
          <w:tcPr>
            <w:tcW w:w="2587" w:type="dxa"/>
          </w:tcPr>
          <w:p w:rsidR="00FF519E" w:rsidRPr="005109AF" w:rsidRDefault="00FF519E" w:rsidP="00755D87">
            <w:pPr>
              <w:jc w:val="center"/>
              <w:cnfStyle w:val="000000100000" w:firstRow="0" w:lastRow="0" w:firstColumn="0" w:lastColumn="0" w:oddVBand="0" w:evenVBand="0" w:oddHBand="1" w:evenHBand="0" w:firstRowFirstColumn="0" w:firstRowLastColumn="0" w:lastRowFirstColumn="0" w:lastRowLastColumn="0"/>
            </w:pPr>
            <w:r w:rsidRPr="00FF519E">
              <w:t>5.25%</w:t>
            </w:r>
          </w:p>
        </w:tc>
      </w:tr>
      <w:tr w:rsidR="00FF519E" w:rsidRPr="005109AF" w:rsidTr="00FF519E">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8</w:t>
            </w:r>
          </w:p>
        </w:tc>
        <w:tc>
          <w:tcPr>
            <w:tcW w:w="2618" w:type="dxa"/>
          </w:tcPr>
          <w:p w:rsidR="00FF519E" w:rsidRPr="005109AF" w:rsidRDefault="00F57485" w:rsidP="00F57485">
            <w:pPr>
              <w:cnfStyle w:val="000000000000" w:firstRow="0" w:lastRow="0" w:firstColumn="0" w:lastColumn="0" w:oddVBand="0" w:evenVBand="0" w:oddHBand="0" w:evenHBand="0" w:firstRowFirstColumn="0" w:firstRowLastColumn="0" w:lastRowFirstColumn="0" w:lastRowLastColumn="0"/>
            </w:pPr>
            <w:r>
              <w:t>£110,001 To £165,00</w:t>
            </w:r>
            <w:r w:rsidR="00755D87" w:rsidRPr="00755D87">
              <w:t>0</w:t>
            </w:r>
          </w:p>
        </w:tc>
        <w:tc>
          <w:tcPr>
            <w:tcW w:w="3064" w:type="dxa"/>
          </w:tcPr>
          <w:p w:rsidR="00FF519E" w:rsidRPr="005109AF" w:rsidRDefault="00755D87" w:rsidP="00755D87">
            <w:pPr>
              <w:jc w:val="center"/>
              <w:cnfStyle w:val="000000000000" w:firstRow="0" w:lastRow="0" w:firstColumn="0" w:lastColumn="0" w:oddVBand="0" w:evenVBand="0" w:oddHBand="0" w:evenHBand="0" w:firstRowFirstColumn="0" w:firstRowLastColumn="0" w:lastRowFirstColumn="0" w:lastRowLastColumn="0"/>
            </w:pPr>
            <w:r w:rsidRPr="00755D87">
              <w:t>11.4%</w:t>
            </w:r>
          </w:p>
        </w:tc>
        <w:tc>
          <w:tcPr>
            <w:tcW w:w="2587" w:type="dxa"/>
          </w:tcPr>
          <w:p w:rsidR="00FF519E" w:rsidRPr="005109AF" w:rsidRDefault="00755D87" w:rsidP="00755D87">
            <w:pPr>
              <w:jc w:val="center"/>
              <w:cnfStyle w:val="000000000000" w:firstRow="0" w:lastRow="0" w:firstColumn="0" w:lastColumn="0" w:oddVBand="0" w:evenVBand="0" w:oddHBand="0" w:evenHBand="0" w:firstRowFirstColumn="0" w:firstRowLastColumn="0" w:lastRowFirstColumn="0" w:lastRowLastColumn="0"/>
            </w:pPr>
            <w:r w:rsidRPr="00755D87">
              <w:t>5.70%</w:t>
            </w:r>
          </w:p>
        </w:tc>
      </w:tr>
      <w:tr w:rsidR="00FF519E" w:rsidRPr="005109AF" w:rsidTr="00FF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F519E" w:rsidRDefault="00FF519E" w:rsidP="005109AF">
            <w:pPr>
              <w:rPr>
                <w:bCs w:val="0"/>
              </w:rPr>
            </w:pPr>
            <w:r>
              <w:rPr>
                <w:bCs w:val="0"/>
              </w:rPr>
              <w:t>9</w:t>
            </w:r>
          </w:p>
        </w:tc>
        <w:tc>
          <w:tcPr>
            <w:tcW w:w="2618" w:type="dxa"/>
          </w:tcPr>
          <w:p w:rsidR="00FF519E" w:rsidRPr="005109AF" w:rsidRDefault="00755D87" w:rsidP="00F57485">
            <w:pPr>
              <w:cnfStyle w:val="000000100000" w:firstRow="0" w:lastRow="0" w:firstColumn="0" w:lastColumn="0" w:oddVBand="0" w:evenVBand="0" w:oddHBand="1" w:evenHBand="0" w:firstRowFirstColumn="0" w:firstRowLastColumn="0" w:lastRowFirstColumn="0" w:lastRowLastColumn="0"/>
            </w:pPr>
            <w:r w:rsidRPr="00755D87">
              <w:t>£16</w:t>
            </w:r>
            <w:r w:rsidR="00F57485">
              <w:t>5</w:t>
            </w:r>
            <w:r w:rsidRPr="00755D87">
              <w:t>,</w:t>
            </w:r>
            <w:r w:rsidR="00F57485">
              <w:t>0</w:t>
            </w:r>
            <w:r w:rsidRPr="00755D87">
              <w:t>01 or more</w:t>
            </w:r>
          </w:p>
        </w:tc>
        <w:tc>
          <w:tcPr>
            <w:tcW w:w="3064" w:type="dxa"/>
          </w:tcPr>
          <w:p w:rsidR="00FF519E" w:rsidRPr="005109AF" w:rsidRDefault="00755D87" w:rsidP="00755D87">
            <w:pPr>
              <w:jc w:val="center"/>
              <w:cnfStyle w:val="000000100000" w:firstRow="0" w:lastRow="0" w:firstColumn="0" w:lastColumn="0" w:oddVBand="0" w:evenVBand="0" w:oddHBand="1" w:evenHBand="0" w:firstRowFirstColumn="0" w:firstRowLastColumn="0" w:lastRowFirstColumn="0" w:lastRowLastColumn="0"/>
            </w:pPr>
            <w:r w:rsidRPr="00755D87">
              <w:t>12.5%</w:t>
            </w:r>
          </w:p>
        </w:tc>
        <w:tc>
          <w:tcPr>
            <w:tcW w:w="2587" w:type="dxa"/>
          </w:tcPr>
          <w:p w:rsidR="00FF519E" w:rsidRPr="005109AF" w:rsidRDefault="00755D87" w:rsidP="00755D87">
            <w:pPr>
              <w:jc w:val="center"/>
              <w:cnfStyle w:val="000000100000" w:firstRow="0" w:lastRow="0" w:firstColumn="0" w:lastColumn="0" w:oddVBand="0" w:evenVBand="0" w:oddHBand="1" w:evenHBand="0" w:firstRowFirstColumn="0" w:firstRowLastColumn="0" w:lastRowFirstColumn="0" w:lastRowLastColumn="0"/>
            </w:pPr>
            <w:r w:rsidRPr="00755D87">
              <w:t>6.25%</w:t>
            </w:r>
          </w:p>
        </w:tc>
      </w:tr>
    </w:tbl>
    <w:p w:rsidR="005109AF" w:rsidRPr="005109AF" w:rsidRDefault="005109AF" w:rsidP="005109AF"/>
    <w:p w:rsidR="005109AF" w:rsidRPr="00755D87" w:rsidRDefault="005109AF" w:rsidP="00755D87">
      <w:pPr>
        <w:spacing w:line="276" w:lineRule="auto"/>
        <w:ind w:left="720" w:hanging="720"/>
        <w:rPr>
          <w:rFonts w:eastAsia="Calibri"/>
          <w:position w:val="20"/>
          <w:sz w:val="14"/>
          <w:szCs w:val="14"/>
          <w:u w:color="17365D"/>
          <w:bdr w:val="nil"/>
          <w:lang w:eastAsia="en-GB"/>
        </w:rPr>
      </w:pPr>
      <w:r w:rsidRPr="005109AF">
        <w:rPr>
          <w:rFonts w:eastAsia="Calibri"/>
          <w:spacing w:val="-1"/>
          <w:u w:color="17365D"/>
          <w:bdr w:val="nil"/>
          <w:lang w:eastAsia="en-GB"/>
        </w:rPr>
        <w:t>3.2</w:t>
      </w:r>
      <w:r w:rsidRPr="005109AF">
        <w:rPr>
          <w:rFonts w:eastAsia="Calibri"/>
          <w:spacing w:val="-1"/>
          <w:u w:color="17365D"/>
          <w:bdr w:val="nil"/>
          <w:lang w:eastAsia="en-GB"/>
        </w:rPr>
        <w:tab/>
        <w:t>T</w:t>
      </w:r>
      <w:r w:rsidRPr="005109AF">
        <w:rPr>
          <w:rFonts w:eastAsia="Calibri"/>
          <w:u w:color="17365D"/>
          <w:bdr w:val="nil"/>
          <w:lang w:eastAsia="en-GB"/>
        </w:rPr>
        <w:t>he employer</w:t>
      </w:r>
      <w:r w:rsidRPr="005109AF">
        <w:rPr>
          <w:rFonts w:eastAsia="Calibri"/>
          <w:spacing w:val="-1"/>
          <w:u w:color="17365D"/>
          <w:bdr w:val="nil"/>
          <w:lang w:eastAsia="en-GB"/>
        </w:rPr>
        <w:t xml:space="preserve"> </w:t>
      </w:r>
      <w:r w:rsidRPr="005109AF">
        <w:rPr>
          <w:rFonts w:eastAsia="Calibri"/>
          <w:u w:color="17365D"/>
          <w:bdr w:val="nil"/>
          <w:lang w:eastAsia="en-GB"/>
        </w:rPr>
        <w:t>pension con</w:t>
      </w:r>
      <w:r w:rsidRPr="005109AF">
        <w:rPr>
          <w:rFonts w:eastAsia="Calibri"/>
          <w:spacing w:val="-1"/>
          <w:u w:color="17365D"/>
          <w:bdr w:val="nil"/>
          <w:lang w:eastAsia="en-GB"/>
        </w:rPr>
        <w:t>tr</w:t>
      </w:r>
      <w:r w:rsidRPr="005109AF">
        <w:rPr>
          <w:rFonts w:eastAsia="Calibri"/>
          <w:u w:color="17365D"/>
          <w:bdr w:val="nil"/>
          <w:lang w:eastAsia="en-GB"/>
        </w:rPr>
        <w:t>ibu</w:t>
      </w:r>
      <w:r w:rsidRPr="005109AF">
        <w:rPr>
          <w:rFonts w:eastAsia="Calibri"/>
          <w:spacing w:val="-1"/>
          <w:u w:color="17365D"/>
          <w:bdr w:val="nil"/>
          <w:lang w:eastAsia="en-GB"/>
        </w:rPr>
        <w:t>t</w:t>
      </w:r>
      <w:r w:rsidRPr="005109AF">
        <w:rPr>
          <w:rFonts w:eastAsia="Calibri"/>
          <w:u w:color="17365D"/>
          <w:bdr w:val="nil"/>
          <w:lang w:eastAsia="en-GB"/>
        </w:rPr>
        <w:t xml:space="preserve">ion </w:t>
      </w:r>
      <w:r w:rsidRPr="005109AF">
        <w:rPr>
          <w:rFonts w:eastAsia="Calibri"/>
          <w:spacing w:val="-1"/>
          <w:u w:color="17365D"/>
          <w:bdr w:val="nil"/>
          <w:lang w:eastAsia="en-GB"/>
        </w:rPr>
        <w:t>r</w:t>
      </w:r>
      <w:r w:rsidRPr="005109AF">
        <w:rPr>
          <w:rFonts w:eastAsia="Calibri"/>
          <w:u w:color="17365D"/>
          <w:bdr w:val="nil"/>
          <w:lang w:eastAsia="en-GB"/>
        </w:rPr>
        <w:t>ate is: 16.70% for Core Council and 18.50% for Schools based staff</w:t>
      </w:r>
      <w:r w:rsidRPr="005109AF">
        <w:rPr>
          <w:rFonts w:eastAsia="Calibri"/>
          <w:u w:color="17365D"/>
          <w:bdr w:val="nil"/>
          <w:lang w:val="en-US" w:eastAsia="en-GB"/>
        </w:rPr>
        <w:t xml:space="preserve"> which has been set </w:t>
      </w:r>
      <w:r w:rsidRPr="005109AF">
        <w:rPr>
          <w:rFonts w:eastAsia="Calibri"/>
          <w:spacing w:val="-1"/>
          <w:u w:color="17365D"/>
          <w:bdr w:val="nil"/>
          <w:lang w:eastAsia="en-GB"/>
        </w:rPr>
        <w:t>fr</w:t>
      </w:r>
      <w:r w:rsidRPr="005109AF">
        <w:rPr>
          <w:rFonts w:eastAsia="Calibri"/>
          <w:u w:color="17365D"/>
          <w:bdr w:val="nil"/>
          <w:lang w:eastAsia="en-GB"/>
        </w:rPr>
        <w:t>om 1</w:t>
      </w:r>
      <w:r w:rsidR="00755D87" w:rsidRPr="00755D87">
        <w:rPr>
          <w:rFonts w:eastAsia="Calibri"/>
          <w:u w:color="17365D"/>
          <w:bdr w:val="nil"/>
          <w:vertAlign w:val="superscript"/>
          <w:lang w:eastAsia="en-GB"/>
        </w:rPr>
        <w:t>st</w:t>
      </w:r>
      <w:r w:rsidR="00755D87">
        <w:rPr>
          <w:rFonts w:eastAsia="Calibri"/>
          <w:u w:color="17365D"/>
          <w:bdr w:val="nil"/>
          <w:lang w:eastAsia="en-GB"/>
        </w:rPr>
        <w:t xml:space="preserve"> A</w:t>
      </w:r>
      <w:r w:rsidRPr="005109AF">
        <w:rPr>
          <w:rFonts w:eastAsia="Calibri"/>
          <w:u w:color="17365D"/>
          <w:bdr w:val="nil"/>
          <w:lang w:val="it-IT" w:eastAsia="en-GB"/>
        </w:rPr>
        <w:t>pril 2</w:t>
      </w:r>
      <w:r w:rsidRPr="005109AF">
        <w:rPr>
          <w:rFonts w:eastAsia="Calibri"/>
          <w:u w:color="17365D"/>
          <w:bdr w:val="nil"/>
          <w:lang w:eastAsia="en-GB"/>
        </w:rPr>
        <w:t>020.</w:t>
      </w:r>
    </w:p>
    <w:p w:rsidR="005109AF" w:rsidRPr="00E23D96" w:rsidRDefault="005109AF" w:rsidP="00E23D96">
      <w:pPr>
        <w:ind w:left="720" w:hanging="720"/>
        <w:rPr>
          <w:rFonts w:eastAsia="Calibri"/>
          <w:u w:color="17365D"/>
          <w:bdr w:val="nil"/>
          <w:lang w:eastAsia="en-GB"/>
        </w:rPr>
      </w:pPr>
      <w:r w:rsidRPr="005109AF">
        <w:rPr>
          <w:rFonts w:eastAsia="Calibri"/>
          <w:u w:color="17365D"/>
          <w:bdr w:val="nil"/>
          <w:lang w:eastAsia="en-GB"/>
        </w:rPr>
        <w:t>3.3</w:t>
      </w:r>
      <w:r w:rsidRPr="005109AF">
        <w:rPr>
          <w:rFonts w:eastAsia="Calibri"/>
          <w:u w:color="17365D"/>
          <w:bdr w:val="nil"/>
          <w:lang w:eastAsia="en-GB"/>
        </w:rPr>
        <w:tab/>
        <w:t>Al</w:t>
      </w:r>
      <w:r w:rsidRPr="005109AF">
        <w:rPr>
          <w:rFonts w:eastAsia="Calibri"/>
          <w:u w:color="17365D"/>
          <w:bdr w:val="nil"/>
          <w:lang w:val="pt-PT" w:eastAsia="en-GB"/>
        </w:rPr>
        <w:t>l emp</w:t>
      </w:r>
      <w:r w:rsidRPr="005109AF">
        <w:rPr>
          <w:rFonts w:eastAsia="Calibri"/>
          <w:u w:color="17365D"/>
          <w:bdr w:val="nil"/>
          <w:lang w:eastAsia="en-GB"/>
        </w:rPr>
        <w:t>loyees</w:t>
      </w:r>
      <w:r w:rsidRPr="005109AF">
        <w:rPr>
          <w:rFonts w:eastAsia="Calibri"/>
          <w:spacing w:val="-1"/>
          <w:u w:color="17365D"/>
          <w:bdr w:val="nil"/>
          <w:lang w:eastAsia="en-GB"/>
        </w:rPr>
        <w:t xml:space="preserve"> </w:t>
      </w:r>
      <w:r w:rsidRPr="005109AF">
        <w:rPr>
          <w:rFonts w:eastAsia="Calibri"/>
          <w:u w:color="17365D"/>
          <w:bdr w:val="nil"/>
          <w:lang w:eastAsia="en-GB"/>
        </w:rPr>
        <w:t>are</w:t>
      </w:r>
      <w:r w:rsidRPr="005109AF">
        <w:rPr>
          <w:rFonts w:eastAsia="Calibri"/>
          <w:spacing w:val="-1"/>
          <w:u w:color="17365D"/>
          <w:bdr w:val="nil"/>
          <w:lang w:eastAsia="en-GB"/>
        </w:rPr>
        <w:t xml:space="preserve"> </w:t>
      </w:r>
      <w:r w:rsidRPr="005109AF">
        <w:rPr>
          <w:rFonts w:eastAsia="Calibri"/>
          <w:u w:color="17365D"/>
          <w:bdr w:val="nil"/>
          <w:lang w:eastAsia="en-GB"/>
        </w:rPr>
        <w:t>cu</w:t>
      </w:r>
      <w:r w:rsidRPr="005109AF">
        <w:rPr>
          <w:rFonts w:eastAsia="Calibri"/>
          <w:spacing w:val="-1"/>
          <w:u w:color="17365D"/>
          <w:bdr w:val="nil"/>
          <w:lang w:eastAsia="en-GB"/>
        </w:rPr>
        <w:t>rr</w:t>
      </w:r>
      <w:r w:rsidRPr="005109AF">
        <w:rPr>
          <w:rFonts w:eastAsia="Calibri"/>
          <w:u w:color="17365D"/>
          <w:bdr w:val="nil"/>
          <w:lang w:eastAsia="en-GB"/>
        </w:rPr>
        <w:t>en</w:t>
      </w:r>
      <w:r w:rsidRPr="005109AF">
        <w:rPr>
          <w:rFonts w:eastAsia="Calibri"/>
          <w:spacing w:val="-1"/>
          <w:u w:color="17365D"/>
          <w:bdr w:val="nil"/>
          <w:lang w:eastAsia="en-GB"/>
        </w:rPr>
        <w:t>t</w:t>
      </w:r>
      <w:r w:rsidRPr="005109AF">
        <w:rPr>
          <w:rFonts w:eastAsia="Calibri"/>
          <w:u w:color="17365D"/>
          <w:bdr w:val="nil"/>
          <w:lang w:eastAsia="en-GB"/>
        </w:rPr>
        <w:t>ly able</w:t>
      </w:r>
      <w:r w:rsidRPr="005109AF">
        <w:rPr>
          <w:rFonts w:eastAsia="Calibri"/>
          <w:spacing w:val="-1"/>
          <w:u w:color="17365D"/>
          <w:bdr w:val="nil"/>
          <w:lang w:eastAsia="en-GB"/>
        </w:rPr>
        <w:t xml:space="preserve"> t</w:t>
      </w:r>
      <w:r w:rsidRPr="005109AF">
        <w:rPr>
          <w:rFonts w:eastAsia="Calibri"/>
          <w:u w:color="17365D"/>
          <w:bdr w:val="nil"/>
          <w:lang w:eastAsia="en-GB"/>
        </w:rPr>
        <w:t>o</w:t>
      </w:r>
      <w:r w:rsidRPr="005109AF">
        <w:rPr>
          <w:rFonts w:eastAsia="Calibri"/>
          <w:spacing w:val="-1"/>
          <w:u w:color="17365D"/>
          <w:bdr w:val="nil"/>
          <w:lang w:eastAsia="en-GB"/>
        </w:rPr>
        <w:t xml:space="preserve"> </w:t>
      </w:r>
      <w:r w:rsidRPr="005109AF">
        <w:rPr>
          <w:rFonts w:eastAsia="Calibri"/>
          <w:u w:color="17365D"/>
          <w:bdr w:val="nil"/>
          <w:lang w:eastAsia="en-GB"/>
        </w:rPr>
        <w:t xml:space="preserve">apply </w:t>
      </w:r>
      <w:r w:rsidRPr="005109AF">
        <w:rPr>
          <w:rFonts w:eastAsia="Calibri"/>
          <w:spacing w:val="-1"/>
          <w:u w:color="17365D"/>
          <w:bdr w:val="nil"/>
          <w:lang w:eastAsia="en-GB"/>
        </w:rPr>
        <w:t>f</w:t>
      </w:r>
      <w:r w:rsidRPr="005109AF">
        <w:rPr>
          <w:rFonts w:eastAsia="Calibri"/>
          <w:u w:color="17365D"/>
          <w:bdr w:val="nil"/>
          <w:lang w:eastAsia="en-GB"/>
        </w:rPr>
        <w:t>or</w:t>
      </w:r>
      <w:r w:rsidRPr="005109AF">
        <w:rPr>
          <w:rFonts w:eastAsia="Calibri"/>
          <w:spacing w:val="-1"/>
          <w:u w:color="17365D"/>
          <w:bdr w:val="nil"/>
          <w:lang w:eastAsia="en-GB"/>
        </w:rPr>
        <w:t xml:space="preserve"> </w:t>
      </w:r>
      <w:r w:rsidRPr="005109AF">
        <w:rPr>
          <w:rFonts w:eastAsia="Calibri"/>
          <w:u w:color="17365D"/>
          <w:bdr w:val="nil"/>
          <w:lang w:eastAsia="en-GB"/>
        </w:rPr>
        <w:t>a Car Par</w:t>
      </w:r>
      <w:r w:rsidRPr="005109AF">
        <w:rPr>
          <w:rFonts w:eastAsia="Calibri"/>
          <w:spacing w:val="-1"/>
          <w:u w:color="17365D"/>
          <w:bdr w:val="nil"/>
          <w:lang w:eastAsia="en-GB"/>
        </w:rPr>
        <w:t>k</w:t>
      </w:r>
      <w:r w:rsidRPr="005109AF">
        <w:rPr>
          <w:rFonts w:eastAsia="Calibri"/>
          <w:u w:color="17365D"/>
          <w:bdr w:val="nil"/>
          <w:lang w:eastAsia="en-GB"/>
        </w:rPr>
        <w:t>ing</w:t>
      </w:r>
      <w:r w:rsidRPr="005109AF">
        <w:rPr>
          <w:rFonts w:eastAsia="Calibri"/>
          <w:spacing w:val="-1"/>
          <w:u w:color="17365D"/>
          <w:bdr w:val="nil"/>
          <w:lang w:eastAsia="en-GB"/>
        </w:rPr>
        <w:t xml:space="preserve"> </w:t>
      </w:r>
      <w:r w:rsidRPr="005109AF">
        <w:rPr>
          <w:rFonts w:eastAsia="Calibri"/>
          <w:u w:color="17365D"/>
          <w:bdr w:val="nil"/>
          <w:lang w:eastAsia="en-GB"/>
        </w:rPr>
        <w:t>pe</w:t>
      </w:r>
      <w:r w:rsidRPr="005109AF">
        <w:rPr>
          <w:rFonts w:eastAsia="Calibri"/>
          <w:spacing w:val="-1"/>
          <w:u w:color="17365D"/>
          <w:bdr w:val="nil"/>
          <w:lang w:eastAsia="en-GB"/>
        </w:rPr>
        <w:t>rm</w:t>
      </w:r>
      <w:r w:rsidRPr="005109AF">
        <w:rPr>
          <w:rFonts w:eastAsia="Calibri"/>
          <w:u w:color="17365D"/>
          <w:bdr w:val="nil"/>
          <w:lang w:eastAsia="en-GB"/>
        </w:rPr>
        <w:t>i</w:t>
      </w:r>
      <w:r w:rsidRPr="005109AF">
        <w:rPr>
          <w:rFonts w:eastAsia="Calibri"/>
          <w:spacing w:val="-1"/>
          <w:u w:color="17365D"/>
          <w:bdr w:val="nil"/>
          <w:lang w:eastAsia="en-GB"/>
        </w:rPr>
        <w:t>t</w:t>
      </w:r>
      <w:r w:rsidRPr="005109AF">
        <w:rPr>
          <w:rFonts w:eastAsia="Calibri"/>
          <w:u w:color="17365D"/>
          <w:bdr w:val="nil"/>
          <w:lang w:eastAsia="en-GB"/>
        </w:rPr>
        <w:t>,</w:t>
      </w:r>
      <w:r w:rsidRPr="005109AF">
        <w:rPr>
          <w:rFonts w:eastAsia="Calibri"/>
          <w:spacing w:val="-1"/>
          <w:u w:color="17365D"/>
          <w:bdr w:val="nil"/>
          <w:lang w:eastAsia="en-GB"/>
        </w:rPr>
        <w:t xml:space="preserve"> </w:t>
      </w:r>
      <w:r w:rsidRPr="005109AF">
        <w:rPr>
          <w:rFonts w:eastAsia="Calibri"/>
          <w:u w:color="17365D"/>
          <w:bdr w:val="nil"/>
          <w:lang w:val="en-US" w:eastAsia="en-GB"/>
        </w:rPr>
        <w:t>w</w:t>
      </w:r>
      <w:r w:rsidRPr="005109AF">
        <w:rPr>
          <w:rFonts w:eastAsia="Calibri"/>
          <w:u w:color="17365D"/>
          <w:bdr w:val="nil"/>
          <w:lang w:eastAsia="en-GB"/>
        </w:rPr>
        <w:t>hich</w:t>
      </w:r>
      <w:r w:rsidRPr="005109AF">
        <w:rPr>
          <w:rFonts w:eastAsia="Calibri"/>
          <w:spacing w:val="-1"/>
          <w:u w:color="17365D"/>
          <w:bdr w:val="nil"/>
          <w:lang w:eastAsia="en-GB"/>
        </w:rPr>
        <w:t xml:space="preserve"> </w:t>
      </w:r>
      <w:r w:rsidRPr="005109AF">
        <w:rPr>
          <w:rFonts w:eastAsia="Calibri"/>
          <w:u w:color="17365D"/>
          <w:bdr w:val="nil"/>
          <w:lang w:eastAsia="en-GB"/>
        </w:rPr>
        <w:t>enables</w:t>
      </w:r>
      <w:r w:rsidRPr="005109AF">
        <w:rPr>
          <w:rFonts w:eastAsia="Calibri"/>
          <w:spacing w:val="-1"/>
          <w:u w:color="17365D"/>
          <w:bdr w:val="nil"/>
          <w:lang w:eastAsia="en-GB"/>
        </w:rPr>
        <w:t xml:space="preserve"> </w:t>
      </w:r>
      <w:r w:rsidRPr="005109AF">
        <w:rPr>
          <w:rFonts w:eastAsia="Calibri"/>
          <w:u w:color="17365D"/>
          <w:bdr w:val="nil"/>
          <w:lang w:val="pt-PT" w:eastAsia="en-GB"/>
        </w:rPr>
        <w:t>emp</w:t>
      </w:r>
      <w:r w:rsidRPr="005109AF">
        <w:rPr>
          <w:rFonts w:eastAsia="Calibri"/>
          <w:u w:color="17365D"/>
          <w:bdr w:val="nil"/>
          <w:lang w:eastAsia="en-GB"/>
        </w:rPr>
        <w:t>loy</w:t>
      </w:r>
      <w:r w:rsidRPr="005109AF">
        <w:rPr>
          <w:rFonts w:eastAsia="Calibri"/>
          <w:u w:color="17365D"/>
          <w:bdr w:val="nil"/>
          <w:lang w:val="nl-NL" w:eastAsia="en-GB"/>
        </w:rPr>
        <w:t>ees</w:t>
      </w:r>
      <w:r w:rsidRPr="005109AF">
        <w:rPr>
          <w:rFonts w:eastAsia="Calibri"/>
          <w:spacing w:val="-1"/>
          <w:u w:color="17365D"/>
          <w:bdr w:val="nil"/>
          <w:lang w:eastAsia="en-GB"/>
        </w:rPr>
        <w:t xml:space="preserve"> t</w:t>
      </w:r>
      <w:r w:rsidRPr="005109AF">
        <w:rPr>
          <w:rFonts w:eastAsia="Calibri"/>
          <w:u w:color="17365D"/>
          <w:bdr w:val="nil"/>
          <w:lang w:eastAsia="en-GB"/>
        </w:rPr>
        <w:t>o</w:t>
      </w:r>
      <w:r w:rsidRPr="005109AF">
        <w:rPr>
          <w:rFonts w:eastAsia="Calibri"/>
          <w:spacing w:val="-1"/>
          <w:u w:color="17365D"/>
          <w:bdr w:val="nil"/>
          <w:lang w:eastAsia="en-GB"/>
        </w:rPr>
        <w:t xml:space="preserve"> </w:t>
      </w:r>
      <w:r w:rsidRPr="005109AF">
        <w:rPr>
          <w:rFonts w:eastAsia="Calibri"/>
          <w:u w:color="17365D"/>
          <w:bdr w:val="nil"/>
          <w:lang w:eastAsia="en-GB"/>
        </w:rPr>
        <w:t>park</w:t>
      </w:r>
      <w:r w:rsidRPr="005109AF">
        <w:rPr>
          <w:rFonts w:eastAsia="Calibri"/>
          <w:spacing w:val="-1"/>
          <w:u w:color="17365D"/>
          <w:bdr w:val="nil"/>
          <w:lang w:eastAsia="en-GB"/>
        </w:rPr>
        <w:t xml:space="preserve"> </w:t>
      </w:r>
      <w:r w:rsidRPr="005109AF">
        <w:rPr>
          <w:rFonts w:eastAsia="Calibri"/>
          <w:u w:color="17365D"/>
          <w:bdr w:val="nil"/>
          <w:lang w:eastAsia="en-GB"/>
        </w:rPr>
        <w:t>on Counci</w:t>
      </w:r>
      <w:r w:rsidRPr="005109AF">
        <w:rPr>
          <w:rFonts w:eastAsia="Calibri"/>
          <w:u w:color="17365D"/>
          <w:bdr w:val="nil"/>
          <w:lang w:val="en-US" w:eastAsia="en-GB"/>
        </w:rPr>
        <w:t>l prope</w:t>
      </w:r>
      <w:r w:rsidRPr="005109AF">
        <w:rPr>
          <w:rFonts w:eastAsia="Calibri"/>
          <w:u w:color="17365D"/>
          <w:bdr w:val="nil"/>
          <w:lang w:eastAsia="en-GB"/>
        </w:rPr>
        <w:t>r</w:t>
      </w:r>
      <w:r w:rsidRPr="005109AF">
        <w:rPr>
          <w:rFonts w:eastAsia="Calibri"/>
          <w:spacing w:val="-1"/>
          <w:u w:color="17365D"/>
          <w:bdr w:val="nil"/>
          <w:lang w:eastAsia="en-GB"/>
        </w:rPr>
        <w:t>t</w:t>
      </w:r>
      <w:r w:rsidRPr="005109AF">
        <w:rPr>
          <w:rFonts w:eastAsia="Calibri"/>
          <w:u w:color="17365D"/>
          <w:bdr w:val="nil"/>
          <w:lang w:eastAsia="en-GB"/>
        </w:rPr>
        <w:t xml:space="preserve">y </w:t>
      </w:r>
      <w:r w:rsidRPr="005109AF">
        <w:rPr>
          <w:rFonts w:eastAsia="Calibri"/>
          <w:spacing w:val="-1"/>
          <w:u w:color="17365D"/>
          <w:bdr w:val="nil"/>
          <w:lang w:eastAsia="en-GB"/>
        </w:rPr>
        <w:t>f</w:t>
      </w:r>
      <w:r w:rsidRPr="005109AF">
        <w:rPr>
          <w:rFonts w:eastAsia="Calibri"/>
          <w:u w:color="17365D"/>
          <w:bdr w:val="nil"/>
          <w:lang w:eastAsia="en-GB"/>
        </w:rPr>
        <w:t xml:space="preserve">or a </w:t>
      </w:r>
      <w:r w:rsidRPr="005109AF">
        <w:rPr>
          <w:rFonts w:eastAsia="Calibri"/>
          <w:spacing w:val="-1"/>
          <w:u w:color="17365D"/>
          <w:bdr w:val="nil"/>
          <w:lang w:eastAsia="en-GB"/>
        </w:rPr>
        <w:t>r</w:t>
      </w:r>
      <w:r w:rsidRPr="005109AF">
        <w:rPr>
          <w:rFonts w:eastAsia="Calibri"/>
          <w:u w:color="17365D"/>
          <w:bdr w:val="nil"/>
          <w:lang w:eastAsia="en-GB"/>
        </w:rPr>
        <w:t>educed</w:t>
      </w:r>
      <w:r w:rsidRPr="005109AF">
        <w:rPr>
          <w:rFonts w:eastAsia="Calibri"/>
          <w:spacing w:val="-1"/>
          <w:u w:color="17365D"/>
          <w:bdr w:val="nil"/>
          <w:lang w:eastAsia="en-GB"/>
        </w:rPr>
        <w:t xml:space="preserve"> </w:t>
      </w:r>
      <w:r w:rsidRPr="005109AF">
        <w:rPr>
          <w:rFonts w:eastAsia="Calibri"/>
          <w:u w:color="17365D"/>
          <w:bdr w:val="nil"/>
          <w:lang w:eastAsia="en-GB"/>
        </w:rPr>
        <w:t xml:space="preserve">daily </w:t>
      </w:r>
      <w:r w:rsidRPr="005109AF">
        <w:rPr>
          <w:rFonts w:eastAsia="Calibri"/>
          <w:spacing w:val="-1"/>
          <w:u w:color="17365D"/>
          <w:bdr w:val="nil"/>
          <w:lang w:eastAsia="en-GB"/>
        </w:rPr>
        <w:t>r</w:t>
      </w:r>
      <w:r w:rsidR="00E23D96">
        <w:rPr>
          <w:rFonts w:eastAsia="Calibri"/>
          <w:u w:color="17365D"/>
          <w:bdr w:val="nil"/>
          <w:lang w:eastAsia="en-GB"/>
        </w:rPr>
        <w:t>ate.</w:t>
      </w:r>
    </w:p>
    <w:p w:rsidR="00E23D96" w:rsidRPr="00E23D96" w:rsidRDefault="00E74A9A" w:rsidP="00E23D96">
      <w:pPr>
        <w:pStyle w:val="Heading3"/>
        <w:numPr>
          <w:ilvl w:val="0"/>
          <w:numId w:val="19"/>
        </w:numPr>
        <w:rPr>
          <w:rFonts w:eastAsiaTheme="majorEastAsia"/>
        </w:rPr>
      </w:pPr>
      <w:r>
        <w:rPr>
          <w:rFonts w:eastAsiaTheme="majorEastAsia"/>
        </w:rPr>
        <w:lastRenderedPageBreak/>
        <w:t>T</w:t>
      </w:r>
      <w:r w:rsidR="005109AF" w:rsidRPr="005109AF">
        <w:rPr>
          <w:rFonts w:eastAsiaTheme="majorEastAsia"/>
        </w:rPr>
        <w:t xml:space="preserve">ermination </w:t>
      </w:r>
      <w:r>
        <w:rPr>
          <w:rFonts w:eastAsiaTheme="majorEastAsia"/>
        </w:rPr>
        <w:t xml:space="preserve">payments </w:t>
      </w:r>
      <w:r w:rsidR="005109AF" w:rsidRPr="005109AF">
        <w:rPr>
          <w:rFonts w:eastAsiaTheme="majorEastAsia"/>
        </w:rPr>
        <w:t>- Chief Officers</w:t>
      </w:r>
    </w:p>
    <w:p w:rsidR="005109AF" w:rsidRDefault="005109AF" w:rsidP="005109AF">
      <w:pPr>
        <w:ind w:left="720" w:hanging="720"/>
        <w:contextualSpacing/>
      </w:pPr>
      <w:r w:rsidRPr="005109AF">
        <w:t>4.1</w:t>
      </w:r>
      <w:r w:rsidRPr="005109AF">
        <w:tab/>
        <w:t>The Council’s approach to statutory and discretionary payments on termination of employment of Chief Officers, at retirement age or prior to this, is set out within its Redundancy policy and is in accordance with Regulation 5 of the Local Government (Early termination of Employment) (Discretionary Compensation) Regulations 2006 and Regulations 8 and 10 of the Local Government Pension Scheme (Benefits, Membership and Contribution) Regulations 2007. Final payment details are submitted to Full Council for approval.</w:t>
      </w:r>
    </w:p>
    <w:p w:rsidR="004A7A63" w:rsidRDefault="004A7A63" w:rsidP="005109AF">
      <w:pPr>
        <w:ind w:left="720" w:hanging="720"/>
        <w:contextualSpacing/>
      </w:pPr>
    </w:p>
    <w:p w:rsidR="00E23D96" w:rsidRPr="00E23D96" w:rsidRDefault="005109AF" w:rsidP="00E23D96">
      <w:pPr>
        <w:pStyle w:val="Heading3"/>
        <w:numPr>
          <w:ilvl w:val="0"/>
          <w:numId w:val="19"/>
        </w:numPr>
        <w:rPr>
          <w:rFonts w:eastAsiaTheme="majorEastAsia"/>
        </w:rPr>
      </w:pPr>
      <w:r w:rsidRPr="005109AF">
        <w:rPr>
          <w:rFonts w:eastAsiaTheme="majorEastAsia"/>
        </w:rPr>
        <w:t>Salary packages upon appointment</w:t>
      </w:r>
    </w:p>
    <w:p w:rsidR="005109AF" w:rsidRPr="005109AF" w:rsidRDefault="005109AF" w:rsidP="005109AF">
      <w:pPr>
        <w:ind w:left="720" w:hanging="720"/>
      </w:pPr>
      <w:r w:rsidRPr="005109AF">
        <w:t>5.1</w:t>
      </w:r>
      <w:r w:rsidRPr="005109AF">
        <w:tab/>
        <w:t>Any salary package offered in respect of a new appointment for a Chief Executive /Head of Paid Service will be approved by Full Council. This will include any new salary package equating to £100,000 or more.</w:t>
      </w:r>
    </w:p>
    <w:p w:rsidR="005109AF" w:rsidRPr="005109AF" w:rsidRDefault="005109AF" w:rsidP="005109AF">
      <w:pPr>
        <w:ind w:left="720" w:hanging="720"/>
      </w:pPr>
      <w:r w:rsidRPr="005109AF">
        <w:t>5.2</w:t>
      </w:r>
      <w:r w:rsidRPr="005109AF">
        <w:tab/>
        <w:t>In the case of salary packages for Directors and Assistant Directors, this will need to be approved by the Council’s Employment Committee, acting on behalf of Full Council. This will include any salary package equating to £100,000 or more</w:t>
      </w:r>
    </w:p>
    <w:p w:rsidR="00E23D96" w:rsidRPr="00E23D96" w:rsidRDefault="00E23D96" w:rsidP="00997D16">
      <w:pPr>
        <w:pStyle w:val="Heading3"/>
        <w:rPr>
          <w:rFonts w:eastAsiaTheme="majorEastAsia"/>
        </w:rPr>
      </w:pPr>
      <w:r>
        <w:rPr>
          <w:rFonts w:eastAsiaTheme="majorEastAsia"/>
        </w:rPr>
        <w:t>6. Settlement agreements</w:t>
      </w:r>
    </w:p>
    <w:p w:rsidR="005109AF" w:rsidRPr="005109AF" w:rsidRDefault="005109AF" w:rsidP="005109AF">
      <w:pPr>
        <w:ind w:left="720" w:hanging="720"/>
      </w:pPr>
      <w:r w:rsidRPr="005109AF">
        <w:t>6.1</w:t>
      </w:r>
      <w:r w:rsidRPr="005109AF">
        <w:tab/>
        <w:t xml:space="preserve">Torbay Council will only enter into Settlement Agreements in exceptional circumstances where it is in the Council’s overall commercial and financial interests to do so.  Any Settlement Agreement for the Chief Executive/Head of Paid Service will be approved by the Full Council. This will </w:t>
      </w:r>
      <w:r w:rsidRPr="005109AF">
        <w:lastRenderedPageBreak/>
        <w:t>include any severance package including associated pension costs equating to £100,000 or more.</w:t>
      </w:r>
    </w:p>
    <w:p w:rsidR="005109AF" w:rsidRPr="005109AF" w:rsidRDefault="005109AF" w:rsidP="005109AF">
      <w:pPr>
        <w:ind w:left="720" w:hanging="720"/>
      </w:pPr>
      <w:r w:rsidRPr="005109AF">
        <w:t>6.2</w:t>
      </w:r>
      <w:r w:rsidRPr="005109AF">
        <w:tab/>
        <w:t>In the case of Settlement Agreements for Directors and Assistant Directors, this will need to be approved by the Council’s Employment Committee acting on behalf of full Council. This will include any severance package including associated pension costs equating to £100,000 or more.</w:t>
      </w:r>
    </w:p>
    <w:p w:rsidR="005109AF" w:rsidRDefault="005109AF" w:rsidP="00E23D96">
      <w:pPr>
        <w:ind w:left="720" w:hanging="720"/>
      </w:pPr>
      <w:r w:rsidRPr="005109AF">
        <w:t>6.3</w:t>
      </w:r>
      <w:r w:rsidRPr="005109AF">
        <w:tab/>
        <w:t xml:space="preserve">Settlement Agreements for any other member of staff will need to be authorised by the Director of the service following consultation with the Chief </w:t>
      </w:r>
      <w:r w:rsidR="00E23D96">
        <w:t>Executive/Head of Paid Service.</w:t>
      </w:r>
    </w:p>
    <w:p w:rsidR="00755D87" w:rsidRPr="00E23D96" w:rsidRDefault="00755D87" w:rsidP="00E23D96">
      <w:pPr>
        <w:ind w:left="720" w:hanging="720"/>
      </w:pPr>
    </w:p>
    <w:p w:rsidR="00E23D96" w:rsidRPr="00E23D96" w:rsidRDefault="00997D16" w:rsidP="00997D16">
      <w:pPr>
        <w:pStyle w:val="Heading3"/>
        <w:rPr>
          <w:rFonts w:eastAsiaTheme="majorEastAsia"/>
        </w:rPr>
      </w:pPr>
      <w:r>
        <w:rPr>
          <w:rFonts w:eastAsiaTheme="majorEastAsia"/>
        </w:rPr>
        <w:t xml:space="preserve">7.  </w:t>
      </w:r>
      <w:r w:rsidR="005109AF" w:rsidRPr="005109AF">
        <w:rPr>
          <w:rFonts w:eastAsiaTheme="majorEastAsia"/>
        </w:rPr>
        <w:t>Gender pay gap reporting</w:t>
      </w:r>
    </w:p>
    <w:p w:rsidR="005109AF" w:rsidRPr="005109AF" w:rsidRDefault="005109AF" w:rsidP="004A7A63">
      <w:r w:rsidRPr="005109AF">
        <w:t>The Equality Act 2010 (Specific Duties and Public Authorities) Regulations 2017 requires Torbay Council to calculate and publish the pay gap between male and female employees every year.  Pay data must be based on a ‘snap-shot’ of the pay situation as at 31st March the preceding year and must be publi</w:t>
      </w:r>
      <w:r w:rsidR="004A7A63">
        <w:t>shed by 30th March 2021</w:t>
      </w:r>
      <w:r w:rsidRPr="005109AF">
        <w:t xml:space="preserve"> to the Government and also on Torbay Council’s website:-  </w:t>
      </w:r>
      <w:hyperlink r:id="rId14" w:history="1">
        <w:r w:rsidRPr="005109AF">
          <w:rPr>
            <w:color w:val="5F5F5F" w:themeColor="hyperlink"/>
            <w:u w:val="single"/>
          </w:rPr>
          <w:t>https://www.torbay.gov.uk/council/finance/salary-levels/</w:t>
        </w:r>
      </w:hyperlink>
    </w:p>
    <w:p w:rsidR="005109AF" w:rsidRPr="005109AF" w:rsidRDefault="005109AF" w:rsidP="005109AF">
      <w:r w:rsidRPr="005109AF">
        <w:t xml:space="preserve">The Government publishes the results on their Gender Pay Gap Viewing Service:- </w:t>
      </w:r>
      <w:hyperlink r:id="rId15" w:history="1">
        <w:r w:rsidRPr="005109AF">
          <w:rPr>
            <w:color w:val="5F5F5F" w:themeColor="hyperlink"/>
            <w:u w:val="single"/>
          </w:rPr>
          <w:t>https://gender-pay-gap.service.gov.uk/</w:t>
        </w:r>
      </w:hyperlink>
    </w:p>
    <w:p w:rsidR="005109AF" w:rsidRPr="005109AF" w:rsidRDefault="005109AF" w:rsidP="005109AF">
      <w:r w:rsidRPr="005109AF">
        <w:t>The Pay Gap Report in included as part of this policy, see Appendix 2 – Gender Pay Gap Report.</w:t>
      </w:r>
    </w:p>
    <w:p w:rsidR="005109AF" w:rsidRDefault="005109AF" w:rsidP="005109AF">
      <w:pPr>
        <w:spacing w:line="276" w:lineRule="auto"/>
        <w:contextualSpacing/>
      </w:pPr>
    </w:p>
    <w:p w:rsidR="004A7A63" w:rsidRPr="00E23D96" w:rsidRDefault="004A7A63" w:rsidP="004A7A63">
      <w:pPr>
        <w:pStyle w:val="Heading3"/>
        <w:rPr>
          <w:rFonts w:eastAsiaTheme="majorEastAsia"/>
        </w:rPr>
      </w:pPr>
      <w:r>
        <w:rPr>
          <w:rFonts w:eastAsiaTheme="majorEastAsia"/>
        </w:rPr>
        <w:lastRenderedPageBreak/>
        <w:t>8.  Publication</w:t>
      </w:r>
    </w:p>
    <w:p w:rsidR="00E23D96" w:rsidRPr="00E23D96" w:rsidRDefault="00E23D96" w:rsidP="00E23D96"/>
    <w:p w:rsidR="005109AF" w:rsidRPr="005109AF" w:rsidRDefault="005109AF" w:rsidP="005109AF">
      <w:pPr>
        <w:ind w:left="720" w:hanging="720"/>
      </w:pPr>
      <w:r w:rsidRPr="005109AF">
        <w:t>8.1</w:t>
      </w:r>
      <w:r w:rsidRPr="005109AF">
        <w:tab/>
        <w:t>Once approved by Full Council, this Policy and any subse</w:t>
      </w:r>
      <w:r w:rsidRPr="005109AF">
        <w:rPr>
          <w:lang w:val="fr-FR"/>
        </w:rPr>
        <w:t>q</w:t>
      </w:r>
      <w:r w:rsidRPr="005109AF">
        <w:t xml:space="preserve">uent amendment </w:t>
      </w:r>
      <w:r w:rsidRPr="005109AF">
        <w:rPr>
          <w:lang w:val="en-US"/>
        </w:rPr>
        <w:t>w</w:t>
      </w:r>
      <w:r w:rsidRPr="005109AF">
        <w:t>il</w:t>
      </w:r>
      <w:r w:rsidRPr="005109AF">
        <w:rPr>
          <w:lang w:val="en-US"/>
        </w:rPr>
        <w:t>l be p</w:t>
      </w:r>
      <w:r w:rsidRPr="005109AF">
        <w:t>ublished on the Council</w:t>
      </w:r>
      <w:r w:rsidRPr="005109AF">
        <w:rPr>
          <w:lang w:val="en-US"/>
        </w:rPr>
        <w:t>’</w:t>
      </w:r>
      <w:r w:rsidRPr="005109AF">
        <w:t xml:space="preserve">s </w:t>
      </w:r>
      <w:r w:rsidRPr="005109AF">
        <w:rPr>
          <w:lang w:val="en-US"/>
        </w:rPr>
        <w:t>w</w:t>
      </w:r>
      <w:r w:rsidRPr="005109AF">
        <w:t>ebsite.  Human Reso</w:t>
      </w:r>
      <w:r w:rsidRPr="005109AF">
        <w:rPr>
          <w:lang w:val="fr-FR"/>
        </w:rPr>
        <w:t>urces</w:t>
      </w:r>
      <w:r w:rsidRPr="005109AF">
        <w:t xml:space="preserve"> Policy </w:t>
      </w:r>
      <w:r w:rsidRPr="005109AF">
        <w:rPr>
          <w:lang w:val="en-US"/>
        </w:rPr>
        <w:t>w</w:t>
      </w:r>
      <w:r w:rsidRPr="005109AF">
        <w:t>ill be responsible for t</w:t>
      </w:r>
      <w:r w:rsidRPr="005109AF">
        <w:rPr>
          <w:lang w:val="it-IT"/>
        </w:rPr>
        <w:t xml:space="preserve">he annual </w:t>
      </w:r>
      <w:r w:rsidRPr="005109AF">
        <w:t>revie</w:t>
      </w:r>
      <w:r w:rsidRPr="005109AF">
        <w:rPr>
          <w:lang w:val="en-US"/>
        </w:rPr>
        <w:t>w</w:t>
      </w:r>
      <w:r w:rsidRPr="005109AF">
        <w:t xml:space="preserve"> to ensure an </w:t>
      </w:r>
      <w:r w:rsidRPr="005109AF">
        <w:rPr>
          <w:lang w:val="it-IT"/>
        </w:rPr>
        <w:t>acc</w:t>
      </w:r>
      <w:r w:rsidRPr="005109AF">
        <w:t xml:space="preserve">urate pay policy is published </w:t>
      </w:r>
      <w:r w:rsidRPr="005109AF">
        <w:rPr>
          <w:lang w:val="en-US"/>
        </w:rPr>
        <w:t>ahead</w:t>
      </w:r>
      <w:r w:rsidRPr="005109AF">
        <w:t xml:space="preserve"> of each financial year.</w:t>
      </w:r>
    </w:p>
    <w:p w:rsidR="005109AF" w:rsidRPr="005109AF" w:rsidRDefault="005109AF" w:rsidP="005109AF">
      <w:pPr>
        <w:ind w:left="720" w:hanging="720"/>
      </w:pPr>
      <w:r w:rsidRPr="005109AF">
        <w:t>8.2</w:t>
      </w:r>
      <w:r w:rsidRPr="005109AF">
        <w:tab/>
        <w:t xml:space="preserve">In </w:t>
      </w:r>
      <w:r w:rsidRPr="005109AF">
        <w:rPr>
          <w:lang w:val="it-IT"/>
        </w:rPr>
        <w:t>acc</w:t>
      </w:r>
      <w:r w:rsidRPr="005109AF">
        <w:t xml:space="preserve">ordance </w:t>
      </w:r>
      <w:r w:rsidRPr="005109AF">
        <w:rPr>
          <w:lang w:val="en-US"/>
        </w:rPr>
        <w:t>w</w:t>
      </w:r>
      <w:r w:rsidRPr="005109AF">
        <w:t>ith the Code of Practice on Local A</w:t>
      </w:r>
      <w:r w:rsidRPr="005109AF">
        <w:rPr>
          <w:lang w:val="en-US"/>
        </w:rPr>
        <w:t>utho</w:t>
      </w:r>
      <w:r w:rsidRPr="005109AF">
        <w:t>rity A</w:t>
      </w:r>
      <w:r w:rsidRPr="005109AF">
        <w:rPr>
          <w:lang w:val="it-IT"/>
        </w:rPr>
        <w:t>cco</w:t>
      </w:r>
      <w:r w:rsidRPr="005109AF">
        <w:t xml:space="preserve">unting, the </w:t>
      </w:r>
      <w:r w:rsidRPr="005109AF">
        <w:rPr>
          <w:lang w:val="en-US"/>
        </w:rPr>
        <w:t xml:space="preserve">annual </w:t>
      </w:r>
      <w:r w:rsidRPr="005109AF">
        <w:t>Statement of A</w:t>
      </w:r>
      <w:r w:rsidRPr="005109AF">
        <w:rPr>
          <w:lang w:val="it-IT"/>
        </w:rPr>
        <w:t>cco</w:t>
      </w:r>
      <w:r w:rsidRPr="005109AF">
        <w:t>unts includes pay details of Senior Officers reporting directly to t</w:t>
      </w:r>
      <w:r w:rsidRPr="005109AF">
        <w:rPr>
          <w:lang w:val="en-US"/>
        </w:rPr>
        <w:t xml:space="preserve">he </w:t>
      </w:r>
      <w:r w:rsidRPr="005109AF">
        <w:t xml:space="preserve">Chief Executive/Head of Paid Service and statutory posts </w:t>
      </w:r>
      <w:r w:rsidRPr="005109AF">
        <w:rPr>
          <w:lang w:val="en-US"/>
        </w:rPr>
        <w:t>w</w:t>
      </w:r>
      <w:r w:rsidRPr="005109AF">
        <w:t>here the sal</w:t>
      </w:r>
      <w:r w:rsidRPr="005109AF">
        <w:rPr>
          <w:lang w:val="en-US"/>
        </w:rPr>
        <w:t>ary</w:t>
      </w:r>
      <w:r w:rsidRPr="005109AF">
        <w:t xml:space="preserve"> is above</w:t>
      </w:r>
      <w:r w:rsidRPr="005109AF">
        <w:rPr>
          <w:lang w:val="en-US"/>
        </w:rPr>
        <w:t>£</w:t>
      </w:r>
      <w:r w:rsidRPr="005109AF">
        <w:t>5</w:t>
      </w:r>
      <w:r w:rsidRPr="005109AF">
        <w:rPr>
          <w:lang w:val="en-US"/>
        </w:rPr>
        <w:t>0,000</w:t>
      </w:r>
      <w:r w:rsidRPr="005109AF">
        <w:t xml:space="preserve"> per annum.</w:t>
      </w:r>
    </w:p>
    <w:p w:rsidR="005109AF" w:rsidRPr="005109AF" w:rsidRDefault="005109AF" w:rsidP="005109AF">
      <w:pPr>
        <w:ind w:left="720" w:hanging="720"/>
      </w:pPr>
      <w:r w:rsidRPr="005109AF">
        <w:t>8.3</w:t>
      </w:r>
      <w:r w:rsidRPr="005109AF">
        <w:tab/>
        <w:t>Full Council decisions in relation to staff pay matters are available from the Council</w:t>
      </w:r>
      <w:r w:rsidRPr="005109AF">
        <w:rPr>
          <w:lang w:val="en-US"/>
        </w:rPr>
        <w:t>’</w:t>
      </w:r>
      <w:r w:rsidRPr="005109AF">
        <w:t>s internet page, link as follo</w:t>
      </w:r>
      <w:r w:rsidRPr="005109AF">
        <w:rPr>
          <w:lang w:val="en-US"/>
        </w:rPr>
        <w:t>w</w:t>
      </w:r>
      <w:r w:rsidRPr="005109AF">
        <w:t xml:space="preserve">s: </w:t>
      </w:r>
      <w:hyperlink r:id="rId16" w:history="1">
        <w:r w:rsidRPr="005109AF">
          <w:rPr>
            <w:color w:val="5F5F5F" w:themeColor="hyperlink"/>
            <w:u w:val="single"/>
            <w:lang w:val="de-DE"/>
          </w:rPr>
          <w:t>ht</w:t>
        </w:r>
        <w:r w:rsidRPr="005109AF">
          <w:rPr>
            <w:color w:val="5F5F5F" w:themeColor="hyperlink"/>
            <w:u w:val="single"/>
          </w:rPr>
          <w:t>tp://ww</w:t>
        </w:r>
        <w:r w:rsidRPr="005109AF">
          <w:rPr>
            <w:color w:val="5F5F5F" w:themeColor="hyperlink"/>
            <w:u w:val="single"/>
            <w:lang w:val="en-US"/>
          </w:rPr>
          <w:t>w</w:t>
        </w:r>
        <w:r w:rsidRPr="005109AF">
          <w:rPr>
            <w:color w:val="5F5F5F" w:themeColor="hyperlink"/>
            <w:u w:val="single"/>
          </w:rPr>
          <w:t>.torbay.gov.uk/DemocraticServices/i</w:t>
        </w:r>
        <w:r w:rsidRPr="005109AF">
          <w:rPr>
            <w:color w:val="5F5F5F" w:themeColor="hyperlink"/>
            <w:u w:val="single"/>
            <w:lang w:val="nl-NL"/>
          </w:rPr>
          <w:t>eD</w:t>
        </w:r>
        <w:r w:rsidRPr="005109AF">
          <w:rPr>
            <w:color w:val="5F5F5F" w:themeColor="hyperlink"/>
            <w:u w:val="single"/>
          </w:rPr>
          <w:t>ocHome.aspx</w:t>
        </w:r>
      </w:hyperlink>
    </w:p>
    <w:p w:rsidR="005109AF" w:rsidRPr="005109AF" w:rsidRDefault="005109AF" w:rsidP="005109AF"/>
    <w:p w:rsidR="005109AF" w:rsidRPr="005109AF" w:rsidRDefault="005109AF" w:rsidP="00E23D96">
      <w:pPr>
        <w:pStyle w:val="Heading3"/>
      </w:pPr>
      <w:r w:rsidRPr="005109AF">
        <w:t>Current Salary Levels for Chief Executive/Head of Paid Service, Directors and other Senior Officers</w:t>
      </w:r>
    </w:p>
    <w:p w:rsidR="005109AF" w:rsidRPr="005109AF" w:rsidRDefault="005109AF" w:rsidP="005109AF">
      <w:pPr>
        <w:framePr w:hSpace="181" w:wrap="around" w:vAnchor="text" w:hAnchor="text" w:y="1"/>
        <w:spacing w:before="120" w:after="0" w:line="240" w:lineRule="auto"/>
        <w:suppressOverlap/>
        <w:rPr>
          <w:sz w:val="32"/>
        </w:rPr>
      </w:pPr>
    </w:p>
    <w:p w:rsidR="005109AF" w:rsidRPr="005109AF" w:rsidRDefault="005109AF" w:rsidP="00E23D96">
      <w:r w:rsidRPr="005109AF">
        <w:t>Torbay Council publishes a Salary Levels list with post deta</w:t>
      </w:r>
      <w:r w:rsidR="00E23D96">
        <w:t xml:space="preserve">ils, salary bands and full-time </w:t>
      </w:r>
      <w:r w:rsidRPr="005109AF">
        <w:t>equivalent salaries, available from Torbay Council</w:t>
      </w:r>
      <w:r w:rsidR="00E23D96">
        <w:t>’s web-site:-</w:t>
      </w:r>
      <w:r w:rsidRPr="005109AF">
        <w:rPr>
          <w:color w:val="5F5F5F" w:themeColor="hyperlink"/>
          <w:u w:val="single"/>
        </w:rPr>
        <w:t>http://www.torbay.gov.uk/council/finance/salary-levels/</w:t>
      </w:r>
    </w:p>
    <w:p w:rsidR="005109AF" w:rsidRPr="005109AF" w:rsidRDefault="005109AF" w:rsidP="00E23D96">
      <w:pPr>
        <w:pStyle w:val="Heading3"/>
      </w:pPr>
      <w:r w:rsidRPr="005109AF">
        <w:t>Equality Statement</w:t>
      </w:r>
    </w:p>
    <w:p w:rsidR="005109AF" w:rsidRPr="005109AF" w:rsidRDefault="005109AF" w:rsidP="005109AF">
      <w:r w:rsidRPr="005109AF">
        <w:t xml:space="preserve">This policy applies equally to all Council employees regardless of their age, disability, sex, race, religion or belief, sexual orientation, gender reassignment, </w:t>
      </w:r>
      <w:r w:rsidRPr="005109AF">
        <w:lastRenderedPageBreak/>
        <w:t>pregnancy and maternity, marriage and civil partnership.  Care will be taken to ensure that no traditionally excluded groups are adversely impacted in implementing this policy.  Monitoring will take place to ensure compliance and fairness.</w:t>
      </w:r>
    </w:p>
    <w:p w:rsidR="005109AF" w:rsidRPr="005109AF" w:rsidRDefault="005109AF" w:rsidP="00E23D96">
      <w:pPr>
        <w:pStyle w:val="Heading3"/>
      </w:pPr>
      <w:r w:rsidRPr="005109AF">
        <w:t>Appendix 1 - Multipliers</w:t>
      </w:r>
    </w:p>
    <w:p w:rsidR="005109AF" w:rsidRPr="005109AF" w:rsidRDefault="005109AF" w:rsidP="005109AF">
      <w:r w:rsidRPr="005109AF">
        <w:t>The idea of publishing the ratio of the pay of an organisation</w:t>
      </w:r>
      <w:r w:rsidRPr="005109AF">
        <w:rPr>
          <w:lang w:val="en-US"/>
        </w:rPr>
        <w:t>’</w:t>
      </w:r>
      <w:r w:rsidRPr="005109AF">
        <w:t>s top sal</w:t>
      </w:r>
      <w:r w:rsidRPr="005109AF">
        <w:rPr>
          <w:lang w:val="en-US"/>
        </w:rPr>
        <w:t xml:space="preserve">ary </w:t>
      </w:r>
      <w:r w:rsidRPr="005109AF">
        <w:t>to that of its median sal</w:t>
      </w:r>
      <w:r w:rsidRPr="005109AF">
        <w:rPr>
          <w:lang w:val="en-US"/>
        </w:rPr>
        <w:t>ary has</w:t>
      </w:r>
      <w:r w:rsidRPr="005109AF">
        <w:t xml:space="preserve"> </w:t>
      </w:r>
      <w:r w:rsidRPr="005109AF">
        <w:rPr>
          <w:lang w:val="en-US"/>
        </w:rPr>
        <w:t>been</w:t>
      </w:r>
      <w:r w:rsidRPr="005109AF">
        <w:t xml:space="preserve"> recommended in </w:t>
      </w:r>
      <w:r w:rsidRPr="005109AF">
        <w:rPr>
          <w:lang w:val="de-DE"/>
        </w:rPr>
        <w:t xml:space="preserve">order </w:t>
      </w:r>
      <w:r w:rsidRPr="005109AF">
        <w:t xml:space="preserve">to support the principles of Fair Pay and transparency. These multipliers </w:t>
      </w:r>
      <w:r w:rsidRPr="005109AF">
        <w:rPr>
          <w:lang w:val="en-US"/>
        </w:rPr>
        <w:t>w</w:t>
      </w:r>
      <w:r w:rsidRPr="005109AF">
        <w:t>ill be monitored each</w:t>
      </w:r>
      <w:r w:rsidRPr="005109AF">
        <w:rPr>
          <w:lang w:val="es-ES_tradnl"/>
        </w:rPr>
        <w:t xml:space="preserve"> y</w:t>
      </w:r>
      <w:r w:rsidRPr="005109AF">
        <w:t xml:space="preserve">ear </w:t>
      </w:r>
      <w:r w:rsidRPr="005109AF">
        <w:rPr>
          <w:lang w:val="en-US"/>
        </w:rPr>
        <w:t>w</w:t>
      </w:r>
      <w:r w:rsidRPr="005109AF">
        <w:t>ithin the Pay Policy Statement.</w:t>
      </w:r>
    </w:p>
    <w:p w:rsidR="005109AF" w:rsidRPr="005109AF" w:rsidRDefault="005109AF" w:rsidP="005109AF">
      <w:r w:rsidRPr="005109AF">
        <w:t>In comparing the highest paid sal</w:t>
      </w:r>
      <w:r w:rsidRPr="005109AF">
        <w:rPr>
          <w:lang w:val="en-US"/>
        </w:rPr>
        <w:t>ary</w:t>
      </w:r>
      <w:r w:rsidRPr="005109AF">
        <w:t xml:space="preserve"> </w:t>
      </w:r>
      <w:r w:rsidRPr="005109AF">
        <w:rPr>
          <w:lang w:val="en-US"/>
        </w:rPr>
        <w:t>w</w:t>
      </w:r>
      <w:r w:rsidRPr="005109AF">
        <w:t xml:space="preserve">ith the </w:t>
      </w:r>
      <w:r w:rsidRPr="005109AF">
        <w:rPr>
          <w:lang w:val="en-US"/>
        </w:rPr>
        <w:t>w</w:t>
      </w:r>
      <w:r w:rsidRPr="005109AF">
        <w:t xml:space="preserve">ider </w:t>
      </w:r>
      <w:r w:rsidRPr="005109AF">
        <w:rPr>
          <w:lang w:val="en-US"/>
        </w:rPr>
        <w:t>w</w:t>
      </w:r>
      <w:r w:rsidRPr="005109AF">
        <w:t xml:space="preserve">orkforce the Council </w:t>
      </w:r>
      <w:r w:rsidRPr="005109AF">
        <w:rPr>
          <w:lang w:val="en-US"/>
        </w:rPr>
        <w:t xml:space="preserve">will use </w:t>
      </w:r>
      <w:r w:rsidRPr="005109AF">
        <w:t>the followi</w:t>
      </w:r>
      <w:r w:rsidRPr="005109AF">
        <w:rPr>
          <w:lang w:val="de-DE"/>
        </w:rPr>
        <w:t>ng d</w:t>
      </w:r>
      <w:r w:rsidRPr="005109AF">
        <w:t>efinitions:-</w:t>
      </w:r>
    </w:p>
    <w:p w:rsidR="005109AF" w:rsidRPr="005109AF" w:rsidRDefault="005109AF" w:rsidP="005109AF">
      <w:pPr>
        <w:numPr>
          <w:ilvl w:val="0"/>
          <w:numId w:val="13"/>
        </w:numPr>
        <w:contextualSpacing/>
      </w:pPr>
      <w:r w:rsidRPr="005109AF">
        <w:t>The lo</w:t>
      </w:r>
      <w:r w:rsidRPr="005109AF">
        <w:rPr>
          <w:lang w:val="en-US"/>
        </w:rPr>
        <w:t>w</w:t>
      </w:r>
      <w:r w:rsidRPr="005109AF">
        <w:t>est-paid employee: the employ</w:t>
      </w:r>
      <w:r w:rsidRPr="005109AF">
        <w:rPr>
          <w:lang w:val="nl-NL"/>
        </w:rPr>
        <w:t>ee</w:t>
      </w:r>
      <w:r w:rsidRPr="005109AF">
        <w:t xml:space="preserve"> </w:t>
      </w:r>
      <w:r w:rsidRPr="005109AF">
        <w:rPr>
          <w:lang w:val="fr-FR"/>
        </w:rPr>
        <w:t>or group</w:t>
      </w:r>
      <w:r w:rsidRPr="005109AF">
        <w:t xml:space="preserve"> of employees </w:t>
      </w:r>
      <w:r w:rsidRPr="005109AF">
        <w:rPr>
          <w:lang w:val="en-US"/>
        </w:rPr>
        <w:t>w</w:t>
      </w:r>
      <w:r w:rsidRPr="005109AF">
        <w:t xml:space="preserve">ith the lowest rate of </w:t>
      </w:r>
      <w:r w:rsidRPr="005109AF">
        <w:rPr>
          <w:lang w:val="en-US"/>
        </w:rPr>
        <w:t xml:space="preserve">pay </w:t>
      </w:r>
      <w:r w:rsidRPr="005109AF">
        <w:t>(full-time e</w:t>
      </w:r>
      <w:r w:rsidRPr="005109AF">
        <w:rPr>
          <w:lang w:val="fr-FR"/>
        </w:rPr>
        <w:t>q</w:t>
      </w:r>
      <w:r w:rsidRPr="005109AF">
        <w:t>uivalent) employed by the Counci</w:t>
      </w:r>
      <w:r w:rsidRPr="005109AF">
        <w:rPr>
          <w:lang w:val="da-DK"/>
        </w:rPr>
        <w:t xml:space="preserve">l at </w:t>
      </w:r>
      <w:r w:rsidRPr="005109AF">
        <w:t xml:space="preserve">the date of assessment. This includes all types of employment </w:t>
      </w:r>
      <w:r w:rsidRPr="005109AF">
        <w:rPr>
          <w:lang w:val="en-US"/>
        </w:rPr>
        <w:t>w</w:t>
      </w:r>
      <w:r w:rsidRPr="005109AF">
        <w:t>ithin the Council.</w:t>
      </w:r>
    </w:p>
    <w:p w:rsidR="005109AF" w:rsidRPr="005109AF" w:rsidRDefault="005109AF" w:rsidP="005109AF">
      <w:pPr>
        <w:numPr>
          <w:ilvl w:val="0"/>
          <w:numId w:val="13"/>
        </w:numPr>
        <w:contextualSpacing/>
      </w:pPr>
      <w:r w:rsidRPr="005109AF">
        <w:t>The median: the mid-point sal</w:t>
      </w:r>
      <w:r w:rsidRPr="005109AF">
        <w:rPr>
          <w:lang w:val="en-US"/>
        </w:rPr>
        <w:t>ary</w:t>
      </w:r>
      <w:r w:rsidRPr="005109AF">
        <w:t xml:space="preserve"> </w:t>
      </w:r>
      <w:r w:rsidRPr="005109AF">
        <w:rPr>
          <w:lang w:val="en-US"/>
        </w:rPr>
        <w:t>w</w:t>
      </w:r>
      <w:r w:rsidRPr="005109AF">
        <w:t>hen full-time e</w:t>
      </w:r>
      <w:r w:rsidRPr="005109AF">
        <w:rPr>
          <w:lang w:val="fr-FR"/>
        </w:rPr>
        <w:t>q</w:t>
      </w:r>
      <w:r w:rsidRPr="005109AF">
        <w:t>uivalent salaries of all core council staff are arranged in order of size (highest to lo</w:t>
      </w:r>
      <w:r w:rsidRPr="005109AF">
        <w:rPr>
          <w:lang w:val="en-US"/>
        </w:rPr>
        <w:t>w</w:t>
      </w:r>
      <w:r w:rsidRPr="005109AF">
        <w:t xml:space="preserve">est).  Based on the salary levels of staff on the date </w:t>
      </w:r>
      <w:r w:rsidRPr="005109AF">
        <w:rPr>
          <w:lang w:val="en-US"/>
        </w:rPr>
        <w:t xml:space="preserve">of </w:t>
      </w:r>
      <w:r w:rsidRPr="005109AF">
        <w:t xml:space="preserve">assessment. This includes all types of employment </w:t>
      </w:r>
      <w:r w:rsidRPr="005109AF">
        <w:rPr>
          <w:lang w:val="en-US"/>
        </w:rPr>
        <w:t>w</w:t>
      </w:r>
      <w:r w:rsidRPr="005109AF">
        <w:t>ithin the Council.</w:t>
      </w:r>
    </w:p>
    <w:p w:rsidR="00E23D96" w:rsidRDefault="00E23D96" w:rsidP="005109AF"/>
    <w:p w:rsidR="005109AF" w:rsidRPr="005109AF" w:rsidRDefault="005109AF" w:rsidP="005109AF">
      <w:r w:rsidRPr="005109AF">
        <w:t>The Council</w:t>
      </w:r>
      <w:r w:rsidRPr="005109AF">
        <w:rPr>
          <w:lang w:val="en-US"/>
        </w:rPr>
        <w:t>’</w:t>
      </w:r>
      <w:r w:rsidRPr="005109AF">
        <w:t>s curre</w:t>
      </w:r>
      <w:r w:rsidR="00997D16">
        <w:t>nt ratio in this respect is 5.29</w:t>
      </w:r>
      <w:r w:rsidRPr="005109AF">
        <w:t>:1, i.e. the highest salar</w:t>
      </w:r>
      <w:r w:rsidRPr="005109AF">
        <w:rPr>
          <w:lang w:val="es-ES_tradnl"/>
        </w:rPr>
        <w:t>y e</w:t>
      </w:r>
      <w:r w:rsidR="00997D16">
        <w:t>arns 5.29</w:t>
      </w:r>
      <w:r w:rsidRPr="005109AF">
        <w:t>:1 times m</w:t>
      </w:r>
      <w:r w:rsidRPr="005109AF">
        <w:rPr>
          <w:lang w:val="en-US"/>
        </w:rPr>
        <w:t xml:space="preserve">ore </w:t>
      </w:r>
      <w:r w:rsidRPr="005109AF">
        <w:t>than the Council</w:t>
      </w:r>
      <w:r w:rsidRPr="005109AF">
        <w:rPr>
          <w:lang w:val="en-US"/>
        </w:rPr>
        <w:t>’</w:t>
      </w:r>
      <w:r w:rsidRPr="005109AF">
        <w:t>s median salary. The lo</w:t>
      </w:r>
      <w:r w:rsidRPr="005109AF">
        <w:rPr>
          <w:lang w:val="en-US"/>
        </w:rPr>
        <w:t>w</w:t>
      </w:r>
      <w:r w:rsidRPr="005109AF">
        <w:t>est full time e</w:t>
      </w:r>
      <w:r w:rsidRPr="005109AF">
        <w:rPr>
          <w:lang w:val="fr-FR"/>
        </w:rPr>
        <w:t>q</w:t>
      </w:r>
      <w:r w:rsidRPr="005109AF">
        <w:t>uivalent sal</w:t>
      </w:r>
      <w:r w:rsidRPr="005109AF">
        <w:rPr>
          <w:lang w:val="en-US"/>
        </w:rPr>
        <w:t>ary</w:t>
      </w:r>
      <w:r w:rsidRPr="005109AF">
        <w:t xml:space="preserve"> is </w:t>
      </w:r>
      <w:r w:rsidRPr="005109AF">
        <w:rPr>
          <w:lang w:val="en-US"/>
        </w:rPr>
        <w:t>£</w:t>
      </w:r>
      <w:r w:rsidR="00B57569">
        <w:t>17,842</w:t>
      </w:r>
      <w:r w:rsidRPr="005109AF">
        <w:t xml:space="preserve"> </w:t>
      </w:r>
      <w:r w:rsidRPr="005109AF">
        <w:rPr>
          <w:lang w:val="en-US"/>
        </w:rPr>
        <w:t>w</w:t>
      </w:r>
      <w:r w:rsidRPr="005109AF">
        <w:t>hich is Point 6, Grade A.   When mea</w:t>
      </w:r>
      <w:r w:rsidRPr="005109AF">
        <w:rPr>
          <w:lang w:val="fr-FR"/>
        </w:rPr>
        <w:t>sur</w:t>
      </w:r>
      <w:r w:rsidRPr="005109AF">
        <w:t>ed against the lo</w:t>
      </w:r>
      <w:r w:rsidRPr="005109AF">
        <w:rPr>
          <w:lang w:val="en-US"/>
        </w:rPr>
        <w:t>w</w:t>
      </w:r>
      <w:r w:rsidRPr="005109AF">
        <w:t>est sal</w:t>
      </w:r>
      <w:r w:rsidRPr="005109AF">
        <w:rPr>
          <w:lang w:val="en-US"/>
        </w:rPr>
        <w:t xml:space="preserve">ary </w:t>
      </w:r>
      <w:r w:rsidRPr="005109AF">
        <w:t>the r</w:t>
      </w:r>
      <w:r w:rsidRPr="005109AF">
        <w:rPr>
          <w:lang w:val="fr-FR"/>
        </w:rPr>
        <w:t>atio</w:t>
      </w:r>
      <w:r w:rsidR="00997D16">
        <w:t xml:space="preserve"> is 7.87</w:t>
      </w:r>
      <w:r w:rsidRPr="005109AF">
        <w:t>:1.</w:t>
      </w:r>
    </w:p>
    <w:p w:rsidR="005109AF" w:rsidRPr="005109AF" w:rsidRDefault="005109AF" w:rsidP="005109AF">
      <w:r w:rsidRPr="005109AF">
        <w:lastRenderedPageBreak/>
        <w:t>Date of assessment: December 2020.</w:t>
      </w:r>
    </w:p>
    <w:p w:rsidR="005109AF" w:rsidRPr="005109AF" w:rsidRDefault="005109AF" w:rsidP="005109AF">
      <w:pPr>
        <w:rPr>
          <w:lang w:val="en-US"/>
        </w:rPr>
      </w:pPr>
    </w:p>
    <w:tbl>
      <w:tblPr>
        <w:tblW w:w="0" w:type="auto"/>
        <w:tblInd w:w="239" w:type="dxa"/>
        <w:tblLayout w:type="fixed"/>
        <w:tblCellMar>
          <w:left w:w="0" w:type="dxa"/>
          <w:right w:w="0" w:type="dxa"/>
        </w:tblCellMar>
        <w:tblLook w:val="01E0" w:firstRow="1" w:lastRow="1" w:firstColumn="1" w:lastColumn="1" w:noHBand="0" w:noVBand="0"/>
      </w:tblPr>
      <w:tblGrid>
        <w:gridCol w:w="3163"/>
        <w:gridCol w:w="2268"/>
        <w:gridCol w:w="2552"/>
      </w:tblGrid>
      <w:tr w:rsidR="005109AF" w:rsidRPr="005109AF" w:rsidTr="00BE7EE2">
        <w:trPr>
          <w:trHeight w:hRule="exact" w:val="975"/>
        </w:trPr>
        <w:tc>
          <w:tcPr>
            <w:tcW w:w="3163" w:type="dxa"/>
            <w:tcBorders>
              <w:top w:val="nil"/>
              <w:left w:val="nil"/>
              <w:bottom w:val="single" w:sz="4" w:space="0" w:color="000000"/>
              <w:right w:val="single" w:sz="4" w:space="0" w:color="000000"/>
            </w:tcBorders>
          </w:tcPr>
          <w:p w:rsidR="005109AF" w:rsidRPr="005109AF" w:rsidRDefault="005109AF" w:rsidP="005109AF">
            <w:pPr>
              <w:rPr>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09AF" w:rsidRPr="005109AF" w:rsidRDefault="005109AF" w:rsidP="005109AF">
            <w:pPr>
              <w:rPr>
                <w:lang w:val="en-US"/>
              </w:rPr>
            </w:pPr>
          </w:p>
          <w:p w:rsidR="005109AF" w:rsidRPr="005109AF" w:rsidRDefault="005109AF" w:rsidP="005109AF">
            <w:pPr>
              <w:jc w:val="center"/>
              <w:rPr>
                <w:lang w:val="en-US"/>
              </w:rPr>
            </w:pPr>
            <w:r w:rsidRPr="005109AF">
              <w:rPr>
                <w:b/>
                <w:bCs/>
                <w:lang w:val="en-US"/>
              </w:rPr>
              <w:t>Annual Salary</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09AF" w:rsidRPr="005109AF" w:rsidRDefault="005109AF" w:rsidP="005109AF">
            <w:pPr>
              <w:rPr>
                <w:lang w:val="en-US"/>
              </w:rPr>
            </w:pPr>
          </w:p>
          <w:p w:rsidR="005109AF" w:rsidRPr="005109AF" w:rsidRDefault="005109AF" w:rsidP="005109AF">
            <w:pPr>
              <w:jc w:val="center"/>
              <w:rPr>
                <w:lang w:val="en-US"/>
              </w:rPr>
            </w:pPr>
            <w:r w:rsidRPr="005109AF">
              <w:rPr>
                <w:b/>
                <w:bCs/>
                <w:lang w:val="en-US"/>
              </w:rPr>
              <w:t>Ratio to Highest</w:t>
            </w:r>
          </w:p>
        </w:tc>
      </w:tr>
      <w:tr w:rsidR="005109AF" w:rsidRPr="005109AF" w:rsidTr="00BE7EE2">
        <w:trPr>
          <w:trHeight w:hRule="exact" w:val="1698"/>
        </w:trPr>
        <w:tc>
          <w:tcPr>
            <w:tcW w:w="316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p>
          <w:p w:rsidR="005109AF" w:rsidRPr="005109AF" w:rsidRDefault="005109AF" w:rsidP="005109AF">
            <w:pPr>
              <w:rPr>
                <w:lang w:val="en-US"/>
              </w:rPr>
            </w:pPr>
            <w:r w:rsidRPr="005109AF">
              <w:rPr>
                <w:lang w:val="en-US"/>
              </w:rPr>
              <w:t>Highest Salary</w:t>
            </w:r>
          </w:p>
        </w:tc>
        <w:tc>
          <w:tcPr>
            <w:tcW w:w="226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p>
          <w:p w:rsidR="005109AF" w:rsidRPr="005109AF" w:rsidRDefault="00122CB2" w:rsidP="005109AF">
            <w:pPr>
              <w:jc w:val="center"/>
              <w:rPr>
                <w:lang w:val="en-US"/>
              </w:rPr>
            </w:pPr>
            <w:r>
              <w:rPr>
                <w:lang w:val="en-US"/>
              </w:rPr>
              <w:t>Within the banding £139,999 - £145,000</w:t>
            </w:r>
          </w:p>
          <w:p w:rsidR="005109AF" w:rsidRPr="005109AF" w:rsidRDefault="005109AF" w:rsidP="005109AF">
            <w:pPr>
              <w:rPr>
                <w:lang w:val="en-US"/>
              </w:rPr>
            </w:pPr>
          </w:p>
        </w:tc>
        <w:tc>
          <w:tcPr>
            <w:tcW w:w="2552"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p>
        </w:tc>
      </w:tr>
      <w:tr w:rsidR="005109AF" w:rsidRPr="005109AF" w:rsidTr="00BE7EE2">
        <w:trPr>
          <w:trHeight w:hRule="exact" w:val="549"/>
        </w:trPr>
        <w:tc>
          <w:tcPr>
            <w:tcW w:w="316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Median (Mid-point) value</w:t>
            </w:r>
          </w:p>
        </w:tc>
        <w:tc>
          <w:tcPr>
            <w:tcW w:w="2268" w:type="dxa"/>
            <w:tcBorders>
              <w:top w:val="single" w:sz="4" w:space="0" w:color="000000"/>
              <w:left w:val="single" w:sz="4" w:space="0" w:color="000000"/>
              <w:bottom w:val="single" w:sz="4" w:space="0" w:color="000000"/>
              <w:right w:val="single" w:sz="4" w:space="0" w:color="000000"/>
            </w:tcBorders>
          </w:tcPr>
          <w:p w:rsidR="005109AF" w:rsidRPr="005109AF" w:rsidRDefault="00122CB2" w:rsidP="005109AF">
            <w:pPr>
              <w:jc w:val="center"/>
              <w:rPr>
                <w:lang w:val="en-US"/>
              </w:rPr>
            </w:pPr>
            <w:r>
              <w:rPr>
                <w:lang w:val="en-US"/>
              </w:rPr>
              <w:t>£26,511</w:t>
            </w:r>
          </w:p>
        </w:tc>
        <w:tc>
          <w:tcPr>
            <w:tcW w:w="2552" w:type="dxa"/>
            <w:tcBorders>
              <w:top w:val="single" w:sz="4" w:space="0" w:color="000000"/>
              <w:left w:val="single" w:sz="4" w:space="0" w:color="000000"/>
              <w:bottom w:val="single" w:sz="4" w:space="0" w:color="000000"/>
              <w:right w:val="single" w:sz="4" w:space="0" w:color="000000"/>
            </w:tcBorders>
          </w:tcPr>
          <w:p w:rsidR="005109AF" w:rsidRPr="005109AF" w:rsidRDefault="00122CB2" w:rsidP="005109AF">
            <w:pPr>
              <w:jc w:val="center"/>
              <w:rPr>
                <w:lang w:val="en-US"/>
              </w:rPr>
            </w:pPr>
            <w:r>
              <w:rPr>
                <w:lang w:val="en-US"/>
              </w:rPr>
              <w:t>5.29</w:t>
            </w:r>
            <w:r w:rsidR="005109AF" w:rsidRPr="005109AF">
              <w:rPr>
                <w:lang w:val="en-US"/>
              </w:rPr>
              <w:t>:1</w:t>
            </w:r>
          </w:p>
        </w:tc>
      </w:tr>
      <w:tr w:rsidR="005109AF" w:rsidRPr="005109AF" w:rsidTr="00BE7EE2">
        <w:trPr>
          <w:trHeight w:hRule="exact" w:val="552"/>
        </w:trPr>
        <w:tc>
          <w:tcPr>
            <w:tcW w:w="316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Lowest full time salary</w:t>
            </w:r>
          </w:p>
        </w:tc>
        <w:tc>
          <w:tcPr>
            <w:tcW w:w="2268" w:type="dxa"/>
            <w:tcBorders>
              <w:top w:val="single" w:sz="4" w:space="0" w:color="000000"/>
              <w:left w:val="single" w:sz="4" w:space="0" w:color="000000"/>
              <w:bottom w:val="single" w:sz="4" w:space="0" w:color="000000"/>
              <w:right w:val="single" w:sz="4" w:space="0" w:color="000000"/>
            </w:tcBorders>
          </w:tcPr>
          <w:p w:rsidR="005109AF" w:rsidRPr="005109AF" w:rsidRDefault="00122CB2" w:rsidP="005109AF">
            <w:pPr>
              <w:jc w:val="center"/>
              <w:rPr>
                <w:lang w:val="en-US"/>
              </w:rPr>
            </w:pPr>
            <w:r>
              <w:rPr>
                <w:lang w:val="en-US"/>
              </w:rPr>
              <w:t>£17,842</w:t>
            </w:r>
          </w:p>
        </w:tc>
        <w:tc>
          <w:tcPr>
            <w:tcW w:w="2552" w:type="dxa"/>
            <w:tcBorders>
              <w:top w:val="single" w:sz="4" w:space="0" w:color="000000"/>
              <w:left w:val="single" w:sz="4" w:space="0" w:color="000000"/>
              <w:bottom w:val="single" w:sz="4" w:space="0" w:color="000000"/>
              <w:right w:val="single" w:sz="4" w:space="0" w:color="000000"/>
            </w:tcBorders>
          </w:tcPr>
          <w:p w:rsidR="005109AF" w:rsidRPr="005109AF" w:rsidRDefault="00122CB2" w:rsidP="005109AF">
            <w:pPr>
              <w:jc w:val="center"/>
              <w:rPr>
                <w:lang w:val="en-US"/>
              </w:rPr>
            </w:pPr>
            <w:r>
              <w:rPr>
                <w:lang w:val="en-US"/>
              </w:rPr>
              <w:t>7.87</w:t>
            </w:r>
            <w:r w:rsidR="005109AF" w:rsidRPr="005109AF">
              <w:rPr>
                <w:lang w:val="en-US"/>
              </w:rPr>
              <w:t>:1</w:t>
            </w:r>
          </w:p>
        </w:tc>
      </w:tr>
    </w:tbl>
    <w:p w:rsidR="005109AF" w:rsidRPr="005109AF" w:rsidRDefault="005109AF" w:rsidP="005109AF">
      <w:pPr>
        <w:rPr>
          <w:lang w:val="en-US"/>
        </w:rPr>
      </w:pPr>
    </w:p>
    <w:p w:rsidR="005109AF" w:rsidRPr="005109AF" w:rsidRDefault="005109AF" w:rsidP="005109AF">
      <w:pPr>
        <w:rPr>
          <w:lang w:val="en-US"/>
        </w:rPr>
      </w:pPr>
      <w:r w:rsidRPr="005109AF">
        <w:rPr>
          <w:lang w:val="en-US"/>
        </w:rPr>
        <w:t>There has been a positive chan</w:t>
      </w:r>
      <w:r w:rsidR="00B57569">
        <w:rPr>
          <w:lang w:val="en-US"/>
        </w:rPr>
        <w:t>ge in the figures since the 2020/21</w:t>
      </w:r>
      <w:r w:rsidRPr="005109AF">
        <w:rPr>
          <w:lang w:val="en-US"/>
        </w:rPr>
        <w:t xml:space="preserve"> Annual Pay Policy Statement was published which reflects a more balanced pay difference between the highest salary and the median and lowest salaries.  This is due to a reduction in headcount, involving staff across various different pay grades coupled with pay rises nationally that have increased the value of the lower pay grades in particular.</w:t>
      </w:r>
    </w:p>
    <w:p w:rsidR="005109AF" w:rsidRPr="005109AF" w:rsidRDefault="005109AF" w:rsidP="00E23D96">
      <w:pPr>
        <w:pStyle w:val="Heading3"/>
      </w:pPr>
      <w:r w:rsidRPr="005109AF">
        <w:t xml:space="preserve">Appendix 2 </w:t>
      </w:r>
      <w:r w:rsidRPr="005109AF">
        <w:rPr>
          <w:lang w:val="en-US"/>
        </w:rPr>
        <w:t xml:space="preserve">– </w:t>
      </w:r>
      <w:r w:rsidRPr="005109AF">
        <w:rPr>
          <w:lang w:val="de-DE"/>
        </w:rPr>
        <w:t>Gender Pay Gap Report</w:t>
      </w:r>
    </w:p>
    <w:p w:rsidR="006A665A" w:rsidRDefault="006A665A" w:rsidP="005109AF">
      <w:pPr>
        <w:rPr>
          <w:lang w:val="en-US"/>
        </w:rPr>
      </w:pPr>
    </w:p>
    <w:p w:rsidR="005109AF" w:rsidRPr="005109AF" w:rsidRDefault="005109AF" w:rsidP="005109AF">
      <w:pPr>
        <w:rPr>
          <w:lang w:val="en-US"/>
        </w:rPr>
      </w:pPr>
      <w:r w:rsidRPr="005109AF">
        <w:rPr>
          <w:lang w:val="en-US"/>
        </w:rPr>
        <w:lastRenderedPageBreak/>
        <w:t>This report is provided in compliance with the ‘The Equality Act 2010 (Specific Duties and Public Authorities) Regulations 2017’ which came into force on 31</w:t>
      </w:r>
      <w:r w:rsidR="00B57569">
        <w:rPr>
          <w:lang w:val="en-US"/>
        </w:rPr>
        <w:t>st</w:t>
      </w:r>
      <w:r w:rsidRPr="005109AF">
        <w:rPr>
          <w:lang w:val="en-US"/>
        </w:rPr>
        <w:t xml:space="preserve"> March 2017. </w:t>
      </w:r>
    </w:p>
    <w:p w:rsidR="005109AF" w:rsidRPr="005109AF" w:rsidRDefault="005109AF" w:rsidP="00E23D96">
      <w:pPr>
        <w:pStyle w:val="Heading2"/>
        <w:rPr>
          <w:lang w:val="en-US"/>
        </w:rPr>
      </w:pPr>
      <w:r w:rsidRPr="005109AF">
        <w:rPr>
          <w:lang w:val="en-US"/>
        </w:rPr>
        <w:t xml:space="preserve">Scope </w:t>
      </w:r>
    </w:p>
    <w:p w:rsidR="005109AF" w:rsidRPr="005109AF" w:rsidRDefault="005109AF" w:rsidP="005109AF">
      <w:pPr>
        <w:rPr>
          <w:lang w:val="en-US"/>
        </w:rPr>
      </w:pPr>
      <w:r w:rsidRPr="005109AF">
        <w:rPr>
          <w:lang w:val="en-US"/>
        </w:rPr>
        <w:t>This report covers all employees of Torbay Council including all staff permanently and temporarily employed on the reporting ‘snapshot date’ (31</w:t>
      </w:r>
      <w:r w:rsidR="00B57569">
        <w:rPr>
          <w:lang w:val="en-US"/>
        </w:rPr>
        <w:t>st</w:t>
      </w:r>
      <w:r w:rsidRPr="005109AF">
        <w:rPr>
          <w:lang w:val="en-US"/>
        </w:rPr>
        <w:t xml:space="preserve"> March 2020). This includes those on casual contracts that worked during the pay period ending 31</w:t>
      </w:r>
      <w:r w:rsidR="00B57569">
        <w:rPr>
          <w:lang w:val="en-US"/>
        </w:rPr>
        <w:t>st</w:t>
      </w:r>
      <w:r w:rsidRPr="005109AF">
        <w:rPr>
          <w:lang w:val="en-US"/>
        </w:rPr>
        <w:t xml:space="preserve"> March 2020. </w:t>
      </w:r>
    </w:p>
    <w:p w:rsidR="005109AF" w:rsidRPr="005109AF" w:rsidRDefault="005109AF" w:rsidP="005109AF">
      <w:r w:rsidRPr="005109AF">
        <w:rPr>
          <w:lang w:val="en-US"/>
        </w:rPr>
        <w:t>In accordance with the Regulations, employees of Torbay Council’s maintained schools* are treated as being employed by the governing body of the school and not as Council employees. Consequently, employees in maintained schools have been excluded from the Council’s gender pay calculations. The duty to report GPG information applies to organisations with 250 or more employees. None of Torbay Council’s maintained schools individually exceed this figure and so will not need to make a submission. In the case of schools who are part of a multi-academy trust and which may collectively exceed 250 employees, they will be required to report their gender pay information as the employer and take advice as appropriate.</w:t>
      </w:r>
    </w:p>
    <w:p w:rsidR="005109AF" w:rsidRPr="005109AF" w:rsidRDefault="005109AF" w:rsidP="005109AF">
      <w:r w:rsidRPr="005109AF">
        <w:rPr>
          <w:lang w:val="en-US"/>
        </w:rPr>
        <w:t>* Maintained schools are regarded as foundation, community, voluntary, nursery or special schools. (</w:t>
      </w:r>
      <w:hyperlink r:id="rId17" w:history="1">
        <w:r w:rsidRPr="005109AF">
          <w:rPr>
            <w:color w:val="5F5F5F" w:themeColor="hyperlink"/>
            <w:u w:val="single"/>
            <w:lang w:val="en-US"/>
          </w:rPr>
          <w:t>https://www.gov.uk/guidance/gender-pay-gap-reporting-overview</w:t>
        </w:r>
      </w:hyperlink>
      <w:r w:rsidRPr="005109AF">
        <w:t>)</w:t>
      </w:r>
    </w:p>
    <w:p w:rsidR="005109AF" w:rsidRPr="005109AF" w:rsidRDefault="005109AF" w:rsidP="00E23D96">
      <w:pPr>
        <w:pStyle w:val="Heading2"/>
        <w:rPr>
          <w:lang w:val="en-US"/>
        </w:rPr>
      </w:pPr>
      <w:r w:rsidRPr="005109AF">
        <w:rPr>
          <w:lang w:val="en-US"/>
        </w:rPr>
        <w:lastRenderedPageBreak/>
        <w:t xml:space="preserve">Definition of Pay </w:t>
      </w:r>
    </w:p>
    <w:p w:rsidR="005109AF" w:rsidRPr="005109AF" w:rsidRDefault="005109AF" w:rsidP="005109AF">
      <w:pPr>
        <w:rPr>
          <w:b/>
          <w:bCs/>
          <w:i/>
          <w:iCs/>
        </w:rPr>
      </w:pPr>
      <w:r w:rsidRPr="005109AF">
        <w:rPr>
          <w:lang w:val="en-US"/>
        </w:rPr>
        <w:t>Under the regulations, and therefore in this report, ‘</w:t>
      </w:r>
      <w:r w:rsidRPr="005109AF">
        <w:t>pay</w:t>
      </w:r>
      <w:r w:rsidRPr="005109AF">
        <w:rPr>
          <w:lang w:val="en-US"/>
        </w:rPr>
        <w:t>’ includes: basic pay, paid leave (including annual leave, sick leave, maternity, paternity, adoption and parental leave (except where an employee is paid less than usual because of being on leave)), allowances, shift premium pay and bonus pay. ‘</w:t>
      </w:r>
      <w:r w:rsidRPr="005109AF">
        <w:t>Pay</w:t>
      </w:r>
      <w:r w:rsidRPr="005109AF">
        <w:rPr>
          <w:lang w:val="en-US"/>
        </w:rPr>
        <w:t>’ does not include: overtime pay, expenses, the value of salary sacrifice schemes (however the reduction to salary is included), benefits in kind, redundancy pay and tax credits.</w:t>
      </w:r>
      <w:r w:rsidRPr="005109AF">
        <w:rPr>
          <w:b/>
          <w:bCs/>
          <w:i/>
          <w:iCs/>
        </w:rPr>
        <w:tab/>
      </w:r>
    </w:p>
    <w:p w:rsidR="005109AF" w:rsidRPr="005109AF" w:rsidRDefault="005109AF" w:rsidP="00E23D96">
      <w:pPr>
        <w:pStyle w:val="Heading2"/>
        <w:rPr>
          <w:lang w:val="en-US"/>
        </w:rPr>
      </w:pPr>
      <w:r w:rsidRPr="005109AF">
        <w:rPr>
          <w:lang w:val="en-US"/>
        </w:rPr>
        <w:t xml:space="preserve">Gender pay gap and equal pay </w:t>
      </w:r>
    </w:p>
    <w:p w:rsidR="005109AF" w:rsidRPr="005109AF" w:rsidRDefault="005109AF" w:rsidP="005109AF">
      <w:pPr>
        <w:rPr>
          <w:lang w:val="en-US"/>
        </w:rPr>
      </w:pPr>
      <w:r w:rsidRPr="005109AF">
        <w:rPr>
          <w:lang w:val="en-US"/>
        </w:rPr>
        <w:t xml:space="preserve">The gender pay gap is defined as the difference between the pay of men and women. While there are many ways of presenting this data, under the regulations and in this report there are only two measures: median hourly pay and mean hourly pay. Each is represented as the percentage of the difference with men’s pay being the divisor. Therefore, where men are paid more than women, the pay gap will be ‘positive’ (i.e. with a 3% pay gap women earn 97p for every £1 a man earns). Negative pay gaps are represented as minus percentages (i.e. with a negative pay gap of minus 3% women earn £1.03 for every £1 a man earns). Gender pay gap is not about men and women being paid differently for the same job which has been prohibited by equal pay legislation since 1975. Even with this legislation, historically certain occupations have attracted greater pay due to the value placed on typical masculine and feminine skills. </w:t>
      </w:r>
    </w:p>
    <w:p w:rsidR="005109AF" w:rsidRPr="005109AF" w:rsidRDefault="005109AF" w:rsidP="005109AF">
      <w:r w:rsidRPr="005109AF">
        <w:rPr>
          <w:lang w:val="en-US"/>
        </w:rPr>
        <w:t xml:space="preserve">To comply with equal pay legislation, we operate a recognised job evaluation scheme which covers all posts within the Council. This is supported by periodic pay data reviews to ensure that our pay structure remains transparent and free </w:t>
      </w:r>
      <w:r w:rsidRPr="005109AF">
        <w:rPr>
          <w:lang w:val="en-US"/>
        </w:rPr>
        <w:lastRenderedPageBreak/>
        <w:t>from gender bias. The Council seeks external advice on JE where required and regularly benchmarks against market data.</w:t>
      </w:r>
    </w:p>
    <w:p w:rsidR="005109AF" w:rsidRPr="005109AF" w:rsidRDefault="005109AF" w:rsidP="00E23D96">
      <w:pPr>
        <w:pStyle w:val="Heading2"/>
      </w:pPr>
      <w:r w:rsidRPr="005109AF">
        <w:rPr>
          <w:lang w:val="en-US"/>
        </w:rPr>
        <w:t xml:space="preserve">Defining pay gaps </w:t>
      </w:r>
    </w:p>
    <w:p w:rsidR="005109AF" w:rsidRPr="005109AF" w:rsidRDefault="005109AF" w:rsidP="005109AF">
      <w:r w:rsidRPr="005109AF">
        <w:rPr>
          <w:lang w:val="en-US"/>
        </w:rPr>
        <w:t xml:space="preserve">A gender pay gap of less than +/- five percent is considered to be acceptable as defined by the Equality and Human Rights Commission’s Equal Pay Toolkit. All gender pay gaps of three percent or more are subject to further analysis to identify the main causes and contributory factors of any pay differences. </w:t>
      </w:r>
    </w:p>
    <w:p w:rsidR="005109AF" w:rsidRPr="005109AF" w:rsidRDefault="005109AF" w:rsidP="005109AF">
      <w:r w:rsidRPr="005109AF">
        <w:rPr>
          <w:lang w:val="en-US"/>
        </w:rPr>
        <w:t xml:space="preserve">A positive pay gap indicates that men are paid more, a negative pay gap indicates that women are paid more. </w:t>
      </w:r>
    </w:p>
    <w:p w:rsidR="005109AF" w:rsidRPr="005109AF" w:rsidRDefault="005109AF" w:rsidP="00E23D96">
      <w:pPr>
        <w:pStyle w:val="Heading2"/>
      </w:pPr>
      <w:r w:rsidRPr="005109AF">
        <w:rPr>
          <w:lang w:val="en-US"/>
        </w:rPr>
        <w:t xml:space="preserve">Analysing pay gaps </w:t>
      </w:r>
    </w:p>
    <w:p w:rsidR="005109AF" w:rsidRPr="005109AF" w:rsidRDefault="005109AF" w:rsidP="005109AF">
      <w:r w:rsidRPr="005109AF">
        <w:rPr>
          <w:lang w:val="en-US"/>
        </w:rPr>
        <w:t>In regard to Gender Pay Gap Reporting, both the mean and median figures have to be reported, however, the median is referred to, to highlight the overall gender pay gap as it is more representative of the average earnings of a typical person (Annual Survey of Hours and Earnings, 2017:5).  Significant pay gaps can often be explained by length of service, market factors, pay protection and/or progression.</w:t>
      </w:r>
    </w:p>
    <w:p w:rsidR="005109AF" w:rsidRPr="005109AF" w:rsidRDefault="005109AF" w:rsidP="00E23D96">
      <w:pPr>
        <w:pStyle w:val="Heading2"/>
        <w:rPr>
          <w:lang w:val="en-US"/>
        </w:rPr>
      </w:pPr>
      <w:r w:rsidRPr="005109AF">
        <w:rPr>
          <w:lang w:val="en-US"/>
        </w:rPr>
        <w:t xml:space="preserve">Findings </w:t>
      </w:r>
    </w:p>
    <w:p w:rsidR="005109AF" w:rsidRPr="005109AF" w:rsidRDefault="005109AF" w:rsidP="005109AF">
      <w:pPr>
        <w:rPr>
          <w:lang w:val="en-US"/>
        </w:rPr>
      </w:pPr>
      <w:r w:rsidRPr="005109AF">
        <w:rPr>
          <w:lang w:val="en-US"/>
        </w:rPr>
        <w:t>The following summary has been prepared in line with the Equality Act 2010 (Gender Pay Gap Information) Regulations 2017 which requires public sector employers to publish specific details of their gender pay, as follows:-</w:t>
      </w:r>
    </w:p>
    <w:p w:rsidR="005109AF" w:rsidRPr="005109AF" w:rsidRDefault="005109AF" w:rsidP="005109AF">
      <w:pPr>
        <w:rPr>
          <w:lang w:val="en-US"/>
        </w:rPr>
      </w:pPr>
    </w:p>
    <w:p w:rsidR="005109AF" w:rsidRPr="005109AF" w:rsidRDefault="005109AF" w:rsidP="005109AF">
      <w:r w:rsidRPr="005109AF">
        <w:rPr>
          <w:lang w:val="en-US"/>
        </w:rPr>
        <w:lastRenderedPageBreak/>
        <w:t xml:space="preserve">• Median gender pay gap in hourly pay. </w:t>
      </w:r>
    </w:p>
    <w:p w:rsidR="005109AF" w:rsidRPr="005109AF" w:rsidRDefault="005109AF" w:rsidP="005109AF">
      <w:r w:rsidRPr="005109AF">
        <w:rPr>
          <w:lang w:val="en-US"/>
        </w:rPr>
        <w:t xml:space="preserve">• Mean bonus gender pay gap. </w:t>
      </w:r>
    </w:p>
    <w:p w:rsidR="005109AF" w:rsidRPr="005109AF" w:rsidRDefault="005109AF" w:rsidP="005109AF">
      <w:r w:rsidRPr="005109AF">
        <w:rPr>
          <w:lang w:val="en-US"/>
        </w:rPr>
        <w:t xml:space="preserve">• Median bonus gender pay gap. </w:t>
      </w:r>
    </w:p>
    <w:p w:rsidR="005109AF" w:rsidRPr="005109AF" w:rsidRDefault="005109AF" w:rsidP="005109AF">
      <w:r w:rsidRPr="005109AF">
        <w:rPr>
          <w:lang w:val="en-US"/>
        </w:rPr>
        <w:t xml:space="preserve">• Proportion of males and females receiving a bonus payment. </w:t>
      </w:r>
    </w:p>
    <w:p w:rsidR="005109AF" w:rsidRPr="005109AF" w:rsidRDefault="005109AF" w:rsidP="005109AF">
      <w:r w:rsidRPr="005109AF">
        <w:rPr>
          <w:lang w:val="en-US"/>
        </w:rPr>
        <w:t xml:space="preserve">• Proportion of males and females in each pay quartile. </w:t>
      </w:r>
    </w:p>
    <w:p w:rsidR="005109AF" w:rsidRPr="005109AF" w:rsidRDefault="005109AF" w:rsidP="005109AF">
      <w:pPr>
        <w:rPr>
          <w:lang w:val="en-US"/>
        </w:rPr>
      </w:pPr>
    </w:p>
    <w:p w:rsidR="005109AF" w:rsidRPr="005109AF" w:rsidRDefault="005109AF" w:rsidP="005109AF">
      <w:pPr>
        <w:rPr>
          <w:b/>
          <w:bCs/>
          <w:lang w:val="en-US"/>
        </w:rPr>
      </w:pPr>
      <w:r w:rsidRPr="005109AF">
        <w:rPr>
          <w:b/>
          <w:bCs/>
          <w:lang w:val="en-US"/>
        </w:rPr>
        <w:t xml:space="preserve">The difference between the average (mean and median) hourly rate of pay for male and female employees </w:t>
      </w:r>
    </w:p>
    <w:p w:rsidR="005109AF" w:rsidRPr="005109AF" w:rsidRDefault="005109AF" w:rsidP="005109AF">
      <w:pPr>
        <w:rPr>
          <w:lang w:val="en-US"/>
        </w:rPr>
      </w:pPr>
    </w:p>
    <w:p w:rsidR="005109AF" w:rsidRPr="005109AF" w:rsidRDefault="005109AF" w:rsidP="005109AF">
      <w:pPr>
        <w:rPr>
          <w:lang w:val="en-US"/>
        </w:rPr>
      </w:pPr>
      <w:r w:rsidRPr="005109AF">
        <w:rPr>
          <w:lang w:val="en-US"/>
        </w:rPr>
        <w:t xml:space="preserve">1. </w:t>
      </w:r>
      <w:r w:rsidR="0039753E">
        <w:rPr>
          <w:lang w:val="en-US"/>
        </w:rPr>
        <w:t>The mean pay for women is £15.47</w:t>
      </w:r>
      <w:r w:rsidRPr="005109AF">
        <w:rPr>
          <w:lang w:val="en-US"/>
        </w:rPr>
        <w:t xml:space="preserve"> per hou</w:t>
      </w:r>
      <w:r w:rsidR="0039753E">
        <w:rPr>
          <w:lang w:val="en-US"/>
        </w:rPr>
        <w:t>r and mean pay for men is £15.26</w:t>
      </w:r>
      <w:r w:rsidRPr="005109AF">
        <w:rPr>
          <w:lang w:val="en-US"/>
        </w:rPr>
        <w:t xml:space="preserve"> per hour. Therefo</w:t>
      </w:r>
      <w:r w:rsidR="00C45BC5">
        <w:rPr>
          <w:lang w:val="en-US"/>
        </w:rPr>
        <w:t>re the mean gender pay gap -1.3</w:t>
      </w:r>
      <w:r w:rsidRPr="005109AF">
        <w:rPr>
          <w:lang w:val="en-US"/>
        </w:rPr>
        <w:t>%</w:t>
      </w:r>
      <w:r w:rsidR="00C45BC5">
        <w:rPr>
          <w:lang w:val="en-US"/>
        </w:rPr>
        <w:t>.</w:t>
      </w:r>
    </w:p>
    <w:p w:rsidR="005109AF" w:rsidRPr="005109AF" w:rsidRDefault="005109AF" w:rsidP="005109AF">
      <w:pPr>
        <w:rPr>
          <w:lang w:val="en-US"/>
        </w:rPr>
      </w:pPr>
      <w:r w:rsidRPr="005109AF">
        <w:rPr>
          <w:lang w:val="en-US"/>
        </w:rPr>
        <w:t>2. The m</w:t>
      </w:r>
      <w:r w:rsidR="0039753E">
        <w:rPr>
          <w:lang w:val="en-US"/>
        </w:rPr>
        <w:t>edian pay for women is £14.95</w:t>
      </w:r>
      <w:r w:rsidRPr="005109AF">
        <w:rPr>
          <w:lang w:val="en-US"/>
        </w:rPr>
        <w:t xml:space="preserve"> and </w:t>
      </w:r>
      <w:r w:rsidR="0039753E">
        <w:rPr>
          <w:lang w:val="en-US"/>
        </w:rPr>
        <w:t>the median pay for men is £14.53</w:t>
      </w:r>
      <w:r w:rsidRPr="005109AF">
        <w:rPr>
          <w:lang w:val="en-US"/>
        </w:rPr>
        <w:t xml:space="preserve"> per hour. Therefore the</w:t>
      </w:r>
      <w:r w:rsidR="00C45BC5">
        <w:rPr>
          <w:lang w:val="en-US"/>
        </w:rPr>
        <w:t xml:space="preserve"> median gender pay gap is -2.8%.</w:t>
      </w:r>
    </w:p>
    <w:p w:rsidR="005109AF" w:rsidRPr="005109AF" w:rsidRDefault="005109AF" w:rsidP="005109AF">
      <w:pPr>
        <w:rPr>
          <w:lang w:val="en-US"/>
        </w:rPr>
      </w:pPr>
    </w:p>
    <w:p w:rsidR="005109AF" w:rsidRPr="005109AF" w:rsidRDefault="005109AF" w:rsidP="005109AF">
      <w:pPr>
        <w:rPr>
          <w:b/>
          <w:bCs/>
          <w:lang w:val="en-US"/>
        </w:rPr>
      </w:pPr>
      <w:r w:rsidRPr="005109AF">
        <w:rPr>
          <w:b/>
          <w:bCs/>
          <w:lang w:val="en-US"/>
        </w:rPr>
        <w:t>The difference between the average (mean and median) bonuses paid to male and female employees over the period of 12 months ending w</w:t>
      </w:r>
      <w:r w:rsidR="00B57569">
        <w:rPr>
          <w:b/>
          <w:bCs/>
          <w:lang w:val="en-US"/>
        </w:rPr>
        <w:t>ith the snapshot date of 31st</w:t>
      </w:r>
      <w:r w:rsidR="00C45BC5">
        <w:rPr>
          <w:b/>
          <w:bCs/>
          <w:lang w:val="en-US"/>
        </w:rPr>
        <w:t xml:space="preserve"> March 2020</w:t>
      </w:r>
      <w:r w:rsidRPr="005109AF">
        <w:rPr>
          <w:b/>
          <w:bCs/>
          <w:lang w:val="en-US"/>
        </w:rPr>
        <w:t>.</w:t>
      </w:r>
    </w:p>
    <w:p w:rsidR="005109AF" w:rsidRPr="005109AF" w:rsidRDefault="005109AF" w:rsidP="005109AF">
      <w:pPr>
        <w:rPr>
          <w:lang w:val="en-US"/>
        </w:rPr>
      </w:pPr>
    </w:p>
    <w:p w:rsidR="005109AF" w:rsidRPr="005109AF" w:rsidRDefault="005109AF" w:rsidP="005109AF">
      <w:pPr>
        <w:rPr>
          <w:lang w:val="en-US"/>
        </w:rPr>
      </w:pPr>
      <w:r w:rsidRPr="005109AF">
        <w:rPr>
          <w:lang w:val="en-US"/>
        </w:rPr>
        <w:t xml:space="preserve">3. No bonuses were paid to employees during this period. </w:t>
      </w:r>
    </w:p>
    <w:p w:rsidR="005109AF" w:rsidRPr="005109AF" w:rsidRDefault="005109AF" w:rsidP="005109AF">
      <w:pPr>
        <w:rPr>
          <w:lang w:val="en-US"/>
        </w:rPr>
      </w:pPr>
    </w:p>
    <w:p w:rsidR="005109AF" w:rsidRPr="005109AF" w:rsidRDefault="005109AF" w:rsidP="005109AF">
      <w:pPr>
        <w:rPr>
          <w:b/>
          <w:bCs/>
          <w:lang w:val="en-US"/>
        </w:rPr>
      </w:pPr>
      <w:r w:rsidRPr="005109AF">
        <w:rPr>
          <w:b/>
          <w:bCs/>
          <w:lang w:val="en-US"/>
        </w:rPr>
        <w:lastRenderedPageBreak/>
        <w:t>The proportion of male employees, and of female employees, who were paid bonuses during the period of 12 months end</w:t>
      </w:r>
      <w:r w:rsidR="00B57569">
        <w:rPr>
          <w:b/>
          <w:bCs/>
          <w:lang w:val="en-US"/>
        </w:rPr>
        <w:t>ing with the snapshot date of 31st</w:t>
      </w:r>
      <w:r w:rsidRPr="005109AF">
        <w:rPr>
          <w:b/>
          <w:bCs/>
          <w:lang w:val="en-US"/>
        </w:rPr>
        <w:t xml:space="preserve"> March 20</w:t>
      </w:r>
      <w:r w:rsidR="00C45BC5">
        <w:rPr>
          <w:b/>
          <w:bCs/>
          <w:lang w:val="en-US"/>
        </w:rPr>
        <w:t>20</w:t>
      </w:r>
      <w:r w:rsidRPr="005109AF">
        <w:rPr>
          <w:b/>
          <w:bCs/>
          <w:lang w:val="en-US"/>
        </w:rPr>
        <w:t>.</w:t>
      </w:r>
    </w:p>
    <w:p w:rsidR="005109AF" w:rsidRPr="005109AF" w:rsidRDefault="005109AF" w:rsidP="005109AF">
      <w:pPr>
        <w:rPr>
          <w:lang w:val="en-US"/>
        </w:rPr>
      </w:pPr>
    </w:p>
    <w:p w:rsidR="005109AF" w:rsidRPr="005109AF" w:rsidRDefault="005109AF" w:rsidP="005109AF">
      <w:pPr>
        <w:rPr>
          <w:lang w:val="en-US"/>
        </w:rPr>
      </w:pPr>
      <w:r w:rsidRPr="005109AF">
        <w:rPr>
          <w:lang w:val="en-US"/>
        </w:rPr>
        <w:t xml:space="preserve">4. No bonuses were paid to employees during this period. </w:t>
      </w:r>
    </w:p>
    <w:p w:rsidR="005109AF" w:rsidRPr="005109AF" w:rsidRDefault="005109AF" w:rsidP="005109AF">
      <w:pPr>
        <w:rPr>
          <w:lang w:val="en-US"/>
        </w:rPr>
      </w:pPr>
    </w:p>
    <w:p w:rsidR="005109AF" w:rsidRPr="005109AF" w:rsidRDefault="005109AF" w:rsidP="005109AF">
      <w:pPr>
        <w:rPr>
          <w:b/>
          <w:bCs/>
        </w:rPr>
      </w:pPr>
      <w:r w:rsidRPr="005109AF">
        <w:rPr>
          <w:b/>
          <w:bCs/>
          <w:lang w:val="en-US"/>
        </w:rPr>
        <w:t>5. The proportions of male and female employees in each quartile of the pay distribution – to be supplied</w:t>
      </w:r>
    </w:p>
    <w:p w:rsidR="005109AF" w:rsidRPr="005109AF" w:rsidRDefault="005109AF" w:rsidP="005109AF">
      <w:pPr>
        <w:rPr>
          <w:b/>
          <w:bCs/>
        </w:rPr>
      </w:pPr>
    </w:p>
    <w:tbl>
      <w:tblPr>
        <w:tblW w:w="10005"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2"/>
        <w:gridCol w:w="918"/>
        <w:gridCol w:w="1251"/>
        <w:gridCol w:w="1397"/>
        <w:gridCol w:w="1438"/>
        <w:gridCol w:w="1989"/>
      </w:tblGrid>
      <w:tr w:rsidR="005109AF" w:rsidRPr="005109AF" w:rsidTr="00BE7EE2">
        <w:trPr>
          <w:trHeight w:val="204"/>
        </w:trPr>
        <w:tc>
          <w:tcPr>
            <w:tcW w:w="3012" w:type="dxa"/>
            <w:tcBorders>
              <w:top w:val="single" w:sz="4" w:space="0" w:color="C0C0C0"/>
              <w:left w:val="single" w:sz="4" w:space="0" w:color="C0C0C0"/>
              <w:bottom w:val="single" w:sz="4" w:space="0" w:color="C0C0C0"/>
              <w:right w:val="single" w:sz="4" w:space="0" w:color="C0C0C0"/>
            </w:tcBorders>
            <w:shd w:val="clear" w:color="auto" w:fill="F3F3F3"/>
            <w:tcMar>
              <w:top w:w="80" w:type="dxa"/>
              <w:left w:w="80" w:type="dxa"/>
              <w:bottom w:w="80" w:type="dxa"/>
              <w:right w:w="80" w:type="dxa"/>
            </w:tcMar>
            <w:vAlign w:val="center"/>
          </w:tcPr>
          <w:p w:rsidR="005109AF" w:rsidRPr="005109AF" w:rsidRDefault="005109AF" w:rsidP="005109AF">
            <w:r w:rsidRPr="005109AF">
              <w:rPr>
                <w:b/>
                <w:bCs/>
                <w:lang w:val="en-US"/>
              </w:rPr>
              <w:t>Quartile</w:t>
            </w:r>
          </w:p>
        </w:tc>
        <w:tc>
          <w:tcPr>
            <w:tcW w:w="918" w:type="dxa"/>
            <w:tcBorders>
              <w:top w:val="single" w:sz="4" w:space="0" w:color="C0C0C0"/>
              <w:left w:val="single" w:sz="4" w:space="0" w:color="C0C0C0"/>
              <w:bottom w:val="single" w:sz="4" w:space="0" w:color="C0C0C0"/>
              <w:right w:val="single" w:sz="4" w:space="0" w:color="C0C0C0"/>
            </w:tcBorders>
            <w:shd w:val="clear" w:color="auto" w:fill="F3F3F3"/>
            <w:tcMar>
              <w:top w:w="80" w:type="dxa"/>
              <w:left w:w="80" w:type="dxa"/>
              <w:bottom w:w="80" w:type="dxa"/>
              <w:right w:w="80" w:type="dxa"/>
            </w:tcMar>
            <w:vAlign w:val="center"/>
          </w:tcPr>
          <w:p w:rsidR="005109AF" w:rsidRPr="005109AF" w:rsidRDefault="005109AF" w:rsidP="005109AF">
            <w:r w:rsidRPr="005109AF">
              <w:rPr>
                <w:b/>
                <w:bCs/>
                <w:lang w:val="en-US"/>
              </w:rPr>
              <w:t>Posts</w:t>
            </w:r>
          </w:p>
        </w:tc>
        <w:tc>
          <w:tcPr>
            <w:tcW w:w="1251" w:type="dxa"/>
            <w:tcBorders>
              <w:top w:val="single" w:sz="4" w:space="0" w:color="C0C0C0"/>
              <w:left w:val="single" w:sz="4" w:space="0" w:color="C0C0C0"/>
              <w:bottom w:val="single" w:sz="4" w:space="0" w:color="C0C0C0"/>
              <w:right w:val="single" w:sz="4" w:space="0" w:color="C0C0C0"/>
            </w:tcBorders>
            <w:shd w:val="clear" w:color="auto" w:fill="F3F3F3"/>
            <w:tcMar>
              <w:top w:w="80" w:type="dxa"/>
              <w:left w:w="80" w:type="dxa"/>
              <w:bottom w:w="80" w:type="dxa"/>
              <w:right w:w="80" w:type="dxa"/>
            </w:tcMar>
            <w:vAlign w:val="center"/>
          </w:tcPr>
          <w:p w:rsidR="005109AF" w:rsidRPr="005109AF" w:rsidRDefault="005109AF" w:rsidP="005109AF">
            <w:r w:rsidRPr="005109AF">
              <w:rPr>
                <w:b/>
                <w:bCs/>
                <w:lang w:val="en-US"/>
              </w:rPr>
              <w:t>Men (Count)</w:t>
            </w:r>
          </w:p>
        </w:tc>
        <w:tc>
          <w:tcPr>
            <w:tcW w:w="1397" w:type="dxa"/>
            <w:tcBorders>
              <w:top w:val="single" w:sz="4" w:space="0" w:color="C0C0C0"/>
              <w:left w:val="single" w:sz="4" w:space="0" w:color="C0C0C0"/>
              <w:bottom w:val="single" w:sz="4" w:space="0" w:color="C0C0C0"/>
              <w:right w:val="single" w:sz="4" w:space="0" w:color="C0C0C0"/>
            </w:tcBorders>
            <w:shd w:val="clear" w:color="auto" w:fill="F3F3F3"/>
            <w:tcMar>
              <w:top w:w="80" w:type="dxa"/>
              <w:left w:w="80" w:type="dxa"/>
              <w:bottom w:w="80" w:type="dxa"/>
              <w:right w:w="80" w:type="dxa"/>
            </w:tcMar>
            <w:vAlign w:val="center"/>
          </w:tcPr>
          <w:p w:rsidR="005109AF" w:rsidRPr="005109AF" w:rsidRDefault="005109AF" w:rsidP="005109AF">
            <w:r w:rsidRPr="005109AF">
              <w:rPr>
                <w:b/>
                <w:bCs/>
                <w:lang w:val="en-US"/>
              </w:rPr>
              <w:t>Men ( % )</w:t>
            </w:r>
          </w:p>
        </w:tc>
        <w:tc>
          <w:tcPr>
            <w:tcW w:w="1438" w:type="dxa"/>
            <w:tcBorders>
              <w:top w:val="single" w:sz="4" w:space="0" w:color="C0C0C0"/>
              <w:left w:val="single" w:sz="4" w:space="0" w:color="C0C0C0"/>
              <w:bottom w:val="single" w:sz="4" w:space="0" w:color="C0C0C0"/>
              <w:right w:val="single" w:sz="4" w:space="0" w:color="C0C0C0"/>
            </w:tcBorders>
            <w:shd w:val="clear" w:color="auto" w:fill="F3F3F3"/>
            <w:tcMar>
              <w:top w:w="80" w:type="dxa"/>
              <w:left w:w="80" w:type="dxa"/>
              <w:bottom w:w="80" w:type="dxa"/>
              <w:right w:w="80" w:type="dxa"/>
            </w:tcMar>
            <w:vAlign w:val="center"/>
          </w:tcPr>
          <w:p w:rsidR="005109AF" w:rsidRPr="005109AF" w:rsidRDefault="005109AF" w:rsidP="005109AF">
            <w:r w:rsidRPr="005109AF">
              <w:rPr>
                <w:b/>
                <w:bCs/>
                <w:lang w:val="en-US"/>
              </w:rPr>
              <w:t>Women (Count)</w:t>
            </w:r>
          </w:p>
        </w:tc>
        <w:tc>
          <w:tcPr>
            <w:tcW w:w="1989" w:type="dxa"/>
            <w:tcBorders>
              <w:top w:val="single" w:sz="4" w:space="0" w:color="C0C0C0"/>
              <w:left w:val="single" w:sz="4" w:space="0" w:color="C0C0C0"/>
              <w:bottom w:val="single" w:sz="4" w:space="0" w:color="C0C0C0"/>
              <w:right w:val="single" w:sz="4" w:space="0" w:color="C0C0C0"/>
            </w:tcBorders>
            <w:shd w:val="clear" w:color="auto" w:fill="F3F3F3"/>
            <w:tcMar>
              <w:top w:w="80" w:type="dxa"/>
              <w:left w:w="80" w:type="dxa"/>
              <w:bottom w:w="80" w:type="dxa"/>
              <w:right w:w="80" w:type="dxa"/>
            </w:tcMar>
            <w:vAlign w:val="center"/>
          </w:tcPr>
          <w:p w:rsidR="005109AF" w:rsidRPr="005109AF" w:rsidRDefault="005109AF" w:rsidP="005109AF">
            <w:r w:rsidRPr="005109AF">
              <w:rPr>
                <w:b/>
                <w:bCs/>
                <w:lang w:val="en-US"/>
              </w:rPr>
              <w:t>Women ( % )</w:t>
            </w:r>
          </w:p>
        </w:tc>
      </w:tr>
      <w:tr w:rsidR="005109AF" w:rsidRPr="005109AF" w:rsidTr="00BE7EE2">
        <w:trPr>
          <w:trHeight w:val="204"/>
        </w:trPr>
        <w:tc>
          <w:tcPr>
            <w:tcW w:w="301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5109AF" w:rsidP="005109AF">
            <w:r w:rsidRPr="005109AF">
              <w:rPr>
                <w:lang w:val="en-US"/>
              </w:rPr>
              <w:t>A - Lower (0-25%)</w:t>
            </w:r>
          </w:p>
        </w:tc>
        <w:tc>
          <w:tcPr>
            <w:tcW w:w="91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1D086D" w:rsidP="005109AF">
            <w:r>
              <w:rPr>
                <w:lang w:val="en-US"/>
              </w:rPr>
              <w:t>243</w:t>
            </w:r>
          </w:p>
        </w:tc>
        <w:tc>
          <w:tcPr>
            <w:tcW w:w="125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57</w:t>
            </w:r>
          </w:p>
        </w:tc>
        <w:tc>
          <w:tcPr>
            <w:tcW w:w="1397"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23.46</w:t>
            </w:r>
            <w:r w:rsidR="005109AF" w:rsidRPr="005109AF">
              <w:rPr>
                <w:lang w:val="en-US"/>
              </w:rPr>
              <w:t>%</w:t>
            </w:r>
          </w:p>
        </w:tc>
        <w:tc>
          <w:tcPr>
            <w:tcW w:w="143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643396" w:rsidP="005109AF">
            <w:r>
              <w:rPr>
                <w:lang w:val="en-US"/>
              </w:rPr>
              <w:t>186</w:t>
            </w:r>
          </w:p>
        </w:tc>
        <w:tc>
          <w:tcPr>
            <w:tcW w:w="198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76.54</w:t>
            </w:r>
            <w:r w:rsidR="005109AF" w:rsidRPr="005109AF">
              <w:rPr>
                <w:lang w:val="en-US"/>
              </w:rPr>
              <w:t>%</w:t>
            </w:r>
          </w:p>
        </w:tc>
      </w:tr>
      <w:tr w:rsidR="005109AF" w:rsidRPr="005109AF" w:rsidTr="00BE7EE2">
        <w:trPr>
          <w:trHeight w:val="204"/>
        </w:trPr>
        <w:tc>
          <w:tcPr>
            <w:tcW w:w="301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5109AF" w:rsidP="005109AF">
            <w:r w:rsidRPr="005109AF">
              <w:rPr>
                <w:lang w:val="en-US"/>
              </w:rPr>
              <w:t>B - Lower Middle (25-50%)</w:t>
            </w:r>
          </w:p>
        </w:tc>
        <w:tc>
          <w:tcPr>
            <w:tcW w:w="91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1D086D" w:rsidP="005109AF">
            <w:r>
              <w:rPr>
                <w:lang w:val="en-US"/>
              </w:rPr>
              <w:t>243</w:t>
            </w:r>
          </w:p>
        </w:tc>
        <w:tc>
          <w:tcPr>
            <w:tcW w:w="125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76</w:t>
            </w:r>
          </w:p>
        </w:tc>
        <w:tc>
          <w:tcPr>
            <w:tcW w:w="1397"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31.28</w:t>
            </w:r>
            <w:r w:rsidR="005109AF" w:rsidRPr="005109AF">
              <w:rPr>
                <w:lang w:val="en-US"/>
              </w:rPr>
              <w:t>%</w:t>
            </w:r>
          </w:p>
        </w:tc>
        <w:tc>
          <w:tcPr>
            <w:tcW w:w="143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167</w:t>
            </w:r>
          </w:p>
        </w:tc>
        <w:tc>
          <w:tcPr>
            <w:tcW w:w="198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68.72</w:t>
            </w:r>
            <w:r w:rsidR="005109AF" w:rsidRPr="005109AF">
              <w:rPr>
                <w:lang w:val="en-US"/>
              </w:rPr>
              <w:t>%</w:t>
            </w:r>
          </w:p>
        </w:tc>
      </w:tr>
      <w:tr w:rsidR="005109AF" w:rsidRPr="005109AF" w:rsidTr="00BE7EE2">
        <w:trPr>
          <w:trHeight w:val="204"/>
        </w:trPr>
        <w:tc>
          <w:tcPr>
            <w:tcW w:w="301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5109AF" w:rsidP="005109AF">
            <w:r w:rsidRPr="005109AF">
              <w:rPr>
                <w:lang w:val="en-US"/>
              </w:rPr>
              <w:t>C - Upper Middle (50-75%)</w:t>
            </w:r>
          </w:p>
        </w:tc>
        <w:tc>
          <w:tcPr>
            <w:tcW w:w="91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1D086D" w:rsidP="005109AF">
            <w:r>
              <w:rPr>
                <w:lang w:val="en-US"/>
              </w:rPr>
              <w:t>243</w:t>
            </w:r>
          </w:p>
        </w:tc>
        <w:tc>
          <w:tcPr>
            <w:tcW w:w="125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87</w:t>
            </w:r>
          </w:p>
        </w:tc>
        <w:tc>
          <w:tcPr>
            <w:tcW w:w="1397"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35.80</w:t>
            </w:r>
            <w:r w:rsidR="005109AF" w:rsidRPr="005109AF">
              <w:rPr>
                <w:lang w:val="en-US"/>
              </w:rPr>
              <w:t>%</w:t>
            </w:r>
          </w:p>
        </w:tc>
        <w:tc>
          <w:tcPr>
            <w:tcW w:w="143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156</w:t>
            </w:r>
          </w:p>
        </w:tc>
        <w:tc>
          <w:tcPr>
            <w:tcW w:w="198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64.20</w:t>
            </w:r>
            <w:r w:rsidR="005109AF" w:rsidRPr="005109AF">
              <w:rPr>
                <w:lang w:val="en-US"/>
              </w:rPr>
              <w:t>%</w:t>
            </w:r>
          </w:p>
        </w:tc>
      </w:tr>
      <w:tr w:rsidR="005109AF" w:rsidRPr="005109AF" w:rsidTr="00BE7EE2">
        <w:trPr>
          <w:trHeight w:val="204"/>
        </w:trPr>
        <w:tc>
          <w:tcPr>
            <w:tcW w:w="3012"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5109AF" w:rsidP="005109AF">
            <w:r w:rsidRPr="005109AF">
              <w:rPr>
                <w:lang w:val="en-US"/>
              </w:rPr>
              <w:t>D - Upper (75-100%)</w:t>
            </w:r>
          </w:p>
        </w:tc>
        <w:tc>
          <w:tcPr>
            <w:tcW w:w="91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1D086D" w:rsidP="005109AF">
            <w:r>
              <w:rPr>
                <w:lang w:val="en-US"/>
              </w:rPr>
              <w:t>243</w:t>
            </w:r>
          </w:p>
        </w:tc>
        <w:tc>
          <w:tcPr>
            <w:tcW w:w="1251"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99</w:t>
            </w:r>
          </w:p>
        </w:tc>
        <w:tc>
          <w:tcPr>
            <w:tcW w:w="1397"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40.74</w:t>
            </w:r>
            <w:r w:rsidR="005109AF" w:rsidRPr="005109AF">
              <w:rPr>
                <w:lang w:val="en-US"/>
              </w:rPr>
              <w:t>%</w:t>
            </w:r>
          </w:p>
        </w:tc>
        <w:tc>
          <w:tcPr>
            <w:tcW w:w="1438"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144</w:t>
            </w:r>
          </w:p>
        </w:tc>
        <w:tc>
          <w:tcPr>
            <w:tcW w:w="1989" w:type="dxa"/>
            <w:tcBorders>
              <w:top w:val="single" w:sz="4" w:space="0" w:color="C0C0C0"/>
              <w:left w:val="single" w:sz="4" w:space="0" w:color="C0C0C0"/>
              <w:bottom w:val="single" w:sz="4" w:space="0" w:color="C0C0C0"/>
              <w:right w:val="single" w:sz="4" w:space="0" w:color="C0C0C0"/>
            </w:tcBorders>
            <w:shd w:val="clear" w:color="auto" w:fill="FFFFFF"/>
            <w:tcMar>
              <w:top w:w="80" w:type="dxa"/>
              <w:left w:w="80" w:type="dxa"/>
              <w:bottom w:w="80" w:type="dxa"/>
              <w:right w:w="80" w:type="dxa"/>
            </w:tcMar>
            <w:vAlign w:val="center"/>
          </w:tcPr>
          <w:p w:rsidR="005109AF" w:rsidRPr="005109AF" w:rsidRDefault="00B57569" w:rsidP="005109AF">
            <w:r>
              <w:rPr>
                <w:lang w:val="en-US"/>
              </w:rPr>
              <w:t>59.26</w:t>
            </w:r>
            <w:r w:rsidR="005109AF" w:rsidRPr="005109AF">
              <w:rPr>
                <w:lang w:val="en-US"/>
              </w:rPr>
              <w:t>%</w:t>
            </w:r>
          </w:p>
        </w:tc>
      </w:tr>
      <w:tr w:rsidR="005109AF" w:rsidRPr="005109AF" w:rsidTr="00BE7EE2">
        <w:trPr>
          <w:trHeight w:val="204"/>
        </w:trPr>
        <w:tc>
          <w:tcPr>
            <w:tcW w:w="3012" w:type="dxa"/>
            <w:tcBorders>
              <w:top w:val="single" w:sz="4" w:space="0" w:color="C0C0C0"/>
              <w:left w:val="single" w:sz="4" w:space="0" w:color="C0C0C0"/>
              <w:bottom w:val="single" w:sz="4" w:space="0" w:color="C0C0C0"/>
              <w:right w:val="single" w:sz="4" w:space="0" w:color="C0C0C0"/>
            </w:tcBorders>
            <w:shd w:val="clear" w:color="auto" w:fill="DCDCDC"/>
            <w:tcMar>
              <w:top w:w="80" w:type="dxa"/>
              <w:left w:w="80" w:type="dxa"/>
              <w:bottom w:w="80" w:type="dxa"/>
              <w:right w:w="80" w:type="dxa"/>
            </w:tcMar>
            <w:vAlign w:val="center"/>
          </w:tcPr>
          <w:p w:rsidR="005109AF" w:rsidRPr="005109AF" w:rsidRDefault="005109AF" w:rsidP="005109AF">
            <w:r w:rsidRPr="005109AF">
              <w:rPr>
                <w:lang w:val="en-US"/>
              </w:rPr>
              <w:t>Total Posts   </w:t>
            </w:r>
          </w:p>
        </w:tc>
        <w:tc>
          <w:tcPr>
            <w:tcW w:w="918" w:type="dxa"/>
            <w:tcBorders>
              <w:top w:val="single" w:sz="4" w:space="0" w:color="C0C0C0"/>
              <w:left w:val="single" w:sz="4" w:space="0" w:color="C0C0C0"/>
              <w:bottom w:val="single" w:sz="4" w:space="0" w:color="C0C0C0"/>
              <w:right w:val="single" w:sz="4" w:space="0" w:color="C0C0C0"/>
            </w:tcBorders>
            <w:shd w:val="clear" w:color="auto" w:fill="DCDCDC"/>
            <w:tcMar>
              <w:top w:w="80" w:type="dxa"/>
              <w:left w:w="80" w:type="dxa"/>
              <w:bottom w:w="80" w:type="dxa"/>
              <w:right w:w="80" w:type="dxa"/>
            </w:tcMar>
            <w:vAlign w:val="center"/>
          </w:tcPr>
          <w:p w:rsidR="005109AF" w:rsidRPr="005109AF" w:rsidRDefault="001D086D" w:rsidP="005109AF">
            <w:r>
              <w:rPr>
                <w:lang w:val="en-US"/>
              </w:rPr>
              <w:t>972</w:t>
            </w:r>
          </w:p>
        </w:tc>
        <w:tc>
          <w:tcPr>
            <w:tcW w:w="1251" w:type="dxa"/>
            <w:tcBorders>
              <w:top w:val="single" w:sz="4" w:space="0" w:color="C0C0C0"/>
              <w:left w:val="single" w:sz="4" w:space="0" w:color="C0C0C0"/>
              <w:bottom w:val="single" w:sz="4" w:space="0" w:color="C0C0C0"/>
              <w:right w:val="single" w:sz="4" w:space="0" w:color="C0C0C0"/>
            </w:tcBorders>
            <w:shd w:val="clear" w:color="auto" w:fill="DCDCDC"/>
            <w:tcMar>
              <w:top w:w="80" w:type="dxa"/>
              <w:left w:w="80" w:type="dxa"/>
              <w:bottom w:w="80" w:type="dxa"/>
              <w:right w:w="80" w:type="dxa"/>
            </w:tcMar>
            <w:vAlign w:val="center"/>
          </w:tcPr>
          <w:p w:rsidR="005109AF" w:rsidRPr="005109AF" w:rsidRDefault="00B57569" w:rsidP="005109AF">
            <w:r>
              <w:rPr>
                <w:lang w:val="en-US"/>
              </w:rPr>
              <w:t>319</w:t>
            </w:r>
          </w:p>
        </w:tc>
        <w:tc>
          <w:tcPr>
            <w:tcW w:w="1397" w:type="dxa"/>
            <w:tcBorders>
              <w:top w:val="single" w:sz="4" w:space="0" w:color="C0C0C0"/>
              <w:left w:val="single" w:sz="4" w:space="0" w:color="C0C0C0"/>
              <w:bottom w:val="single" w:sz="4" w:space="0" w:color="C0C0C0"/>
              <w:right w:val="single" w:sz="4" w:space="0" w:color="C0C0C0"/>
            </w:tcBorders>
            <w:shd w:val="clear" w:color="auto" w:fill="DCDCDC"/>
            <w:tcMar>
              <w:top w:w="80" w:type="dxa"/>
              <w:left w:w="80" w:type="dxa"/>
              <w:bottom w:w="80" w:type="dxa"/>
              <w:right w:w="80" w:type="dxa"/>
            </w:tcMar>
            <w:vAlign w:val="center"/>
          </w:tcPr>
          <w:p w:rsidR="005109AF" w:rsidRPr="005109AF" w:rsidRDefault="00B57569" w:rsidP="005109AF">
            <w:r>
              <w:rPr>
                <w:lang w:val="en-US"/>
              </w:rPr>
              <w:t>32.82</w:t>
            </w:r>
            <w:r w:rsidR="005109AF" w:rsidRPr="005109AF">
              <w:rPr>
                <w:lang w:val="en-US"/>
              </w:rPr>
              <w:t>%</w:t>
            </w:r>
          </w:p>
        </w:tc>
        <w:tc>
          <w:tcPr>
            <w:tcW w:w="1438" w:type="dxa"/>
            <w:tcBorders>
              <w:top w:val="single" w:sz="4" w:space="0" w:color="C0C0C0"/>
              <w:left w:val="single" w:sz="4" w:space="0" w:color="C0C0C0"/>
              <w:bottom w:val="single" w:sz="4" w:space="0" w:color="C0C0C0"/>
              <w:right w:val="single" w:sz="4" w:space="0" w:color="C0C0C0"/>
            </w:tcBorders>
            <w:shd w:val="clear" w:color="auto" w:fill="DCDCDC"/>
            <w:tcMar>
              <w:top w:w="80" w:type="dxa"/>
              <w:left w:w="80" w:type="dxa"/>
              <w:bottom w:w="80" w:type="dxa"/>
              <w:right w:w="80" w:type="dxa"/>
            </w:tcMar>
            <w:vAlign w:val="center"/>
          </w:tcPr>
          <w:p w:rsidR="005109AF" w:rsidRPr="005109AF" w:rsidRDefault="00B57569" w:rsidP="005109AF">
            <w:r>
              <w:rPr>
                <w:lang w:val="en-US"/>
              </w:rPr>
              <w:t>653</w:t>
            </w:r>
          </w:p>
        </w:tc>
        <w:tc>
          <w:tcPr>
            <w:tcW w:w="1989" w:type="dxa"/>
            <w:tcBorders>
              <w:top w:val="single" w:sz="4" w:space="0" w:color="C0C0C0"/>
              <w:left w:val="single" w:sz="4" w:space="0" w:color="C0C0C0"/>
              <w:bottom w:val="single" w:sz="4" w:space="0" w:color="C0C0C0"/>
              <w:right w:val="single" w:sz="4" w:space="0" w:color="C0C0C0"/>
            </w:tcBorders>
            <w:shd w:val="clear" w:color="auto" w:fill="DCDCDC"/>
            <w:tcMar>
              <w:top w:w="80" w:type="dxa"/>
              <w:left w:w="80" w:type="dxa"/>
              <w:bottom w:w="80" w:type="dxa"/>
              <w:right w:w="80" w:type="dxa"/>
            </w:tcMar>
            <w:vAlign w:val="center"/>
          </w:tcPr>
          <w:p w:rsidR="005109AF" w:rsidRPr="005109AF" w:rsidRDefault="00B57569" w:rsidP="005109AF">
            <w:r>
              <w:rPr>
                <w:lang w:val="en-US"/>
              </w:rPr>
              <w:t>67.18</w:t>
            </w:r>
            <w:r w:rsidR="005109AF" w:rsidRPr="005109AF">
              <w:rPr>
                <w:lang w:val="en-US"/>
              </w:rPr>
              <w:t>%</w:t>
            </w:r>
          </w:p>
        </w:tc>
      </w:tr>
    </w:tbl>
    <w:p w:rsidR="005109AF" w:rsidRPr="005109AF" w:rsidRDefault="005109AF" w:rsidP="005109AF">
      <w:pPr>
        <w:rPr>
          <w:b/>
          <w:bCs/>
        </w:rPr>
      </w:pPr>
    </w:p>
    <w:p w:rsidR="005109AF" w:rsidRPr="005109AF" w:rsidRDefault="005109AF" w:rsidP="00E23D96">
      <w:pPr>
        <w:pStyle w:val="Heading2"/>
      </w:pPr>
      <w:r w:rsidRPr="005109AF">
        <w:rPr>
          <w:lang w:val="en-US"/>
        </w:rPr>
        <w:lastRenderedPageBreak/>
        <w:t xml:space="preserve">Findings </w:t>
      </w:r>
    </w:p>
    <w:p w:rsidR="005109AF" w:rsidRPr="005109AF" w:rsidRDefault="00C45BC5" w:rsidP="005109AF">
      <w:pPr>
        <w:rPr>
          <w:lang w:val="en-US"/>
        </w:rPr>
      </w:pPr>
      <w:r>
        <w:rPr>
          <w:lang w:val="en-US"/>
        </w:rPr>
        <w:t>Torbay Council employed 972</w:t>
      </w:r>
      <w:r w:rsidR="00B57569">
        <w:rPr>
          <w:lang w:val="en-US"/>
        </w:rPr>
        <w:t xml:space="preserve"> employees on 31st</w:t>
      </w:r>
      <w:r>
        <w:rPr>
          <w:lang w:val="en-US"/>
        </w:rPr>
        <w:t xml:space="preserve"> March 2020</w:t>
      </w:r>
      <w:r w:rsidR="005109AF" w:rsidRPr="005109AF">
        <w:rPr>
          <w:lang w:val="en-US"/>
        </w:rPr>
        <w:t xml:space="preserve">, as a headcount figure.  This figure does not include our School employees.   </w:t>
      </w:r>
    </w:p>
    <w:p w:rsidR="005109AF" w:rsidRPr="005109AF" w:rsidRDefault="005109AF" w:rsidP="005109AF">
      <w:pPr>
        <w:rPr>
          <w:lang w:val="en-US"/>
        </w:rPr>
      </w:pPr>
      <w:r w:rsidRPr="005109AF">
        <w:rPr>
          <w:lang w:val="en-US"/>
        </w:rPr>
        <w:t>The previous Gender Pa</w:t>
      </w:r>
      <w:r w:rsidR="005853A0">
        <w:rPr>
          <w:lang w:val="en-US"/>
        </w:rPr>
        <w:t>y Gap Report highlighted a -1.06</w:t>
      </w:r>
      <w:r w:rsidRPr="005109AF">
        <w:rPr>
          <w:lang w:val="en-US"/>
        </w:rPr>
        <w:t>% mean ga</w:t>
      </w:r>
      <w:r w:rsidR="005853A0">
        <w:rPr>
          <w:lang w:val="en-US"/>
        </w:rPr>
        <w:t>p in favour of women and a -0.9</w:t>
      </w:r>
      <w:r w:rsidRPr="005109AF">
        <w:rPr>
          <w:lang w:val="en-US"/>
        </w:rPr>
        <w:t xml:space="preserve">% median gap in favour of women, however this years’ </w:t>
      </w:r>
      <w:r w:rsidR="005853A0">
        <w:rPr>
          <w:lang w:val="en-US"/>
        </w:rPr>
        <w:t>figure shows the gap to be -1.3% mean gap and a -2.8</w:t>
      </w:r>
      <w:r w:rsidRPr="005109AF">
        <w:rPr>
          <w:lang w:val="en-US"/>
        </w:rPr>
        <w:t xml:space="preserve">% median gap in favour of women, therefore </w:t>
      </w:r>
      <w:r w:rsidR="005853A0">
        <w:rPr>
          <w:lang w:val="en-US"/>
        </w:rPr>
        <w:t xml:space="preserve">highlights </w:t>
      </w:r>
      <w:r w:rsidRPr="005109AF">
        <w:rPr>
          <w:lang w:val="en-US"/>
        </w:rPr>
        <w:t>a slight</w:t>
      </w:r>
      <w:r w:rsidR="005853A0">
        <w:rPr>
          <w:lang w:val="en-US"/>
        </w:rPr>
        <w:t>ly</w:t>
      </w:r>
      <w:r w:rsidRPr="005109AF">
        <w:rPr>
          <w:lang w:val="en-US"/>
        </w:rPr>
        <w:t xml:space="preserve"> </w:t>
      </w:r>
      <w:r w:rsidR="005853A0">
        <w:rPr>
          <w:lang w:val="en-US"/>
        </w:rPr>
        <w:t xml:space="preserve">larger </w:t>
      </w:r>
      <w:r w:rsidRPr="005109AF">
        <w:rPr>
          <w:lang w:val="en-US"/>
        </w:rPr>
        <w:t>gap between men and women’s pay</w:t>
      </w:r>
      <w:r w:rsidR="005853A0">
        <w:rPr>
          <w:lang w:val="en-US"/>
        </w:rPr>
        <w:t xml:space="preserve"> than last year</w:t>
      </w:r>
      <w:r w:rsidRPr="005109AF">
        <w:rPr>
          <w:lang w:val="en-US"/>
        </w:rPr>
        <w:t xml:space="preserve">.  Although there is still a minimal pay gap in favour of women, this can be attributed to the slight increase in the number of women in the Council’s workforce who occupy managerial and senior managerial roles and who predominantly occupy job roles in the upper quartile.  </w:t>
      </w:r>
    </w:p>
    <w:p w:rsidR="005109AF" w:rsidRPr="005109AF" w:rsidRDefault="005109AF" w:rsidP="005109AF">
      <w:pPr>
        <w:rPr>
          <w:lang w:val="en-US"/>
        </w:rPr>
      </w:pPr>
      <w:r w:rsidRPr="005109AF">
        <w:rPr>
          <w:lang w:val="en-US"/>
        </w:rPr>
        <w:t xml:space="preserve">The Council’s gender pay gap position remains well below the public and private sector averages. </w:t>
      </w:r>
    </w:p>
    <w:p w:rsidR="005109AF" w:rsidRPr="005109AF" w:rsidRDefault="005109AF" w:rsidP="005109AF">
      <w:pPr>
        <w:rPr>
          <w:lang w:val="en-US"/>
        </w:rPr>
      </w:pPr>
      <w:r w:rsidRPr="005109AF">
        <w:rPr>
          <w:lang w:val="en-US"/>
        </w:rPr>
        <w:t xml:space="preserve">The mean gender pay gap for the whole economy (according to the </w:t>
      </w:r>
      <w:r w:rsidR="00C45BC5">
        <w:rPr>
          <w:lang w:val="en-US"/>
        </w:rPr>
        <w:t>2020</w:t>
      </w:r>
      <w:r w:rsidRPr="005109AF">
        <w:rPr>
          <w:lang w:val="en-US"/>
        </w:rPr>
        <w:t xml:space="preserve"> Office for National Statistics (ONS) Annual Survey of Hours and E</w:t>
      </w:r>
      <w:r w:rsidR="005853A0">
        <w:rPr>
          <w:lang w:val="en-US"/>
        </w:rPr>
        <w:t>arnings (ASHE) figures) is 14.6%</w:t>
      </w:r>
      <w:r w:rsidRPr="005109AF">
        <w:rPr>
          <w:lang w:val="en-US"/>
        </w:rPr>
        <w:t xml:space="preserve"> a</w:t>
      </w:r>
      <w:r w:rsidR="005853A0">
        <w:rPr>
          <w:lang w:val="en-US"/>
        </w:rPr>
        <w:t>nd 14.5% for the public sector</w:t>
      </w:r>
      <w:r w:rsidRPr="005109AF">
        <w:rPr>
          <w:lang w:val="en-US"/>
        </w:rPr>
        <w:t xml:space="preserve">. </w:t>
      </w:r>
    </w:p>
    <w:p w:rsidR="005109AF" w:rsidRPr="005109AF" w:rsidRDefault="005109AF" w:rsidP="005109AF">
      <w:pPr>
        <w:rPr>
          <w:lang w:val="en-US"/>
        </w:rPr>
      </w:pPr>
      <w:r w:rsidRPr="005109AF">
        <w:rPr>
          <w:lang w:val="en-US"/>
        </w:rPr>
        <w:t xml:space="preserve">The median gender pay gap for the whole economy (according to the </w:t>
      </w:r>
      <w:r w:rsidR="00C45BC5">
        <w:rPr>
          <w:lang w:val="en-US"/>
        </w:rPr>
        <w:t>2020</w:t>
      </w:r>
      <w:r w:rsidR="005853A0">
        <w:rPr>
          <w:lang w:val="en-US"/>
        </w:rPr>
        <w:t xml:space="preserve"> ONS ASHE figures) is 15.5</w:t>
      </w:r>
      <w:r w:rsidRPr="005109AF">
        <w:rPr>
          <w:lang w:val="en-US"/>
        </w:rPr>
        <w:t>% a</w:t>
      </w:r>
      <w:r w:rsidR="005853A0">
        <w:rPr>
          <w:lang w:val="en-US"/>
        </w:rPr>
        <w:t>nd 15.8% for the public sector</w:t>
      </w:r>
      <w:r w:rsidRPr="005109AF">
        <w:rPr>
          <w:lang w:val="en-US"/>
        </w:rPr>
        <w:t>:-</w:t>
      </w:r>
    </w:p>
    <w:p w:rsidR="005109AF" w:rsidRPr="005109AF" w:rsidRDefault="007C297C" w:rsidP="005109AF">
      <w:pPr>
        <w:rPr>
          <w:lang w:val="en-US"/>
        </w:rPr>
      </w:pPr>
      <w:hyperlink r:id="rId18" w:history="1">
        <w:r w:rsidR="005109AF" w:rsidRPr="005109AF">
          <w:rPr>
            <w:color w:val="5F5F5F" w:themeColor="hyperlink"/>
            <w:u w:val="single"/>
            <w:lang w:val="en-US"/>
          </w:rPr>
          <w:t>https://www.ons.gov.uk/employmentandlabourmarket/peopleinwork/earningsandworkinghours/datasets/annualsurveyofhoursandearningsashegenderpaygaptables</w:t>
        </w:r>
      </w:hyperlink>
    </w:p>
    <w:p w:rsidR="005109AF" w:rsidRPr="005109AF" w:rsidRDefault="005109AF" w:rsidP="005109AF">
      <w:r w:rsidRPr="005109AF">
        <w:rPr>
          <w:lang w:val="en-US"/>
        </w:rPr>
        <w:t xml:space="preserve">The Council introduced a new pay and grading structure in April 2019 and a full equality impact assessment was undertaken to assess any adverse impact </w:t>
      </w:r>
      <w:r w:rsidRPr="005109AF">
        <w:rPr>
          <w:lang w:val="en-US"/>
        </w:rPr>
        <w:lastRenderedPageBreak/>
        <w:t xml:space="preserve">upon certain groups, including a gender analysis.  This has since been reviewed and changes to the Council’s job evaluation conventions have further been consulted on with Trades Unions to ensure that evaluation of any new and existing jobs continues to be fair and equitable. . </w:t>
      </w:r>
    </w:p>
    <w:p w:rsidR="00122CB2" w:rsidRDefault="00122CB2" w:rsidP="005109AF">
      <w:pPr>
        <w:rPr>
          <w:lang w:val="en-US"/>
        </w:rPr>
      </w:pPr>
    </w:p>
    <w:p w:rsidR="005109AF" w:rsidRPr="005109AF" w:rsidRDefault="005109AF" w:rsidP="005109AF">
      <w:r w:rsidRPr="005109AF">
        <w:rPr>
          <w:lang w:val="en-US"/>
        </w:rPr>
        <w:t>In addition to this, the following proposals are put forward to review and minimise any pay gaps going forward:-</w:t>
      </w:r>
    </w:p>
    <w:p w:rsidR="005109AF" w:rsidRDefault="005109AF" w:rsidP="005109AF">
      <w:pPr>
        <w:numPr>
          <w:ilvl w:val="0"/>
          <w:numId w:val="13"/>
        </w:numPr>
        <w:contextualSpacing/>
        <w:rPr>
          <w:lang w:val="en-US"/>
        </w:rPr>
      </w:pPr>
      <w:r w:rsidRPr="005109AF">
        <w:rPr>
          <w:lang w:val="en-US"/>
        </w:rPr>
        <w:t>Review gender pay gap to explore the root causes contributing to any pay gaps and actions required to reduce the gap.</w:t>
      </w:r>
    </w:p>
    <w:p w:rsidR="005853A0" w:rsidRPr="00AF3945" w:rsidRDefault="005853A0" w:rsidP="005109AF">
      <w:pPr>
        <w:numPr>
          <w:ilvl w:val="0"/>
          <w:numId w:val="13"/>
        </w:numPr>
        <w:contextualSpacing/>
        <w:rPr>
          <w:lang w:val="en-US"/>
        </w:rPr>
      </w:pPr>
      <w:r w:rsidRPr="00AF3945">
        <w:rPr>
          <w:lang w:val="en-US"/>
        </w:rPr>
        <w:t>Introduce strategic workforce planning that will support the fairness and equity of pay and development of all employees.</w:t>
      </w:r>
    </w:p>
    <w:p w:rsidR="005109AF" w:rsidRPr="00AF3945" w:rsidRDefault="005109AF" w:rsidP="005109AF">
      <w:pPr>
        <w:numPr>
          <w:ilvl w:val="0"/>
          <w:numId w:val="13"/>
        </w:numPr>
        <w:contextualSpacing/>
        <w:rPr>
          <w:lang w:val="en-US"/>
        </w:rPr>
      </w:pPr>
      <w:r w:rsidRPr="00AF3945">
        <w:rPr>
          <w:lang w:val="en-US"/>
        </w:rPr>
        <w:t>Further work to review our pay and grading structure to ensure that it remains transparent and free from gender bias.</w:t>
      </w:r>
    </w:p>
    <w:p w:rsidR="005109AF" w:rsidRPr="00AF3945" w:rsidRDefault="005109AF" w:rsidP="005109AF">
      <w:pPr>
        <w:numPr>
          <w:ilvl w:val="0"/>
          <w:numId w:val="13"/>
        </w:numPr>
        <w:contextualSpacing/>
        <w:rPr>
          <w:lang w:val="en-US"/>
        </w:rPr>
      </w:pPr>
      <w:r w:rsidRPr="00AF3945">
        <w:rPr>
          <w:lang w:val="en-US"/>
        </w:rPr>
        <w:t>Market Forces and Market Supplement process</w:t>
      </w:r>
      <w:r w:rsidR="005853A0" w:rsidRPr="00AF3945">
        <w:rPr>
          <w:lang w:val="en-US"/>
        </w:rPr>
        <w:t xml:space="preserve"> has been reviewed (J</w:t>
      </w:r>
      <w:r w:rsidR="00A56EE4" w:rsidRPr="00AF3945">
        <w:rPr>
          <w:lang w:val="en-US"/>
        </w:rPr>
        <w:t>anuary 202</w:t>
      </w:r>
      <w:r w:rsidR="005853A0" w:rsidRPr="00AF3945">
        <w:rPr>
          <w:lang w:val="en-US"/>
        </w:rPr>
        <w:t>1)</w:t>
      </w:r>
      <w:r w:rsidRPr="00AF3945">
        <w:rPr>
          <w:lang w:val="en-US"/>
        </w:rPr>
        <w:t xml:space="preserve">, </w:t>
      </w:r>
      <w:r w:rsidR="005853A0" w:rsidRPr="00AF3945">
        <w:rPr>
          <w:lang w:val="en-US"/>
        </w:rPr>
        <w:t xml:space="preserve">however, </w:t>
      </w:r>
      <w:r w:rsidR="00A56EE4" w:rsidRPr="00AF3945">
        <w:rPr>
          <w:lang w:val="en-US"/>
        </w:rPr>
        <w:t xml:space="preserve">we will </w:t>
      </w:r>
      <w:r w:rsidR="005853A0" w:rsidRPr="00AF3945">
        <w:rPr>
          <w:lang w:val="en-US"/>
        </w:rPr>
        <w:t xml:space="preserve">continue to review the </w:t>
      </w:r>
      <w:r w:rsidRPr="00AF3945">
        <w:rPr>
          <w:lang w:val="en-US"/>
        </w:rPr>
        <w:t xml:space="preserve">criteria and the appropriateness of </w:t>
      </w:r>
      <w:r w:rsidR="005853A0" w:rsidRPr="00AF3945">
        <w:rPr>
          <w:lang w:val="en-US"/>
        </w:rPr>
        <w:t xml:space="preserve">these processes </w:t>
      </w:r>
      <w:r w:rsidRPr="00AF3945">
        <w:rPr>
          <w:lang w:val="en-US"/>
        </w:rPr>
        <w:t xml:space="preserve">to ensure they reflect market conditions. </w:t>
      </w:r>
    </w:p>
    <w:p w:rsidR="005109AF" w:rsidRPr="00AF3945" w:rsidRDefault="005109AF" w:rsidP="005109AF">
      <w:pPr>
        <w:numPr>
          <w:ilvl w:val="0"/>
          <w:numId w:val="13"/>
        </w:numPr>
        <w:contextualSpacing/>
        <w:rPr>
          <w:lang w:val="en-US"/>
        </w:rPr>
      </w:pPr>
      <w:r w:rsidRPr="00AF3945">
        <w:rPr>
          <w:lang w:val="en-US"/>
        </w:rPr>
        <w:t>Review of Recruitment Strategy and associated policy and processes</w:t>
      </w:r>
      <w:r w:rsidR="00A56EE4" w:rsidRPr="00AF3945">
        <w:rPr>
          <w:lang w:val="en-US"/>
        </w:rPr>
        <w:t xml:space="preserve"> to ensure that the Council continues to attract and retain a diverse workforce</w:t>
      </w:r>
      <w:r w:rsidRPr="00AF3945">
        <w:rPr>
          <w:lang w:val="en-US"/>
        </w:rPr>
        <w:t>.</w:t>
      </w:r>
    </w:p>
    <w:p w:rsidR="005109AF" w:rsidRPr="005109AF" w:rsidRDefault="005109AF" w:rsidP="005109AF">
      <w:pPr>
        <w:numPr>
          <w:ilvl w:val="0"/>
          <w:numId w:val="13"/>
        </w:numPr>
        <w:contextualSpacing/>
        <w:rPr>
          <w:lang w:val="en-US"/>
        </w:rPr>
      </w:pPr>
      <w:r w:rsidRPr="005109AF">
        <w:rPr>
          <w:lang w:val="en-US"/>
        </w:rPr>
        <w:t>Regular Audits of Job Evaluations Grading outcomes to ensure consistency, fairness and equality of approach and compliance to scheme.</w:t>
      </w:r>
    </w:p>
    <w:p w:rsidR="005109AF" w:rsidRPr="005109AF" w:rsidRDefault="005109AF" w:rsidP="005109AF">
      <w:pPr>
        <w:numPr>
          <w:ilvl w:val="0"/>
          <w:numId w:val="13"/>
        </w:numPr>
        <w:contextualSpacing/>
        <w:rPr>
          <w:lang w:val="en-US"/>
        </w:rPr>
      </w:pPr>
      <w:r w:rsidRPr="005109AF">
        <w:rPr>
          <w:lang w:val="en-US"/>
        </w:rPr>
        <w:t>Implement consistent monitoring of internal promotions and progressions by gender.</w:t>
      </w:r>
    </w:p>
    <w:p w:rsidR="005109AF" w:rsidRPr="005109AF" w:rsidRDefault="005109AF" w:rsidP="005109AF">
      <w:pPr>
        <w:numPr>
          <w:ilvl w:val="0"/>
          <w:numId w:val="13"/>
        </w:numPr>
        <w:contextualSpacing/>
        <w:rPr>
          <w:lang w:val="en-US"/>
        </w:rPr>
      </w:pPr>
      <w:r w:rsidRPr="005109AF">
        <w:rPr>
          <w:lang w:val="en-US"/>
        </w:rPr>
        <w:lastRenderedPageBreak/>
        <w:t xml:space="preserve">Continue to utilise staff development and talent management opportunities (e.g. through </w:t>
      </w:r>
      <w:r w:rsidR="00A56EE4">
        <w:rPr>
          <w:lang w:val="en-US"/>
        </w:rPr>
        <w:t xml:space="preserve">the </w:t>
      </w:r>
      <w:r w:rsidRPr="005109AF">
        <w:rPr>
          <w:lang w:val="en-US"/>
        </w:rPr>
        <w:t>management development programme, appraisals and apprenticeships).</w:t>
      </w:r>
    </w:p>
    <w:p w:rsidR="005109AF" w:rsidRPr="005109AF" w:rsidRDefault="005109AF" w:rsidP="005109AF">
      <w:pPr>
        <w:numPr>
          <w:ilvl w:val="0"/>
          <w:numId w:val="13"/>
        </w:numPr>
        <w:contextualSpacing/>
        <w:rPr>
          <w:lang w:val="en-US"/>
        </w:rPr>
      </w:pPr>
      <w:r w:rsidRPr="005109AF">
        <w:rPr>
          <w:lang w:val="en-US"/>
        </w:rPr>
        <w:t>Continue monitoring the impact of restructures on staff with protected characteristics such as gender.</w:t>
      </w:r>
    </w:p>
    <w:p w:rsidR="005109AF" w:rsidRPr="005109AF" w:rsidRDefault="005109AF" w:rsidP="005109AF">
      <w:pPr>
        <w:numPr>
          <w:ilvl w:val="0"/>
          <w:numId w:val="13"/>
        </w:numPr>
        <w:contextualSpacing/>
      </w:pPr>
      <w:r w:rsidRPr="005109AF">
        <w:rPr>
          <w:lang w:val="en-US"/>
        </w:rPr>
        <w:t xml:space="preserve">The above listed proposals may also be applied to other protected characteristics such as age, disability and ethnicity. </w:t>
      </w:r>
    </w:p>
    <w:p w:rsidR="005109AF" w:rsidRPr="005109AF" w:rsidRDefault="005109AF" w:rsidP="005109AF">
      <w:pPr>
        <w:rPr>
          <w:lang w:val="en-US"/>
        </w:rPr>
      </w:pPr>
    </w:p>
    <w:p w:rsidR="005109AF" w:rsidRPr="005109AF" w:rsidRDefault="005109AF" w:rsidP="005109AF">
      <w:r w:rsidRPr="005109AF">
        <w:rPr>
          <w:lang w:val="en-US"/>
        </w:rPr>
        <w:t>Signed by:-</w:t>
      </w:r>
      <w:r w:rsidR="00D07B97" w:rsidRPr="00D07B97">
        <w:rPr>
          <w:noProof/>
          <w:lang w:eastAsia="en-GB"/>
        </w:rPr>
        <w:t xml:space="preserve"> </w:t>
      </w:r>
      <w:r w:rsidR="00D07B97" w:rsidRPr="000E51D9">
        <w:rPr>
          <w:noProof/>
          <w:lang w:eastAsia="en-GB"/>
        </w:rPr>
        <w:drawing>
          <wp:inline distT="0" distB="0" distL="0" distR="0" wp14:anchorId="56AB375C" wp14:editId="0177B1D2">
            <wp:extent cx="12858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inline>
        </w:drawing>
      </w:r>
    </w:p>
    <w:p w:rsidR="005109AF" w:rsidRPr="005109AF" w:rsidRDefault="005109AF" w:rsidP="005109AF">
      <w:pPr>
        <w:rPr>
          <w:lang w:val="en-US"/>
        </w:rPr>
      </w:pPr>
    </w:p>
    <w:p w:rsidR="005109AF" w:rsidRPr="005109AF" w:rsidRDefault="005109AF" w:rsidP="005109AF">
      <w:r w:rsidRPr="005109AF">
        <w:rPr>
          <w:lang w:val="en-US"/>
        </w:rPr>
        <w:t>Print Name and Job Title:-</w:t>
      </w:r>
      <w:r w:rsidR="00D07B97">
        <w:rPr>
          <w:lang w:val="en-US"/>
        </w:rPr>
        <w:t xml:space="preserve">  ANNE-MARIE BOND, INTERIM CHIEF EXECUTIVE</w:t>
      </w:r>
    </w:p>
    <w:p w:rsidR="005109AF" w:rsidRPr="005109AF" w:rsidRDefault="005109AF" w:rsidP="005109AF">
      <w:pPr>
        <w:rPr>
          <w:lang w:val="en-US"/>
        </w:rPr>
      </w:pPr>
    </w:p>
    <w:p w:rsidR="005109AF" w:rsidRPr="005109AF" w:rsidRDefault="005109AF" w:rsidP="005109AF">
      <w:r w:rsidRPr="005109AF">
        <w:rPr>
          <w:lang w:val="en-US"/>
        </w:rPr>
        <w:t>Date:-</w:t>
      </w:r>
      <w:r w:rsidR="002F1B5A">
        <w:rPr>
          <w:lang w:val="en-US"/>
        </w:rPr>
        <w:t xml:space="preserve">  5</w:t>
      </w:r>
      <w:r w:rsidR="002F1B5A" w:rsidRPr="002F1B5A">
        <w:rPr>
          <w:vertAlign w:val="superscript"/>
          <w:lang w:val="en-US"/>
        </w:rPr>
        <w:t>th</w:t>
      </w:r>
      <w:r w:rsidR="002F1B5A">
        <w:rPr>
          <w:lang w:val="en-US"/>
        </w:rPr>
        <w:t xml:space="preserve"> March 2021</w:t>
      </w:r>
      <w:bookmarkStart w:id="0" w:name="_GoBack"/>
      <w:bookmarkEnd w:id="0"/>
    </w:p>
    <w:p w:rsidR="001B39FF" w:rsidRDefault="001B39FF" w:rsidP="00E23D96">
      <w:pPr>
        <w:pStyle w:val="Heading2"/>
        <w:rPr>
          <w:lang w:val="en-US"/>
        </w:rPr>
      </w:pPr>
    </w:p>
    <w:p w:rsidR="001B39FF" w:rsidRDefault="001B39FF" w:rsidP="00E23D96">
      <w:pPr>
        <w:pStyle w:val="Heading2"/>
        <w:rPr>
          <w:lang w:val="en-US"/>
        </w:rPr>
      </w:pPr>
    </w:p>
    <w:p w:rsidR="005109AF" w:rsidRPr="005109AF" w:rsidRDefault="005109AF" w:rsidP="00E23D96">
      <w:pPr>
        <w:pStyle w:val="Heading2"/>
      </w:pPr>
      <w:r w:rsidRPr="005109AF">
        <w:rPr>
          <w:lang w:val="en-US"/>
        </w:rPr>
        <w:t>Sources of Information:-</w:t>
      </w:r>
    </w:p>
    <w:p w:rsidR="005109AF" w:rsidRPr="005109AF" w:rsidRDefault="005109AF" w:rsidP="005109AF">
      <w:pPr>
        <w:rPr>
          <w:i/>
          <w:iCs/>
          <w:u w:val="single"/>
          <w:lang w:val="en-US"/>
        </w:rPr>
      </w:pPr>
      <w:r w:rsidRPr="005109AF">
        <w:rPr>
          <w:b/>
          <w:bCs/>
          <w:lang w:val="en-US"/>
        </w:rPr>
        <w:t>Equality and Human Rights Commission:-</w:t>
      </w:r>
      <w:hyperlink r:id="rId20" w:history="1">
        <w:r w:rsidRPr="005109AF">
          <w:rPr>
            <w:i/>
            <w:iCs/>
            <w:color w:val="5F5F5F" w:themeColor="hyperlink"/>
            <w:u w:val="single"/>
            <w:lang w:val="en-US"/>
          </w:rPr>
          <w:t>https://www.equalityhumanrights.com/sites/default/files/research-report-109-the-gender-pay-gap.pdf</w:t>
        </w:r>
      </w:hyperlink>
    </w:p>
    <w:p w:rsidR="005109AF" w:rsidRPr="005109AF" w:rsidRDefault="005109AF" w:rsidP="005109AF">
      <w:pPr>
        <w:spacing w:line="276" w:lineRule="auto"/>
        <w:rPr>
          <w:b/>
        </w:rPr>
      </w:pPr>
      <w:r w:rsidRPr="005109AF">
        <w:rPr>
          <w:b/>
        </w:rPr>
        <w:lastRenderedPageBreak/>
        <w:t>ACAS:-</w:t>
      </w:r>
    </w:p>
    <w:p w:rsidR="005109AF" w:rsidRPr="005109AF" w:rsidRDefault="007C297C" w:rsidP="005109AF">
      <w:pPr>
        <w:rPr>
          <w:i/>
          <w:iCs/>
        </w:rPr>
      </w:pPr>
      <w:hyperlink r:id="rId21" w:history="1">
        <w:r w:rsidR="005109AF" w:rsidRPr="005109AF">
          <w:rPr>
            <w:color w:val="5F5F5F" w:themeColor="hyperlink"/>
            <w:u w:val="single"/>
            <w:lang w:val="en-US"/>
          </w:rPr>
          <w:t>https://archive.acas.org.uk/media/4764/Managing-gender-pay-reporting/pdf/Managing_gender_pay_reporting_07.02.19.pdf</w:t>
        </w:r>
      </w:hyperlink>
    </w:p>
    <w:p w:rsidR="005109AF" w:rsidRPr="005109AF" w:rsidRDefault="005109AF" w:rsidP="005109AF">
      <w:pPr>
        <w:rPr>
          <w:i/>
          <w:iCs/>
        </w:rPr>
      </w:pPr>
      <w:r w:rsidRPr="005109AF">
        <w:rPr>
          <w:b/>
          <w:bCs/>
          <w:lang w:val="en-US"/>
        </w:rPr>
        <w:t>Office for National Statistics:-</w:t>
      </w:r>
      <w:hyperlink r:id="rId22" w:history="1">
        <w:r w:rsidRPr="005109AF">
          <w:rPr>
            <w:i/>
            <w:iCs/>
            <w:color w:val="5F5F5F" w:themeColor="hyperlink"/>
            <w:u w:val="single"/>
            <w:lang w:val="en-US"/>
          </w:rPr>
          <w:t>https://www.ons.gov.uk/employmentandlabourmarket/peopleinwork/earningsandworkinghours/bulletins/annualsurveyofhoursandearnings/2017provisionaland2016revisedresults</w:t>
        </w:r>
      </w:hyperlink>
    </w:p>
    <w:p w:rsidR="005109AF" w:rsidRPr="005109AF" w:rsidRDefault="007C297C" w:rsidP="005109AF">
      <w:pPr>
        <w:rPr>
          <w:i/>
          <w:iCs/>
        </w:rPr>
      </w:pPr>
      <w:hyperlink r:id="rId23" w:history="1">
        <w:r w:rsidR="005109AF" w:rsidRPr="005109AF">
          <w:rPr>
            <w:i/>
            <w:iCs/>
            <w:color w:val="5F5F5F" w:themeColor="hyperlink"/>
            <w:u w:val="single"/>
            <w:lang w:val="en-US"/>
          </w:rPr>
          <w:t>https://www.ons.gov.uk/releases/understandingthegenderpaygap</w:t>
        </w:r>
      </w:hyperlink>
    </w:p>
    <w:p w:rsidR="00B57569" w:rsidRDefault="00B57569" w:rsidP="005109AF">
      <w:pPr>
        <w:pBdr>
          <w:bottom w:val="single" w:sz="4" w:space="1" w:color="auto"/>
        </w:pBdr>
        <w:spacing w:after="240"/>
        <w:rPr>
          <w:color w:val="595959" w:themeColor="text1" w:themeTint="A6"/>
          <w:sz w:val="40"/>
          <w:szCs w:val="40"/>
        </w:rPr>
      </w:pPr>
    </w:p>
    <w:p w:rsidR="005109AF" w:rsidRPr="005109AF" w:rsidRDefault="005109AF" w:rsidP="005109AF">
      <w:pPr>
        <w:pBdr>
          <w:bottom w:val="single" w:sz="4" w:space="1" w:color="auto"/>
        </w:pBdr>
        <w:spacing w:after="240"/>
        <w:rPr>
          <w:color w:val="595959" w:themeColor="text1" w:themeTint="A6"/>
          <w:sz w:val="40"/>
          <w:szCs w:val="40"/>
        </w:rPr>
      </w:pPr>
      <w:r w:rsidRPr="005109AF">
        <w:rPr>
          <w:color w:val="595959" w:themeColor="text1" w:themeTint="A6"/>
          <w:sz w:val="40"/>
          <w:szCs w:val="40"/>
        </w:rPr>
        <w:t>Policy F</w:t>
      </w:r>
      <w:r w:rsidRPr="005109AF">
        <w:rPr>
          <w:color w:val="595959" w:themeColor="text1" w:themeTint="A6"/>
          <w:sz w:val="40"/>
          <w:szCs w:val="40"/>
          <w:lang w:val="nl-NL"/>
        </w:rPr>
        <w:t>ee</w:t>
      </w:r>
      <w:r w:rsidRPr="005109AF">
        <w:rPr>
          <w:color w:val="595959" w:themeColor="text1" w:themeTint="A6"/>
          <w:sz w:val="40"/>
          <w:szCs w:val="40"/>
        </w:rPr>
        <w:t>dback</w:t>
      </w:r>
      <w:r w:rsidR="00B57569">
        <w:rPr>
          <w:color w:val="595959" w:themeColor="text1" w:themeTint="A6"/>
          <w:sz w:val="40"/>
          <w:szCs w:val="40"/>
        </w:rPr>
        <w:t xml:space="preserve"> and History</w:t>
      </w:r>
    </w:p>
    <w:p w:rsidR="005109AF" w:rsidRPr="005109AF" w:rsidRDefault="005109AF" w:rsidP="005109AF">
      <w:r w:rsidRPr="005109AF">
        <w:t>Should y</w:t>
      </w:r>
      <w:r w:rsidRPr="005109AF">
        <w:rPr>
          <w:lang w:val="pt-PT"/>
        </w:rPr>
        <w:t>ou h</w:t>
      </w:r>
      <w:r w:rsidRPr="005109AF">
        <w:t xml:space="preserve">ave </w:t>
      </w:r>
      <w:r w:rsidRPr="005109AF">
        <w:rPr>
          <w:lang w:val="en-US"/>
        </w:rPr>
        <w:t>any</w:t>
      </w:r>
      <w:r w:rsidRPr="005109AF">
        <w:t xml:space="preserve"> comments regarding this policy, please address them to the H</w:t>
      </w:r>
      <w:r w:rsidRPr="005109AF">
        <w:rPr>
          <w:lang w:val="de-DE"/>
        </w:rPr>
        <w:t xml:space="preserve">R </w:t>
      </w:r>
      <w:r w:rsidRPr="005109AF">
        <w:t>Policy</w:t>
      </w:r>
    </w:p>
    <w:p w:rsidR="005109AF" w:rsidRPr="005109AF" w:rsidRDefault="005109AF" w:rsidP="005109AF">
      <w:r w:rsidRPr="005109AF">
        <w:t xml:space="preserve">Feedback mailbox </w:t>
      </w:r>
      <w:r w:rsidRPr="005109AF">
        <w:rPr>
          <w:lang w:val="en-US"/>
        </w:rPr>
        <w:t>–</w:t>
      </w:r>
    </w:p>
    <w:p w:rsidR="005109AF" w:rsidRPr="005109AF" w:rsidRDefault="007C297C" w:rsidP="005109AF">
      <w:hyperlink r:id="rId24" w:history="1">
        <w:r w:rsidR="005109AF" w:rsidRPr="005109AF">
          <w:rPr>
            <w:color w:val="5F5F5F" w:themeColor="hyperlink"/>
            <w:u w:val="single"/>
          </w:rPr>
          <w:t>HRpolicy@torbay.gov.uk</w:t>
        </w:r>
      </w:hyperlink>
    </w:p>
    <w:p w:rsidR="005109AF" w:rsidRPr="005109AF" w:rsidRDefault="005109AF" w:rsidP="00E23D96">
      <w:pPr>
        <w:pStyle w:val="Heading3"/>
      </w:pPr>
      <w:r w:rsidRPr="005109AF">
        <w:t>History of Policy Changes</w:t>
      </w:r>
    </w:p>
    <w:p w:rsidR="005109AF" w:rsidRPr="005109AF" w:rsidRDefault="005109AF" w:rsidP="005109AF">
      <w:r w:rsidRPr="005109AF">
        <w:t xml:space="preserve">This policy </w:t>
      </w:r>
      <w:r w:rsidRPr="005109AF">
        <w:rPr>
          <w:lang w:val="en-US"/>
        </w:rPr>
        <w:t>w</w:t>
      </w:r>
      <w:r w:rsidRPr="005109AF">
        <w:t>as first agreed by members of t</w:t>
      </w:r>
      <w:r w:rsidR="00B57569">
        <w:t>he Torbay Joint Consultative Com</w:t>
      </w:r>
      <w:r w:rsidRPr="005109AF">
        <w:t>mitt</w:t>
      </w:r>
      <w:r w:rsidRPr="005109AF">
        <w:rPr>
          <w:lang w:val="nl-NL"/>
        </w:rPr>
        <w:t>ee</w:t>
      </w:r>
      <w:r w:rsidRPr="005109AF">
        <w:t xml:space="preserve"> in March 2012</w:t>
      </w:r>
    </w:p>
    <w:tbl>
      <w:tblPr>
        <w:tblW w:w="10459" w:type="dxa"/>
        <w:tblInd w:w="-5" w:type="dxa"/>
        <w:tblLayout w:type="fixed"/>
        <w:tblCellMar>
          <w:left w:w="0" w:type="dxa"/>
          <w:right w:w="0" w:type="dxa"/>
        </w:tblCellMar>
        <w:tblLook w:val="01E0" w:firstRow="1" w:lastRow="1" w:firstColumn="1" w:lastColumn="1" w:noHBand="0" w:noVBand="0"/>
      </w:tblPr>
      <w:tblGrid>
        <w:gridCol w:w="1418"/>
        <w:gridCol w:w="1701"/>
        <w:gridCol w:w="5103"/>
        <w:gridCol w:w="2237"/>
      </w:tblGrid>
      <w:tr w:rsidR="005109AF" w:rsidRPr="005109AF" w:rsidTr="00755D87">
        <w:trPr>
          <w:trHeight w:hRule="exact" w:val="422"/>
        </w:trPr>
        <w:tc>
          <w:tcPr>
            <w:tcW w:w="141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b/>
                <w:bCs/>
                <w:lang w:val="en-US"/>
              </w:rPr>
              <w:t>Date</w:t>
            </w:r>
          </w:p>
        </w:tc>
        <w:tc>
          <w:tcPr>
            <w:tcW w:w="1701"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b/>
                <w:bCs/>
                <w:lang w:val="en-US"/>
              </w:rPr>
              <w:t>Page</w:t>
            </w:r>
          </w:p>
        </w:tc>
        <w:tc>
          <w:tcPr>
            <w:tcW w:w="510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b/>
                <w:bCs/>
                <w:lang w:val="en-US"/>
              </w:rPr>
              <w:t>Details of Change</w:t>
            </w:r>
          </w:p>
        </w:tc>
        <w:tc>
          <w:tcPr>
            <w:tcW w:w="2237"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b/>
                <w:bCs/>
                <w:lang w:val="en-US"/>
              </w:rPr>
              <w:t>Agreed by:</w:t>
            </w:r>
          </w:p>
        </w:tc>
      </w:tr>
      <w:tr w:rsidR="005109AF" w:rsidRPr="005109AF" w:rsidTr="00755D87">
        <w:trPr>
          <w:trHeight w:hRule="exact" w:val="929"/>
        </w:trPr>
        <w:tc>
          <w:tcPr>
            <w:tcW w:w="141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lastRenderedPageBreak/>
              <w:t>November 2012</w:t>
            </w:r>
          </w:p>
        </w:tc>
        <w:tc>
          <w:tcPr>
            <w:tcW w:w="1701"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Various</w:t>
            </w:r>
          </w:p>
        </w:tc>
        <w:tc>
          <w:tcPr>
            <w:tcW w:w="510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Amendment from Chief Executive to Chief Operating Officer</w:t>
            </w:r>
          </w:p>
        </w:tc>
        <w:tc>
          <w:tcPr>
            <w:tcW w:w="2237"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SSG 8.11.12</w:t>
            </w:r>
          </w:p>
          <w:p w:rsidR="005109AF" w:rsidRPr="005109AF" w:rsidRDefault="005109AF" w:rsidP="005109AF">
            <w:pPr>
              <w:rPr>
                <w:lang w:val="en-US"/>
              </w:rPr>
            </w:pPr>
            <w:r w:rsidRPr="005109AF">
              <w:rPr>
                <w:lang w:val="en-US"/>
              </w:rPr>
              <w:t>Approved by Full Council</w:t>
            </w:r>
          </w:p>
        </w:tc>
      </w:tr>
      <w:tr w:rsidR="005109AF" w:rsidRPr="005109AF" w:rsidTr="00755D87">
        <w:trPr>
          <w:trHeight w:hRule="exact" w:val="1183"/>
        </w:trPr>
        <w:tc>
          <w:tcPr>
            <w:tcW w:w="141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6th December</w:t>
            </w:r>
          </w:p>
          <w:p w:rsidR="005109AF" w:rsidRPr="005109AF" w:rsidRDefault="005109AF" w:rsidP="005109AF">
            <w:pPr>
              <w:rPr>
                <w:lang w:val="en-US"/>
              </w:rPr>
            </w:pPr>
            <w:r w:rsidRPr="005109AF">
              <w:rPr>
                <w:lang w:val="en-US"/>
              </w:rPr>
              <w:t>2012</w:t>
            </w:r>
          </w:p>
        </w:tc>
        <w:tc>
          <w:tcPr>
            <w:tcW w:w="1701"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i/>
                <w:lang w:val="en-US"/>
              </w:rPr>
              <w:t>4-5</w:t>
            </w:r>
          </w:p>
        </w:tc>
        <w:tc>
          <w:tcPr>
            <w:tcW w:w="510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Update to pension ranges re: LGPS contribution rates Addition of Payments upon Termination Section</w:t>
            </w:r>
          </w:p>
        </w:tc>
        <w:tc>
          <w:tcPr>
            <w:tcW w:w="2237"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Approved by Full Council</w:t>
            </w:r>
          </w:p>
        </w:tc>
      </w:tr>
      <w:tr w:rsidR="005109AF" w:rsidRPr="005109AF" w:rsidTr="00755D87">
        <w:trPr>
          <w:trHeight w:hRule="exact" w:val="1003"/>
        </w:trPr>
        <w:tc>
          <w:tcPr>
            <w:tcW w:w="141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6th December</w:t>
            </w:r>
          </w:p>
          <w:p w:rsidR="005109AF" w:rsidRPr="005109AF" w:rsidRDefault="005109AF" w:rsidP="005109AF">
            <w:pPr>
              <w:rPr>
                <w:lang w:val="en-US"/>
              </w:rPr>
            </w:pPr>
            <w:r w:rsidRPr="005109AF">
              <w:rPr>
                <w:lang w:val="en-US"/>
              </w:rPr>
              <w:t>2012</w:t>
            </w:r>
          </w:p>
        </w:tc>
        <w:tc>
          <w:tcPr>
            <w:tcW w:w="1701"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7</w:t>
            </w:r>
          </w:p>
        </w:tc>
        <w:tc>
          <w:tcPr>
            <w:tcW w:w="510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Update to Ratio + Multiplier information (Appendix 2)</w:t>
            </w:r>
          </w:p>
        </w:tc>
        <w:tc>
          <w:tcPr>
            <w:tcW w:w="2237"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Approved by Full Council</w:t>
            </w:r>
          </w:p>
        </w:tc>
      </w:tr>
      <w:tr w:rsidR="005109AF" w:rsidRPr="005109AF" w:rsidTr="00755D87">
        <w:trPr>
          <w:trHeight w:hRule="exact" w:val="1609"/>
        </w:trPr>
        <w:tc>
          <w:tcPr>
            <w:tcW w:w="141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6th December</w:t>
            </w:r>
          </w:p>
          <w:p w:rsidR="005109AF" w:rsidRPr="005109AF" w:rsidRDefault="005109AF" w:rsidP="005109AF">
            <w:pPr>
              <w:rPr>
                <w:lang w:val="en-US"/>
              </w:rPr>
            </w:pPr>
            <w:r w:rsidRPr="005109AF">
              <w:rPr>
                <w:lang w:val="en-US"/>
              </w:rPr>
              <w:t>2012</w:t>
            </w:r>
          </w:p>
        </w:tc>
        <w:tc>
          <w:tcPr>
            <w:tcW w:w="1701"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6</w:t>
            </w:r>
          </w:p>
        </w:tc>
        <w:tc>
          <w:tcPr>
            <w:tcW w:w="510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Update to current salary levels + addition of newly appointed posts (Appendix 1)</w:t>
            </w:r>
          </w:p>
        </w:tc>
        <w:tc>
          <w:tcPr>
            <w:tcW w:w="2237"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Approved by Full Council</w:t>
            </w:r>
          </w:p>
        </w:tc>
      </w:tr>
      <w:tr w:rsidR="005109AF" w:rsidRPr="005109AF" w:rsidTr="00755D87">
        <w:trPr>
          <w:trHeight w:hRule="exact" w:val="1716"/>
        </w:trPr>
        <w:tc>
          <w:tcPr>
            <w:tcW w:w="1418"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5th December</w:t>
            </w:r>
          </w:p>
          <w:p w:rsidR="005109AF" w:rsidRPr="005109AF" w:rsidRDefault="005109AF" w:rsidP="005109AF">
            <w:pPr>
              <w:rPr>
                <w:lang w:val="en-US"/>
              </w:rPr>
            </w:pPr>
            <w:r w:rsidRPr="005109AF">
              <w:rPr>
                <w:lang w:val="en-US"/>
              </w:rPr>
              <w:t>2013</w:t>
            </w:r>
          </w:p>
        </w:tc>
        <w:tc>
          <w:tcPr>
            <w:tcW w:w="1701"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Various</w:t>
            </w:r>
          </w:p>
        </w:tc>
        <w:tc>
          <w:tcPr>
            <w:tcW w:w="5103" w:type="dxa"/>
            <w:tcBorders>
              <w:top w:val="single" w:sz="4" w:space="0" w:color="000000"/>
              <w:left w:val="single" w:sz="4" w:space="0" w:color="000000"/>
              <w:bottom w:val="single" w:sz="4" w:space="0" w:color="000000"/>
              <w:right w:val="single" w:sz="4" w:space="0" w:color="000000"/>
            </w:tcBorders>
          </w:tcPr>
          <w:p w:rsidR="005109AF" w:rsidRPr="005109AF" w:rsidRDefault="005109AF" w:rsidP="005109AF">
            <w:pPr>
              <w:rPr>
                <w:lang w:val="en-US"/>
              </w:rPr>
            </w:pPr>
            <w:r w:rsidRPr="005109AF">
              <w:rPr>
                <w:lang w:val="en-US"/>
              </w:rPr>
              <w:t>Update to current salary levels and reference to Chief Executive Officer throughout.  Inclusion of Public Health information.</w:t>
            </w:r>
          </w:p>
        </w:tc>
        <w:tc>
          <w:tcPr>
            <w:tcW w:w="2237" w:type="dxa"/>
            <w:tcBorders>
              <w:top w:val="single" w:sz="4" w:space="0" w:color="000000"/>
              <w:left w:val="single" w:sz="4" w:space="0" w:color="000000"/>
              <w:bottom w:val="single" w:sz="4" w:space="0" w:color="000000"/>
              <w:right w:val="single" w:sz="4" w:space="0" w:color="000000"/>
            </w:tcBorders>
          </w:tcPr>
          <w:p w:rsidR="005109AF" w:rsidRPr="005109AF" w:rsidRDefault="00755D87" w:rsidP="005109AF">
            <w:pPr>
              <w:rPr>
                <w:lang w:val="en-US"/>
              </w:rPr>
            </w:pPr>
            <w:r>
              <w:rPr>
                <w:lang w:val="en-US"/>
              </w:rPr>
              <w:t xml:space="preserve">To be approved by Full </w:t>
            </w:r>
            <w:r w:rsidR="005109AF" w:rsidRPr="005109AF">
              <w:rPr>
                <w:lang w:val="en-US"/>
              </w:rPr>
              <w:t>Council – 5.12.13</w:t>
            </w:r>
          </w:p>
        </w:tc>
      </w:tr>
    </w:tbl>
    <w:tbl>
      <w:tblPr>
        <w:tblpPr w:leftFromText="180" w:rightFromText="180" w:vertAnchor="text" w:horzAnchor="margin" w:tblpY="1"/>
        <w:tblW w:w="103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1"/>
        <w:gridCol w:w="1645"/>
        <w:gridCol w:w="5082"/>
        <w:gridCol w:w="2242"/>
      </w:tblGrid>
      <w:tr w:rsidR="00B57569" w:rsidRPr="005109AF" w:rsidTr="00B57569">
        <w:trPr>
          <w:trHeight w:hRule="exact" w:val="1369"/>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t>5th December</w:t>
            </w:r>
          </w:p>
          <w:p w:rsidR="00B57569" w:rsidRPr="005109AF" w:rsidRDefault="00B57569" w:rsidP="00B57569">
            <w:r w:rsidRPr="005109AF">
              <w:rPr>
                <w:lang w:val="en-US"/>
              </w:rPr>
              <w:t>2014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r w:rsidRPr="005109AF">
              <w:rPr>
                <w:lang w:val="en-US"/>
              </w:rPr>
              <w:t>Various</w:t>
            </w:r>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260" w:type="dxa"/>
            </w:tcMar>
          </w:tcPr>
          <w:p w:rsidR="00B57569" w:rsidRPr="005109AF" w:rsidRDefault="00B57569" w:rsidP="00B57569">
            <w:r w:rsidRPr="005109AF">
              <w:rPr>
                <w:lang w:val="en-US"/>
              </w:rPr>
              <w:t>Update to current salary levels and pension rates, reference to Executive Head of Commercial Services.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t>To be approved by Full</w:t>
            </w:r>
          </w:p>
          <w:p w:rsidR="00B57569" w:rsidRPr="005109AF" w:rsidRDefault="00B57569" w:rsidP="00B57569">
            <w:r w:rsidRPr="005109AF">
              <w:rPr>
                <w:lang w:val="en-US"/>
              </w:rPr>
              <w:t>Council – 4.12.14</w:t>
            </w:r>
          </w:p>
        </w:tc>
      </w:tr>
      <w:tr w:rsidR="00B57569" w:rsidRPr="005109AF" w:rsidTr="00B57569">
        <w:trPr>
          <w:trHeight w:hRule="exact" w:val="4532"/>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lastRenderedPageBreak/>
              <w:t>November 2015</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r w:rsidRPr="005109AF">
              <w:rPr>
                <w:lang w:val="en-US"/>
              </w:rPr>
              <w:t>Various</w:t>
            </w:r>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115" w:type="dxa"/>
            </w:tcMar>
          </w:tcPr>
          <w:p w:rsidR="00B57569" w:rsidRPr="005109AF" w:rsidRDefault="00B57569" w:rsidP="00B57569">
            <w:r w:rsidRPr="005109AF">
              <w:rPr>
                <w:lang w:val="en-US"/>
              </w:rPr>
              <w:t>-Update to reflect structure changes, e.g. Chief Officer/Head of Paid Service and Assistant Director roles. Reference to National Living Wage from</w:t>
            </w:r>
          </w:p>
          <w:p w:rsidR="00B57569" w:rsidRPr="005109AF" w:rsidRDefault="00B57569" w:rsidP="00B57569">
            <w:r w:rsidRPr="005109AF">
              <w:rPr>
                <w:lang w:val="en-US"/>
              </w:rPr>
              <w:t>1.4.16.</w:t>
            </w:r>
          </w:p>
          <w:p w:rsidR="00B57569" w:rsidRPr="005109AF" w:rsidRDefault="00B57569" w:rsidP="00B57569">
            <w:r w:rsidRPr="005109AF">
              <w:rPr>
                <w:lang w:val="en-US"/>
              </w:rPr>
              <w:t>New section (5) relating to approval process for Chief</w:t>
            </w:r>
          </w:p>
          <w:p w:rsidR="00B57569" w:rsidRPr="005109AF" w:rsidRDefault="00B57569" w:rsidP="00B57569">
            <w:r w:rsidRPr="005109AF">
              <w:rPr>
                <w:lang w:val="en-US"/>
              </w:rPr>
              <w:t>Officer/Head of Paid Service appointments and changes to</w:t>
            </w:r>
          </w:p>
          <w:p w:rsidR="00B57569" w:rsidRPr="005109AF" w:rsidRDefault="00B57569" w:rsidP="00B57569">
            <w:r w:rsidRPr="005109AF">
              <w:rPr>
                <w:lang w:val="en-US"/>
              </w:rPr>
              <w:t>Section 6 (Settlement</w:t>
            </w:r>
          </w:p>
          <w:p w:rsidR="00B57569" w:rsidRPr="005109AF" w:rsidRDefault="00B57569" w:rsidP="00B57569">
            <w:r w:rsidRPr="005109AF">
              <w:rPr>
                <w:lang w:val="en-US"/>
              </w:rPr>
              <w:t>Agreements) to reflect approval process, i.e. delegation to</w:t>
            </w:r>
          </w:p>
          <w:p w:rsidR="00B57569" w:rsidRPr="005109AF" w:rsidRDefault="00B57569" w:rsidP="00B57569">
            <w:r w:rsidRPr="005109AF">
              <w:rPr>
                <w:lang w:val="en-US"/>
              </w:rPr>
              <w:t>Employment Committee for</w:t>
            </w:r>
          </w:p>
          <w:p w:rsidR="00B57569" w:rsidRPr="005109AF" w:rsidRDefault="00B57569" w:rsidP="00B57569">
            <w:r w:rsidRPr="005109AF">
              <w:t>decisions relating to Directors and Assistant Directors.</w:t>
            </w:r>
          </w:p>
          <w:p w:rsidR="00B57569" w:rsidRPr="005109AF" w:rsidRDefault="00B57569" w:rsidP="00B57569">
            <w:r w:rsidRPr="005109AF">
              <w:rPr>
                <w:lang w:val="en-US"/>
              </w:rPr>
              <w:t>Reference to “Openness and</w:t>
            </w:r>
          </w:p>
          <w:p w:rsidR="00B57569" w:rsidRPr="005109AF" w:rsidRDefault="00B57569" w:rsidP="00B57569">
            <w:r w:rsidRPr="005109AF">
              <w:rPr>
                <w:lang w:val="en-US"/>
              </w:rPr>
              <w:t>Accountability in Local Pay: Supplementary Guidance”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t>Approved by Full Council –</w:t>
            </w:r>
          </w:p>
          <w:p w:rsidR="00B57569" w:rsidRPr="005109AF" w:rsidRDefault="00B57569" w:rsidP="00B57569">
            <w:r w:rsidRPr="005109AF">
              <w:rPr>
                <w:lang w:val="en-US"/>
              </w:rPr>
              <w:t>10.12.15</w:t>
            </w:r>
          </w:p>
        </w:tc>
      </w:tr>
      <w:tr w:rsidR="00B57569" w:rsidRPr="005109AF" w:rsidTr="00B57569">
        <w:trPr>
          <w:trHeight w:hRule="exact" w:val="4232"/>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lastRenderedPageBreak/>
              <w:t>February 2017</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r w:rsidRPr="005109AF">
              <w:rPr>
                <w:lang w:val="en-US"/>
              </w:rPr>
              <w:t>Various</w:t>
            </w:r>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321" w:type="dxa"/>
            </w:tcMar>
          </w:tcPr>
          <w:p w:rsidR="00B57569" w:rsidRPr="005109AF" w:rsidRDefault="00B57569" w:rsidP="00B57569">
            <w:r w:rsidRPr="005109AF">
              <w:rPr>
                <w:lang w:val="en-US"/>
              </w:rPr>
              <w:t>Update to reflect change in job title – Chief Officer to Chief Executive.</w:t>
            </w:r>
          </w:p>
          <w:p w:rsidR="00B57569" w:rsidRPr="005109AF" w:rsidRDefault="00B57569" w:rsidP="00B57569">
            <w:r w:rsidRPr="005109AF">
              <w:rPr>
                <w:lang w:val="en-US"/>
              </w:rPr>
              <w:t>Changes to Appendix 1 –</w:t>
            </w:r>
          </w:p>
          <w:p w:rsidR="00B57569" w:rsidRPr="005109AF" w:rsidRDefault="00B57569" w:rsidP="00B57569">
            <w:r w:rsidRPr="005109AF">
              <w:rPr>
                <w:lang w:val="en-US"/>
              </w:rPr>
              <w:t>Multipliers, due to salary pay award in 2016 and introduction of National living Wage. Changes to terms and conditions relating to enhancements and other terms and conditions that have been varied through Collective Consultation.</w:t>
            </w:r>
          </w:p>
          <w:p w:rsidR="00B57569" w:rsidRPr="005109AF" w:rsidRDefault="00B57569" w:rsidP="00B57569">
            <w:r w:rsidRPr="005109AF">
              <w:rPr>
                <w:lang w:val="en-US"/>
              </w:rPr>
              <w:t>Updated to reflect Hay 2016 rates low to medium and spinal scales.</w:t>
            </w:r>
          </w:p>
          <w:p w:rsidR="00B57569" w:rsidRPr="005109AF" w:rsidRDefault="00B57569" w:rsidP="00B57569">
            <w:pPr>
              <w:rPr>
                <w:lang w:val="en-US"/>
              </w:rPr>
            </w:pPr>
            <w:r w:rsidRPr="005109AF">
              <w:rPr>
                <w:lang w:val="en-US"/>
              </w:rPr>
              <w:t>General re-wording to take into account constitution, general</w:t>
            </w:r>
          </w:p>
          <w:p w:rsidR="00B57569" w:rsidRPr="005109AF" w:rsidRDefault="00B57569" w:rsidP="00B57569">
            <w:r w:rsidRPr="005109AF">
              <w:rPr>
                <w:lang w:val="en-US"/>
              </w:rPr>
              <w:t>delegations.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t>Approved by</w:t>
            </w:r>
          </w:p>
          <w:p w:rsidR="00B57569" w:rsidRPr="005109AF" w:rsidRDefault="00B57569" w:rsidP="00B57569">
            <w:r w:rsidRPr="005109AF">
              <w:rPr>
                <w:lang w:val="en-US"/>
              </w:rPr>
              <w:t>Full Council February 2017</w:t>
            </w:r>
          </w:p>
        </w:tc>
      </w:tr>
      <w:tr w:rsidR="00B57569" w:rsidRPr="005109AF" w:rsidTr="00B57569">
        <w:trPr>
          <w:trHeight w:hRule="exact" w:val="4058"/>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t>June 2017</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r w:rsidRPr="005109AF">
              <w:rPr>
                <w:lang w:val="en-US"/>
              </w:rPr>
              <w:t>January 2018</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r w:rsidRPr="005109AF">
              <w:rPr>
                <w:lang w:val="en-US"/>
              </w:rPr>
              <w:lastRenderedPageBreak/>
              <w:t>Wording to 2.5 updated.</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r w:rsidRPr="005109AF">
              <w:rPr>
                <w:lang w:val="en-US"/>
              </w:rPr>
              <w:t xml:space="preserve">Various </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321" w:type="dxa"/>
            </w:tcMar>
          </w:tcPr>
          <w:p w:rsidR="00B57569" w:rsidRPr="005109AF" w:rsidRDefault="00B57569" w:rsidP="00B57569">
            <w:r w:rsidRPr="005109AF">
              <w:rPr>
                <w:lang w:val="en-US"/>
              </w:rPr>
              <w:lastRenderedPageBreak/>
              <w:t>To reflect how Chief Executive salary will be reviewed following recommendation from Employment Committee.</w:t>
            </w:r>
          </w:p>
          <w:p w:rsidR="00B57569" w:rsidRPr="005109AF" w:rsidRDefault="00B57569" w:rsidP="00B57569">
            <w:pPr>
              <w:rPr>
                <w:lang w:val="en-US"/>
              </w:rPr>
            </w:pPr>
          </w:p>
          <w:p w:rsidR="00B57569" w:rsidRPr="005109AF" w:rsidRDefault="00B57569" w:rsidP="00B57569">
            <w:r w:rsidRPr="005109AF">
              <w:rPr>
                <w:lang w:val="en-US"/>
              </w:rPr>
              <w:t>Changes to job titles to reflect Senior Leadership Team restructure.</w:t>
            </w:r>
          </w:p>
          <w:p w:rsidR="00B57569" w:rsidRPr="005109AF" w:rsidRDefault="00B57569" w:rsidP="00B57569">
            <w:r w:rsidRPr="005109AF">
              <w:rPr>
                <w:lang w:val="en-US"/>
              </w:rPr>
              <w:t>Replace external link to Salary Disclosure information.</w:t>
            </w:r>
          </w:p>
          <w:p w:rsidR="00B57569" w:rsidRPr="005109AF" w:rsidRDefault="00B57569" w:rsidP="00B57569">
            <w:r w:rsidRPr="005109AF">
              <w:rPr>
                <w:lang w:val="en-US"/>
              </w:rPr>
              <w:lastRenderedPageBreak/>
              <w:t>Update to pensions contributions information.</w:t>
            </w:r>
          </w:p>
          <w:p w:rsidR="00B57569" w:rsidRPr="005109AF" w:rsidRDefault="00B57569" w:rsidP="00B57569">
            <w:r w:rsidRPr="005109AF">
              <w:rPr>
                <w:lang w:val="en-US"/>
              </w:rPr>
              <w:t>Update to Appendix 1 – multiplier information.</w:t>
            </w:r>
          </w:p>
          <w:p w:rsidR="00B57569" w:rsidRPr="005109AF" w:rsidRDefault="00B57569" w:rsidP="00B57569">
            <w:r w:rsidRPr="005109AF">
              <w:rPr>
                <w:lang w:val="en-US"/>
              </w:rPr>
              <w:t>Inclusion of Appendix 2 – Gender Pay Gap Report</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lastRenderedPageBreak/>
              <w:t>Approved by Full Council 10</w:t>
            </w:r>
            <w:r w:rsidRPr="005109AF">
              <w:rPr>
                <w:vertAlign w:val="superscript"/>
                <w:lang w:val="en-US"/>
              </w:rPr>
              <w:t>th</w:t>
            </w:r>
            <w:r w:rsidRPr="005109AF">
              <w:rPr>
                <w:lang w:val="en-US"/>
              </w:rPr>
              <w:t xml:space="preserve"> May 2017.</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r w:rsidRPr="005109AF">
              <w:rPr>
                <w:lang w:val="en-US"/>
              </w:rPr>
              <w:t>Full Council Approval 22</w:t>
            </w:r>
            <w:r w:rsidRPr="005109AF">
              <w:rPr>
                <w:vertAlign w:val="superscript"/>
                <w:lang w:val="en-US"/>
              </w:rPr>
              <w:t>nd</w:t>
            </w:r>
            <w:r w:rsidRPr="005109AF">
              <w:rPr>
                <w:lang w:val="en-US"/>
              </w:rPr>
              <w:t xml:space="preserve"> February 2018.</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tc>
      </w:tr>
      <w:tr w:rsidR="00B57569" w:rsidRPr="005109AF" w:rsidTr="00B57569">
        <w:trPr>
          <w:trHeight w:hRule="exact" w:val="5503"/>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lastRenderedPageBreak/>
              <w:t>January 2019</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r w:rsidRPr="005109AF">
              <w:rPr>
                <w:lang w:val="en-US"/>
              </w:rPr>
              <w:t>Various</w:t>
            </w:r>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321" w:type="dxa"/>
            </w:tcMar>
          </w:tcPr>
          <w:p w:rsidR="00B57569" w:rsidRPr="005109AF" w:rsidRDefault="00B57569" w:rsidP="00B57569">
            <w:r w:rsidRPr="005109AF">
              <w:rPr>
                <w:lang w:val="en-US"/>
              </w:rPr>
              <w:t>Insertion of new section 2.9 re:- pay and grading structure changes.</w:t>
            </w:r>
          </w:p>
          <w:p w:rsidR="00B57569" w:rsidRPr="005109AF" w:rsidRDefault="00B57569" w:rsidP="00B57569">
            <w:pPr>
              <w:rPr>
                <w:lang w:val="en-US"/>
              </w:rPr>
            </w:pPr>
          </w:p>
          <w:p w:rsidR="00B57569" w:rsidRPr="005109AF" w:rsidRDefault="00B57569" w:rsidP="00B57569">
            <w:r w:rsidRPr="005109AF">
              <w:rPr>
                <w:lang w:val="en-US"/>
              </w:rPr>
              <w:t>Update to Pensions information – Section 3</w:t>
            </w:r>
          </w:p>
          <w:p w:rsidR="00B57569" w:rsidRPr="005109AF" w:rsidRDefault="00B57569" w:rsidP="00B57569">
            <w:pPr>
              <w:rPr>
                <w:lang w:val="en-US"/>
              </w:rPr>
            </w:pPr>
          </w:p>
          <w:p w:rsidR="00B57569" w:rsidRPr="005109AF" w:rsidRDefault="00B57569" w:rsidP="00B57569">
            <w:r w:rsidRPr="005109AF">
              <w:rPr>
                <w:lang w:val="en-US"/>
              </w:rPr>
              <w:t>Update to Appendix 1 – multiplier information.</w:t>
            </w:r>
          </w:p>
          <w:p w:rsidR="00B57569" w:rsidRPr="005109AF" w:rsidRDefault="00B57569" w:rsidP="00B57569">
            <w:r w:rsidRPr="005109AF">
              <w:rPr>
                <w:lang w:val="en-US"/>
              </w:rPr>
              <w:t>Update of Appendix 2 – Gender Pay Gap Report</w:t>
            </w:r>
          </w:p>
          <w:p w:rsidR="00B57569" w:rsidRPr="005109AF" w:rsidRDefault="00B57569" w:rsidP="00B57569">
            <w:r w:rsidRPr="005109AF">
              <w:rPr>
                <w:lang w:val="en-US"/>
              </w:rPr>
              <w:t>Amendment to Scope of Gender Pay Gap Report – pay calculations no longer include Schools data.</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r w:rsidRPr="005109AF">
              <w:rPr>
                <w:lang w:val="en-US"/>
              </w:rPr>
              <w:t>Full Council Approval 21st February 2019.</w:t>
            </w:r>
          </w:p>
        </w:tc>
      </w:tr>
      <w:tr w:rsidR="00B57569" w:rsidRPr="005109AF" w:rsidTr="00B57569">
        <w:trPr>
          <w:trHeight w:hRule="exact" w:val="4232"/>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pPr>
              <w:rPr>
                <w:lang w:val="en-US"/>
              </w:rPr>
            </w:pPr>
            <w:r w:rsidRPr="005109AF">
              <w:rPr>
                <w:lang w:val="en-US"/>
              </w:rPr>
              <w:t>January 2020</w:t>
            </w: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p w:rsidR="00B57569" w:rsidRPr="005109AF" w:rsidRDefault="00B57569" w:rsidP="00B57569">
            <w:pPr>
              <w:rPr>
                <w:lang w:val="en-US"/>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pPr>
              <w:rPr>
                <w:lang w:val="en-US"/>
              </w:rPr>
            </w:pPr>
            <w:r w:rsidRPr="005109AF">
              <w:rPr>
                <w:lang w:val="en-US"/>
              </w:rPr>
              <w:t>Various</w:t>
            </w:r>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321" w:type="dxa"/>
            </w:tcMar>
          </w:tcPr>
          <w:p w:rsidR="00B57569" w:rsidRPr="005109AF" w:rsidRDefault="00B57569" w:rsidP="00B57569">
            <w:r w:rsidRPr="005109AF">
              <w:rPr>
                <w:lang w:val="en-US"/>
              </w:rPr>
              <w:t>Update to Appendix 1 – multiplier information.</w:t>
            </w:r>
          </w:p>
          <w:p w:rsidR="00B57569" w:rsidRPr="005109AF" w:rsidRDefault="00B57569" w:rsidP="00B57569">
            <w:pPr>
              <w:rPr>
                <w:lang w:val="en-US"/>
              </w:rPr>
            </w:pPr>
            <w:r w:rsidRPr="005109AF">
              <w:rPr>
                <w:lang w:val="en-US"/>
              </w:rPr>
              <w:t>Update of Appendix 2 – Gender Pay Gap Report</w:t>
            </w:r>
            <w:r w:rsidR="004A7A63">
              <w:rPr>
                <w:lang w:val="en-US"/>
              </w:rPr>
              <w:t>.</w:t>
            </w:r>
          </w:p>
          <w:p w:rsidR="00B57569" w:rsidRDefault="00B57569" w:rsidP="00B57569">
            <w:pPr>
              <w:rPr>
                <w:lang w:val="en-US"/>
              </w:rPr>
            </w:pPr>
            <w:r w:rsidRPr="005109AF">
              <w:rPr>
                <w:lang w:val="en-US"/>
              </w:rPr>
              <w:t>ONS Annual Earnings Survey Results included for private and public sectors.</w:t>
            </w:r>
          </w:p>
          <w:p w:rsidR="004A7A63" w:rsidRPr="005109AF" w:rsidRDefault="004A7A63" w:rsidP="00B57569"/>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pPr>
              <w:rPr>
                <w:lang w:val="en-US"/>
              </w:rPr>
            </w:pPr>
            <w:r w:rsidRPr="005109AF">
              <w:rPr>
                <w:lang w:val="en-US"/>
              </w:rPr>
              <w:t>Full Council Approval 27th February 2020.</w:t>
            </w:r>
          </w:p>
        </w:tc>
      </w:tr>
      <w:tr w:rsidR="00B57569" w:rsidRPr="005109AF" w:rsidTr="00B57569">
        <w:trPr>
          <w:trHeight w:hRule="exact" w:val="4232"/>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B57569" w:rsidP="00B57569">
            <w:pPr>
              <w:rPr>
                <w:lang w:val="en-US"/>
              </w:rPr>
            </w:pPr>
            <w:r w:rsidRPr="005109AF">
              <w:rPr>
                <w:lang w:val="en-US"/>
              </w:rPr>
              <w:lastRenderedPageBreak/>
              <w:t>January 2021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153" w:type="dxa"/>
              <w:bottom w:w="80" w:type="dxa"/>
              <w:right w:w="80" w:type="dxa"/>
            </w:tcMar>
          </w:tcPr>
          <w:p w:rsidR="00B57569" w:rsidRPr="005109AF" w:rsidRDefault="00B57569" w:rsidP="00B57569">
            <w:pPr>
              <w:rPr>
                <w:lang w:val="en-US"/>
              </w:rPr>
            </w:pPr>
            <w:r w:rsidRPr="005109AF">
              <w:rPr>
                <w:lang w:val="en-US"/>
              </w:rPr>
              <w:t>Various</w:t>
            </w:r>
          </w:p>
        </w:tc>
        <w:tc>
          <w:tcPr>
            <w:tcW w:w="508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321" w:type="dxa"/>
            </w:tcMar>
          </w:tcPr>
          <w:p w:rsidR="00B57569" w:rsidRPr="005109AF" w:rsidRDefault="00B57569" w:rsidP="00B57569">
            <w:pPr>
              <w:rPr>
                <w:lang w:val="en-US"/>
              </w:rPr>
            </w:pPr>
            <w:r w:rsidRPr="005109AF">
              <w:rPr>
                <w:lang w:val="en-US"/>
              </w:rPr>
              <w:t>Update to Appendix 1 – multiplier information.</w:t>
            </w:r>
          </w:p>
          <w:p w:rsidR="00B57569" w:rsidRPr="005109AF" w:rsidRDefault="00B57569" w:rsidP="00B57569">
            <w:pPr>
              <w:rPr>
                <w:lang w:val="en-US"/>
              </w:rPr>
            </w:pPr>
            <w:r w:rsidRPr="005109AF">
              <w:rPr>
                <w:lang w:val="en-US"/>
              </w:rPr>
              <w:t>Update of Appendix 2 – Gender Pay Gap Report</w:t>
            </w:r>
          </w:p>
          <w:p w:rsidR="004A7A63" w:rsidRPr="001B39FF" w:rsidRDefault="00B57569" w:rsidP="00340779">
            <w:pPr>
              <w:rPr>
                <w:lang w:val="en-US"/>
              </w:rPr>
            </w:pPr>
            <w:r w:rsidRPr="005109AF">
              <w:rPr>
                <w:lang w:val="en-US"/>
              </w:rPr>
              <w:t xml:space="preserve">ONS Annual Earnings Survey Results </w:t>
            </w:r>
            <w:r>
              <w:rPr>
                <w:lang w:val="en-US"/>
              </w:rPr>
              <w:t>figures updated</w:t>
            </w:r>
            <w:r w:rsidRPr="005109AF">
              <w:rPr>
                <w:lang w:val="en-US"/>
              </w:rPr>
              <w:t xml:space="preserve"> for private and public sectors.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156" w:type="dxa"/>
              <w:bottom w:w="80" w:type="dxa"/>
              <w:right w:w="80" w:type="dxa"/>
            </w:tcMar>
          </w:tcPr>
          <w:p w:rsidR="00B57569" w:rsidRPr="005109AF" w:rsidRDefault="00605D90" w:rsidP="00B57569">
            <w:pPr>
              <w:rPr>
                <w:lang w:val="en-US"/>
              </w:rPr>
            </w:pPr>
            <w:r>
              <w:rPr>
                <w:lang w:val="en-US"/>
              </w:rPr>
              <w:t>Full Council Approval 25</w:t>
            </w:r>
            <w:r w:rsidR="00B57569" w:rsidRPr="005109AF">
              <w:rPr>
                <w:lang w:val="en-US"/>
              </w:rPr>
              <w:t>th February 2021.</w:t>
            </w:r>
          </w:p>
        </w:tc>
      </w:tr>
    </w:tbl>
    <w:p w:rsidR="00B57569" w:rsidRDefault="00B57569" w:rsidP="00B57569"/>
    <w:p w:rsidR="005109AF" w:rsidRPr="005109AF" w:rsidRDefault="00B57569" w:rsidP="005109AF">
      <w:pPr>
        <w:sectPr w:rsidR="005109AF" w:rsidRPr="005109AF">
          <w:headerReference w:type="default" r:id="rId25"/>
          <w:footerReference w:type="default" r:id="rId26"/>
          <w:pgSz w:w="12240" w:h="15840"/>
          <w:pgMar w:top="1480" w:right="1000" w:bottom="940" w:left="1020" w:header="0" w:footer="545" w:gutter="0"/>
          <w:cols w:space="720"/>
        </w:sectPr>
      </w:pPr>
      <w:r w:rsidRPr="005109AF">
        <w:t>Policy to be revie</w:t>
      </w:r>
      <w:r w:rsidRPr="005109AF">
        <w:rPr>
          <w:lang w:val="en-US"/>
        </w:rPr>
        <w:t>w</w:t>
      </w:r>
      <w:r w:rsidR="009249A7">
        <w:t>ed December 202</w:t>
      </w:r>
      <w:r w:rsidR="001B39FF">
        <w:t>1</w:t>
      </w:r>
    </w:p>
    <w:p w:rsidR="00B57569" w:rsidRPr="00E65E6E" w:rsidRDefault="00B57569" w:rsidP="00755D87"/>
    <w:sectPr w:rsidR="00B57569" w:rsidRPr="00E65E6E" w:rsidSect="00B30DE4">
      <w:headerReference w:type="even" r:id="rId27"/>
      <w:headerReference w:type="default" r:id="rId28"/>
      <w:footerReference w:type="even" r:id="rId29"/>
      <w:footerReference w:type="default" r:id="rId30"/>
      <w:headerReference w:type="first" r:id="rId31"/>
      <w:footerReference w:type="first" r:id="rId32"/>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40" w:rsidRDefault="00800640" w:rsidP="008952DF">
      <w:r>
        <w:separator/>
      </w:r>
    </w:p>
    <w:p w:rsidR="00800640" w:rsidRDefault="00800640"/>
  </w:endnote>
  <w:endnote w:type="continuationSeparator" w:id="0">
    <w:p w:rsidR="00800640" w:rsidRDefault="00800640" w:rsidP="008952DF">
      <w:r>
        <w:continuationSeparator/>
      </w:r>
    </w:p>
    <w:p w:rsidR="00800640" w:rsidRDefault="00800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9249A7">
    <w:pPr>
      <w:spacing w:after="0" w:line="20" w:lineRule="exact"/>
    </w:pPr>
    <w:r>
      <w:rPr>
        <w:noProof/>
        <w:lang w:eastAsia="en-GB"/>
      </w:rPr>
      <mc:AlternateContent>
        <mc:Choice Requires="wps">
          <w:drawing>
            <wp:anchor distT="152400" distB="152400" distL="152400" distR="152400" simplePos="0" relativeHeight="251659264" behindDoc="1" locked="0" layoutInCell="1" allowOverlap="1" wp14:anchorId="15147776" wp14:editId="4D37940D">
              <wp:simplePos x="0" y="0"/>
              <wp:positionH relativeFrom="page">
                <wp:posOffset>6756400</wp:posOffset>
              </wp:positionH>
              <wp:positionV relativeFrom="bottomMargin">
                <wp:align>top</wp:align>
              </wp:positionV>
              <wp:extent cx="257175" cy="180975"/>
              <wp:effectExtent l="0" t="0" r="9525" b="9525"/>
              <wp:wrapNone/>
              <wp:docPr id="1073741826" name="officeArt object"/>
              <wp:cNvGraphicFramePr/>
              <a:graphic xmlns:a="http://schemas.openxmlformats.org/drawingml/2006/main">
                <a:graphicData uri="http://schemas.microsoft.com/office/word/2010/wordprocessingShape">
                  <wps:wsp>
                    <wps:cNvSpPr/>
                    <wps:spPr>
                      <a:xfrm>
                        <a:off x="0" y="0"/>
                        <a:ext cx="257175" cy="180975"/>
                      </a:xfrm>
                      <a:prstGeom prst="rect">
                        <a:avLst/>
                      </a:prstGeom>
                      <a:noFill/>
                      <a:ln w="12700" cap="flat">
                        <a:noFill/>
                        <a:miter lim="400000"/>
                      </a:ln>
                      <a:effectLst/>
                    </wps:spPr>
                    <wps:txbx>
                      <w:txbxContent>
                        <w:p w:rsidR="00BE7EE2" w:rsidRDefault="009249A7">
                          <w:pPr>
                            <w:spacing w:after="0" w:line="246" w:lineRule="exact"/>
                            <w:ind w:left="40"/>
                          </w:pPr>
                          <w:r>
                            <w:rPr>
                              <w:rFonts w:ascii="Arial" w:eastAsia="Arial" w:hAnsi="Arial" w:cs="Arial"/>
                            </w:rPr>
                            <w:fldChar w:fldCharType="begin"/>
                          </w:r>
                          <w:r>
                            <w:rPr>
                              <w:rFonts w:ascii="Arial" w:eastAsia="Arial" w:hAnsi="Arial" w:cs="Arial"/>
                            </w:rPr>
                            <w:instrText xml:space="preserve"> PAGE  \* Arabic </w:instrText>
                          </w:r>
                          <w:r>
                            <w:rPr>
                              <w:rFonts w:ascii="Arial" w:eastAsia="Arial" w:hAnsi="Arial" w:cs="Arial"/>
                            </w:rPr>
                            <w:fldChar w:fldCharType="separate"/>
                          </w:r>
                          <w:r w:rsidR="007C297C">
                            <w:rPr>
                              <w:rFonts w:ascii="Arial" w:eastAsia="Arial" w:hAnsi="Arial" w:cs="Arial"/>
                              <w:noProof/>
                            </w:rPr>
                            <w:t>2</w:t>
                          </w:r>
                          <w:r>
                            <w:rPr>
                              <w:rFonts w:ascii="Arial" w:eastAsia="Arial" w:hAnsi="Arial" w:cs="Arial"/>
                            </w:rPr>
                            <w:fldChar w:fldCharType="end"/>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5147776" id="officeArt object" o:spid="_x0000_s1026" style="position:absolute;margin-left:532pt;margin-top:0;width:20.25pt;height:14.25pt;z-index:-251657216;visibility:visible;mso-wrap-style:square;mso-width-percent:0;mso-height-percent:0;mso-wrap-distance-left:12pt;mso-wrap-distance-top:12pt;mso-wrap-distance-right:12pt;mso-wrap-distance-bottom:12pt;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" filled="f" stroked="f" strokeweight="1pt">
              <v:stroke miterlimit="4"/>
              <v:textbox inset="0,0,0,0">
                <w:txbxContent>
                  <w:p w:rsidR="00BE7EE2" w:rsidRDefault="009249A7">
                    <w:pPr>
                      <w:spacing w:after="0" w:line="246" w:lineRule="exact"/>
                      <w:ind w:left="40"/>
                    </w:pPr>
                    <w:r>
                      <w:rPr>
                        <w:rFonts w:ascii="Arial" w:eastAsia="Arial" w:hAnsi="Arial" w:cs="Arial"/>
                      </w:rPr>
                      <w:fldChar w:fldCharType="begin"/>
                    </w:r>
                    <w:r>
                      <w:rPr>
                        <w:rFonts w:ascii="Arial" w:eastAsia="Arial" w:hAnsi="Arial" w:cs="Arial"/>
                      </w:rPr>
                      <w:instrText xml:space="preserve"> PAGE  \* Arabic </w:instrText>
                    </w:r>
                    <w:r>
                      <w:rPr>
                        <w:rFonts w:ascii="Arial" w:eastAsia="Arial" w:hAnsi="Arial" w:cs="Arial"/>
                      </w:rPr>
                      <w:fldChar w:fldCharType="separate"/>
                    </w:r>
                    <w:r w:rsidR="007C297C">
                      <w:rPr>
                        <w:rFonts w:ascii="Arial" w:eastAsia="Arial" w:hAnsi="Arial" w:cs="Arial"/>
                        <w:noProof/>
                      </w:rPr>
                      <w:t>2</w:t>
                    </w:r>
                    <w:r>
                      <w:rPr>
                        <w:rFonts w:ascii="Arial" w:eastAsia="Arial" w:hAnsi="Arial" w:cs="Arial"/>
                      </w:rPr>
                      <w:fldChar w:fldCharType="end"/>
                    </w:r>
                  </w:p>
                </w:txbxContent>
              </v:textbox>
              <w10:wrap anchorx="page"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BE7EE2">
    <w:pPr>
      <w:spacing w:after="0" w:line="240" w:lineRule="auto"/>
    </w:pPr>
  </w:p>
  <w:p w:rsidR="00BE7EE2" w:rsidRDefault="00BE7EE2"/>
  <w:p w:rsidR="00BE7EE2" w:rsidRDefault="00BE7EE2"/>
  <w:p w:rsidR="00BE7EE2" w:rsidRDefault="00BE7EE2"/>
  <w:p w:rsidR="00BE7EE2" w:rsidRDefault="00BE7EE2"/>
  <w:p w:rsidR="00BE7EE2" w:rsidRDefault="00BE7E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06294"/>
      <w:docPartObj>
        <w:docPartGallery w:val="Page Numbers (Bottom of Page)"/>
        <w:docPartUnique/>
      </w:docPartObj>
    </w:sdtPr>
    <w:sdtEndPr>
      <w:rPr>
        <w:noProof/>
      </w:rPr>
    </w:sdtEndPr>
    <w:sdtContent>
      <w:p w:rsidR="00BE7EE2" w:rsidRDefault="00BE7EE2" w:rsidP="00922CB4">
        <w:pPr>
          <w:pStyle w:val="Footer"/>
          <w:pBdr>
            <w:top w:val="single" w:sz="24" w:space="4" w:color="969696" w:themeColor="accent3"/>
          </w:pBdr>
          <w:jc w:val="center"/>
        </w:pPr>
        <w:r>
          <w:fldChar w:fldCharType="begin"/>
        </w:r>
        <w:r>
          <w:instrText xml:space="preserve"> PAGE   \* MERGEFORMAT </w:instrText>
        </w:r>
        <w:r>
          <w:fldChar w:fldCharType="separate"/>
        </w:r>
        <w:r w:rsidR="00B57569">
          <w:rPr>
            <w:noProof/>
          </w:rPr>
          <w:t>17</w:t>
        </w:r>
        <w:r>
          <w:rPr>
            <w:noProof/>
          </w:rPr>
          <w:fldChar w:fldCharType="end"/>
        </w:r>
      </w:p>
    </w:sdtContent>
  </w:sdt>
  <w:p w:rsidR="00BE7EE2" w:rsidRDefault="00BE7EE2"/>
  <w:p w:rsidR="00BE7EE2" w:rsidRDefault="00BE7E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BE7EE2" w:rsidRDefault="00BE7EE2" w:rsidP="003E72CE">
        <w:pPr>
          <w:pStyle w:val="Footer"/>
          <w:pBdr>
            <w:top w:val="single" w:sz="24" w:space="4" w:color="969696" w:themeColor="accent3"/>
          </w:pBdr>
          <w:jc w:val="center"/>
        </w:pPr>
        <w:r>
          <w:fldChar w:fldCharType="begin"/>
        </w:r>
        <w:r>
          <w:instrText xml:space="preserve"> PAGE   \* MERGEFORMAT </w:instrText>
        </w:r>
        <w:r>
          <w:fldChar w:fldCharType="separate"/>
        </w:r>
        <w:r w:rsidR="007C297C">
          <w:rPr>
            <w:noProof/>
          </w:rPr>
          <w:t>19</w:t>
        </w:r>
        <w:r>
          <w:rPr>
            <w:noProof/>
          </w:rPr>
          <w:fldChar w:fldCharType="end"/>
        </w:r>
      </w:p>
    </w:sdtContent>
  </w:sdt>
  <w:p w:rsidR="00BE7EE2" w:rsidRDefault="00BE7EE2"/>
  <w:p w:rsidR="00BE7EE2" w:rsidRDefault="00BE7E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40" w:rsidRDefault="00800640" w:rsidP="008952DF">
      <w:r>
        <w:separator/>
      </w:r>
    </w:p>
    <w:p w:rsidR="00800640" w:rsidRDefault="00800640"/>
  </w:footnote>
  <w:footnote w:type="continuationSeparator" w:id="0">
    <w:p w:rsidR="00800640" w:rsidRDefault="00800640" w:rsidP="008952DF">
      <w:r>
        <w:continuationSeparator/>
      </w:r>
    </w:p>
    <w:p w:rsidR="00800640" w:rsidRDefault="008006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BE7EE2"/>
  <w:p w:rsidR="00BE7EE2" w:rsidRDefault="00BE7E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BE7EE2">
    <w:pPr>
      <w:spacing w:after="0" w:line="240" w:lineRule="auto"/>
    </w:pPr>
  </w:p>
  <w:p w:rsidR="00BE7EE2" w:rsidRDefault="00BE7EE2"/>
  <w:p w:rsidR="00BE7EE2" w:rsidRDefault="00BE7EE2"/>
  <w:p w:rsidR="00BE7EE2" w:rsidRDefault="00BE7EE2"/>
  <w:p w:rsidR="00BE7EE2" w:rsidRDefault="00BE7EE2"/>
  <w:p w:rsidR="00BE7EE2" w:rsidRDefault="00BE7E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BE7EE2">
    <w:pPr>
      <w:spacing w:after="0" w:line="240" w:lineRule="auto"/>
    </w:pPr>
  </w:p>
  <w:p w:rsidR="00BE7EE2" w:rsidRDefault="00BE7EE2"/>
  <w:p w:rsidR="00BE7EE2" w:rsidRDefault="00BE7E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E2" w:rsidRDefault="00BE7E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pStyle w:val="squarebullets"/>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E5D35"/>
    <w:multiLevelType w:val="hybridMultilevel"/>
    <w:tmpl w:val="0D389CFC"/>
    <w:lvl w:ilvl="0" w:tplc="CBD2AD0A">
      <w:start w:val="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35DD6"/>
    <w:multiLevelType w:val="hybridMultilevel"/>
    <w:tmpl w:val="CBD2C73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3DEF"/>
    <w:multiLevelType w:val="hybridMultilevel"/>
    <w:tmpl w:val="CC9294BE"/>
    <w:lvl w:ilvl="0" w:tplc="21EE11CA">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4C7D34"/>
    <w:multiLevelType w:val="hybridMultilevel"/>
    <w:tmpl w:val="D71027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31B20"/>
    <w:multiLevelType w:val="multilevel"/>
    <w:tmpl w:val="B9DCC13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56EE6"/>
    <w:multiLevelType w:val="hybridMultilevel"/>
    <w:tmpl w:val="C214F38C"/>
    <w:lvl w:ilvl="0" w:tplc="6F20B42E">
      <w:start w:val="8"/>
      <w:numFmt w:val="decimal"/>
      <w:lvlText w:val="%1."/>
      <w:lvlJc w:val="left"/>
      <w:pPr>
        <w:ind w:left="720" w:hanging="360"/>
      </w:pPr>
      <w:rPr>
        <w:rFonts w:eastAsiaTheme="minorEastAsia"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533AAC"/>
    <w:multiLevelType w:val="hybridMultilevel"/>
    <w:tmpl w:val="C1CA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C59D7"/>
    <w:multiLevelType w:val="hybridMultilevel"/>
    <w:tmpl w:val="3C3A01D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3" w15:restartNumberingAfterBreak="0">
    <w:nsid w:val="5F1210A6"/>
    <w:multiLevelType w:val="hybridMultilevel"/>
    <w:tmpl w:val="CA26D052"/>
    <w:lvl w:ilvl="0" w:tplc="B63E212A">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17" w15:restartNumberingAfterBreak="0">
    <w:nsid w:val="68530C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5B7424"/>
    <w:multiLevelType w:val="hybridMultilevel"/>
    <w:tmpl w:val="2312E66C"/>
    <w:lvl w:ilvl="0" w:tplc="C73A7BF0">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267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E3532"/>
    <w:multiLevelType w:val="hybridMultilevel"/>
    <w:tmpl w:val="894E0C8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20"/>
  </w:num>
  <w:num w:numId="4">
    <w:abstractNumId w:val="9"/>
  </w:num>
  <w:num w:numId="5">
    <w:abstractNumId w:val="14"/>
  </w:num>
  <w:num w:numId="6">
    <w:abstractNumId w:val="5"/>
  </w:num>
  <w:num w:numId="7">
    <w:abstractNumId w:val="16"/>
  </w:num>
  <w:num w:numId="8">
    <w:abstractNumId w:val="12"/>
  </w:num>
  <w:num w:numId="9">
    <w:abstractNumId w:val="0"/>
  </w:num>
  <w:num w:numId="10">
    <w:abstractNumId w:val="10"/>
  </w:num>
  <w:num w:numId="11">
    <w:abstractNumId w:val="17"/>
  </w:num>
  <w:num w:numId="12">
    <w:abstractNumId w:val="7"/>
  </w:num>
  <w:num w:numId="13">
    <w:abstractNumId w:val="2"/>
  </w:num>
  <w:num w:numId="14">
    <w:abstractNumId w:val="19"/>
  </w:num>
  <w:num w:numId="15">
    <w:abstractNumId w:val="3"/>
  </w:num>
  <w:num w:numId="16">
    <w:abstractNumId w:val="13"/>
  </w:num>
  <w:num w:numId="17">
    <w:abstractNumId w:val="4"/>
  </w:num>
  <w:num w:numId="18">
    <w:abstractNumId w:val="18"/>
  </w:num>
  <w:num w:numId="19">
    <w:abstractNumId w:val="21"/>
  </w:num>
  <w:num w:numId="20">
    <w:abstractNumId w:val="1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49"/>
    <w:rsid w:val="00010F69"/>
    <w:rsid w:val="0002446C"/>
    <w:rsid w:val="00044FF0"/>
    <w:rsid w:val="00097171"/>
    <w:rsid w:val="00122CB2"/>
    <w:rsid w:val="00172323"/>
    <w:rsid w:val="001B39FF"/>
    <w:rsid w:val="001D086D"/>
    <w:rsid w:val="0025623B"/>
    <w:rsid w:val="002C2314"/>
    <w:rsid w:val="002F1B5A"/>
    <w:rsid w:val="00304F37"/>
    <w:rsid w:val="00324433"/>
    <w:rsid w:val="00340779"/>
    <w:rsid w:val="0039378D"/>
    <w:rsid w:val="0039753E"/>
    <w:rsid w:val="003A4FC8"/>
    <w:rsid w:val="003C41EA"/>
    <w:rsid w:val="003E72CE"/>
    <w:rsid w:val="003F6DC7"/>
    <w:rsid w:val="00492E76"/>
    <w:rsid w:val="004A7A63"/>
    <w:rsid w:val="005109AF"/>
    <w:rsid w:val="00532749"/>
    <w:rsid w:val="00535E8E"/>
    <w:rsid w:val="005853A0"/>
    <w:rsid w:val="005C0FF4"/>
    <w:rsid w:val="005E2D99"/>
    <w:rsid w:val="00605D90"/>
    <w:rsid w:val="00643396"/>
    <w:rsid w:val="006A665A"/>
    <w:rsid w:val="006E1A99"/>
    <w:rsid w:val="0072204F"/>
    <w:rsid w:val="00726EA3"/>
    <w:rsid w:val="00740539"/>
    <w:rsid w:val="00755D87"/>
    <w:rsid w:val="007C297C"/>
    <w:rsid w:val="007C339D"/>
    <w:rsid w:val="00800640"/>
    <w:rsid w:val="0081327A"/>
    <w:rsid w:val="008952DF"/>
    <w:rsid w:val="00922CB4"/>
    <w:rsid w:val="009249A7"/>
    <w:rsid w:val="00994F8F"/>
    <w:rsid w:val="00997D16"/>
    <w:rsid w:val="009B41EF"/>
    <w:rsid w:val="009B7227"/>
    <w:rsid w:val="00A4786A"/>
    <w:rsid w:val="00A56EE4"/>
    <w:rsid w:val="00AF3945"/>
    <w:rsid w:val="00B30DE4"/>
    <w:rsid w:val="00B377FC"/>
    <w:rsid w:val="00B57569"/>
    <w:rsid w:val="00BC4B28"/>
    <w:rsid w:val="00BD41A7"/>
    <w:rsid w:val="00BE7EE2"/>
    <w:rsid w:val="00C00AB0"/>
    <w:rsid w:val="00C20906"/>
    <w:rsid w:val="00C45BC5"/>
    <w:rsid w:val="00C520E4"/>
    <w:rsid w:val="00D04B17"/>
    <w:rsid w:val="00D07B97"/>
    <w:rsid w:val="00DC169F"/>
    <w:rsid w:val="00E078E6"/>
    <w:rsid w:val="00E23D96"/>
    <w:rsid w:val="00E65E6E"/>
    <w:rsid w:val="00E74A9A"/>
    <w:rsid w:val="00EB6BD0"/>
    <w:rsid w:val="00F57485"/>
    <w:rsid w:val="00F87B8D"/>
    <w:rsid w:val="00FC4920"/>
    <w:rsid w:val="00FD0CFB"/>
    <w:rsid w:val="00FD3775"/>
    <w:rsid w:val="00FD4267"/>
    <w:rsid w:val="00FF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B069C8-0C31-47DE-80FE-A5EA3E3D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CB4"/>
    <w:pPr>
      <w:spacing w:line="312" w:lineRule="auto"/>
    </w:pPr>
    <w:rPr>
      <w:sz w:val="24"/>
    </w:rPr>
  </w:style>
  <w:style w:type="paragraph" w:styleId="Heading1">
    <w:name w:val="heading 1"/>
    <w:basedOn w:val="Normal"/>
    <w:next w:val="Normal"/>
    <w:link w:val="Heading1Char"/>
    <w:uiPriority w:val="9"/>
    <w:qFormat/>
    <w:rsid w:val="003A4FC8"/>
    <w:pPr>
      <w:keepNext/>
      <w:keepLines/>
      <w:pBdr>
        <w:bottom w:val="single" w:sz="4" w:space="1" w:color="404040" w:themeColor="text1" w:themeTint="BF"/>
      </w:pBdr>
      <w:spacing w:before="36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BD41A7"/>
    <w:pPr>
      <w:spacing w:before="240" w:after="0"/>
      <w:outlineLvl w:val="2"/>
    </w:pPr>
    <w:rPr>
      <w:b/>
      <w:color w:val="595959" w:themeColor="text1" w:themeTint="A6"/>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7B8D"/>
    <w:pPr>
      <w:ind w:left="720"/>
      <w:contextualSpacing/>
    </w:pPr>
  </w:style>
  <w:style w:type="paragraph" w:customStyle="1" w:styleId="squarebullets">
    <w:name w:val="square bullets"/>
    <w:basedOn w:val="ListParagraph"/>
    <w:qFormat/>
    <w:rsid w:val="00F87B8D"/>
    <w:pPr>
      <w:numPr>
        <w:numId w:val="9"/>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3A4FC8"/>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BD41A7"/>
    <w:rPr>
      <w:b/>
      <w:color w:val="595959" w:themeColor="text1" w:themeTint="A6"/>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locked/>
    <w:rsid w:val="00304F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F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304F37"/>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304F37"/>
    <w:rPr>
      <w:color w:val="5A5A5A" w:themeColor="text1" w:themeTint="A5"/>
      <w:spacing w:val="15"/>
      <w:sz w:val="22"/>
      <w:szCs w:val="22"/>
    </w:rPr>
  </w:style>
  <w:style w:type="character" w:styleId="Hyperlink">
    <w:name w:val="Hyperlink"/>
    <w:basedOn w:val="DefaultParagraphFont"/>
    <w:uiPriority w:val="99"/>
    <w:rsid w:val="005E2D99"/>
    <w:rPr>
      <w:color w:val="5F5F5F" w:themeColor="hyperlink"/>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BD41A7"/>
    <w:pPr>
      <w:pBdr>
        <w:bottom w:val="single" w:sz="4" w:space="1" w:color="auto"/>
      </w:pBdr>
      <w:spacing w:after="240"/>
    </w:pPr>
    <w:rPr>
      <w:color w:val="595959" w:themeColor="text1" w:themeTint="A6"/>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semiHidden/>
    <w:unhideWhenUsed/>
    <w:locked/>
    <w:rsid w:val="00C20906"/>
  </w:style>
  <w:style w:type="character" w:customStyle="1" w:styleId="BodyTextChar">
    <w:name w:val="Body Text Char"/>
    <w:basedOn w:val="DefaultParagraphFont"/>
    <w:link w:val="BodyText"/>
    <w:uiPriority w:val="99"/>
    <w:semiHidden/>
    <w:rsid w:val="00C20906"/>
    <w:rPr>
      <w:sz w:val="24"/>
    </w:rPr>
  </w:style>
  <w:style w:type="table" w:styleId="ListTable4-Accent4">
    <w:name w:val="List Table 4 Accent 4"/>
    <w:basedOn w:val="TableNormal"/>
    <w:uiPriority w:val="49"/>
    <w:rsid w:val="00FC492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3">
    <w:name w:val="List Table 4 Accent 3"/>
    <w:basedOn w:val="TableNormal"/>
    <w:uiPriority w:val="49"/>
    <w:locked/>
    <w:rsid w:val="00FC4920"/>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customStyle="1" w:styleId="ListTable4-Accent41">
    <w:name w:val="List Table 4 - Accent 41"/>
    <w:basedOn w:val="TableNormal"/>
    <w:next w:val="ListTable4-Accent4"/>
    <w:uiPriority w:val="49"/>
    <w:rsid w:val="005109AF"/>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ableGrid1">
    <w:name w:val="Table Grid1"/>
    <w:basedOn w:val="TableNormal"/>
    <w:next w:val="TableGrid"/>
    <w:uiPriority w:val="39"/>
    <w:rsid w:val="00BE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employers.org/-/media/Employers/Documents/Pay-and-reward/Junior-Doctors/FINAL-Pay-and-Conditions-Circular-MD-12017-MARCH-2018.pdf" TargetMode="External"/><Relationship Id="rId18" Type="http://schemas.openxmlformats.org/officeDocument/2006/relationships/hyperlink" Target="https://www.ons.gov.uk/employmentandlabourmarket/peopleinwork/earningsandworkinghours/datasets/annualsurveyofhoursandearningsashegenderpaygaptabl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rchive.acas.org.uk/media/4764/Managing-gender-pay-reporting/pdf/Managing_gender_pay_reporting_07.02.19.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rbay.gov.uk/council/jobs/what-we-offer/salary-and-grades/" TargetMode="External"/><Relationship Id="rId17" Type="http://schemas.openxmlformats.org/officeDocument/2006/relationships/hyperlink" Target="https://www.gov.uk/guidance/gender-pay-gap-reporting-overview"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bay.gov.uk/DemocraticServices/ieDocHome.aspx" TargetMode="External"/><Relationship Id="rId20" Type="http://schemas.openxmlformats.org/officeDocument/2006/relationships/hyperlink" Target="https://www.equalityhumanrights.com/sites/default/files/research-report-109-the-gender-pay-gap.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council/finance/salary-levels/" TargetMode="External"/><Relationship Id="rId24" Type="http://schemas.openxmlformats.org/officeDocument/2006/relationships/hyperlink" Target="mailto:HRpolicy@torbay.gov.uk"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gender-pay-gap.service.gov.uk/" TargetMode="External"/><Relationship Id="rId23" Type="http://schemas.openxmlformats.org/officeDocument/2006/relationships/hyperlink" Target="https://www.ons.gov.uk/releases/understandingthegenderpaygap"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hrpolicy@torbay.gov.uk" TargetMode="External"/><Relationship Id="rId14" Type="http://schemas.openxmlformats.org/officeDocument/2006/relationships/hyperlink" Target="https://www.torbay.gov.uk/council/finance/salary-levels/" TargetMode="External"/><Relationship Id="rId22" Type="http://schemas.openxmlformats.org/officeDocument/2006/relationships/hyperlink" Target="https://www.ons.gov.uk/employmentandlabourmarket/peopleinwork/earningsandworkinghours/bulletins/annualsurveyofhoursandearnings/2017provisionaland2016revisedresults"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047\AppData\Local\Microsoft\Windows\INetCache\Content.Outlook\NX5UMN20\Policy%20Template%202020.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86E3-00D7-40C0-BF84-EFD0D33A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2020</Template>
  <TotalTime>0</TotalTime>
  <Pages>19</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Sandbrook, Jo</dc:creator>
  <cp:keywords/>
  <dc:description/>
  <cp:lastModifiedBy>Sandbrook, Jo</cp:lastModifiedBy>
  <cp:revision>2</cp:revision>
  <dcterms:created xsi:type="dcterms:W3CDTF">2021-03-05T09:56:00Z</dcterms:created>
  <dcterms:modified xsi:type="dcterms:W3CDTF">2021-03-05T09:56:00Z</dcterms:modified>
</cp:coreProperties>
</file>