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4C59" w14:textId="77777777" w:rsidR="00DE4D2A" w:rsidRDefault="00DE4D2A" w:rsidP="00DE4D2A">
      <w:pPr>
        <w:jc w:val="center"/>
        <w:rPr>
          <w:rFonts w:ascii="Arial" w:hAnsi="Arial" w:cs="Arial"/>
          <w:b/>
        </w:rPr>
      </w:pPr>
    </w:p>
    <w:p w14:paraId="6F7BB934" w14:textId="77777777" w:rsidR="00462F97" w:rsidRDefault="00462F97" w:rsidP="00DE4D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B20779">
        <w:rPr>
          <w:rFonts w:ascii="Arial" w:hAnsi="Arial" w:cs="Arial"/>
          <w:b/>
        </w:rPr>
        <w:t xml:space="preserve">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14:paraId="67280812" w14:textId="77777777" w:rsidTr="00AB5E5D">
        <w:tc>
          <w:tcPr>
            <w:tcW w:w="7479" w:type="dxa"/>
            <w:shd w:val="clear" w:color="auto" w:fill="92D050"/>
          </w:tcPr>
          <w:p w14:paraId="787CF753" w14:textId="77777777" w:rsidR="00462F97" w:rsidRDefault="002A0087" w:rsidP="0041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17B30">
              <w:rPr>
                <w:rFonts w:ascii="Arial" w:hAnsi="Arial" w:cs="Arial"/>
                <w:b/>
              </w:rPr>
              <w:t xml:space="preserve">orquay </w:t>
            </w:r>
            <w:r w:rsidR="00344B69">
              <w:rPr>
                <w:rFonts w:ascii="Arial" w:hAnsi="Arial" w:cs="Arial"/>
                <w:b/>
              </w:rPr>
              <w:t>Boys’ Grammar School</w:t>
            </w:r>
          </w:p>
          <w:p w14:paraId="6D2919AB" w14:textId="77777777" w:rsidR="001D6B30" w:rsidRPr="001D6B30" w:rsidRDefault="001D6B30" w:rsidP="00417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B30">
              <w:rPr>
                <w:rFonts w:ascii="Arial" w:hAnsi="Arial" w:cs="Arial"/>
                <w:b/>
                <w:sz w:val="18"/>
                <w:szCs w:val="18"/>
              </w:rPr>
              <w:t>DfES No: 5401</w:t>
            </w:r>
          </w:p>
        </w:tc>
        <w:tc>
          <w:tcPr>
            <w:tcW w:w="3203" w:type="dxa"/>
          </w:tcPr>
          <w:p w14:paraId="5CCAB253" w14:textId="77777777" w:rsidR="00462F97" w:rsidRDefault="002A3E5E" w:rsidP="00602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available</w:t>
            </w:r>
            <w:r w:rsidR="00ED1B40">
              <w:rPr>
                <w:rFonts w:ascii="Arial" w:hAnsi="Arial" w:cs="Arial"/>
              </w:rPr>
              <w:t xml:space="preserve">: </w:t>
            </w:r>
            <w:r w:rsidR="00F642B3">
              <w:rPr>
                <w:rFonts w:ascii="Arial" w:hAnsi="Arial" w:cs="Arial"/>
              </w:rPr>
              <w:t>168</w:t>
            </w:r>
          </w:p>
        </w:tc>
      </w:tr>
      <w:tr w:rsidR="00462F97" w14:paraId="06D165E8" w14:textId="77777777" w:rsidTr="00462F97">
        <w:tc>
          <w:tcPr>
            <w:tcW w:w="7479" w:type="dxa"/>
          </w:tcPr>
          <w:p w14:paraId="05CA864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458E8000" w14:textId="2807D11F" w:rsidR="00462F97" w:rsidRDefault="00EE44A5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</w:tr>
      <w:tr w:rsidR="00462F97" w14:paraId="39A76572" w14:textId="77777777" w:rsidTr="00462F97">
        <w:tc>
          <w:tcPr>
            <w:tcW w:w="7479" w:type="dxa"/>
          </w:tcPr>
          <w:p w14:paraId="2A3F29F5" w14:textId="77777777" w:rsidR="00462F97" w:rsidRDefault="00462F97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54396A14" w14:textId="5053226A" w:rsidR="00462F97" w:rsidRDefault="004E5FA0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</w:tr>
      <w:tr w:rsidR="00462F97" w14:paraId="5803571C" w14:textId="77777777" w:rsidTr="00462F97">
        <w:tc>
          <w:tcPr>
            <w:tcW w:w="7479" w:type="dxa"/>
          </w:tcPr>
          <w:p w14:paraId="65EB9AA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2A3E5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2A3E5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1A9818FD" w14:textId="1C7F2D7F" w:rsidR="00462F97" w:rsidRDefault="005F687C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 (69.4%</w:t>
            </w:r>
            <w:r w:rsidR="00965D85">
              <w:rPr>
                <w:rFonts w:ascii="Arial" w:hAnsi="Arial" w:cs="Arial"/>
              </w:rPr>
              <w:t>)</w:t>
            </w:r>
          </w:p>
        </w:tc>
      </w:tr>
      <w:tr w:rsidR="00462F97" w14:paraId="79677332" w14:textId="77777777" w:rsidTr="00462F97">
        <w:tc>
          <w:tcPr>
            <w:tcW w:w="7479" w:type="dxa"/>
          </w:tcPr>
          <w:p w14:paraId="1331A5A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72AD3216" w14:textId="205C2C9A" w:rsidR="00462F97" w:rsidRDefault="004E5FA0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  <w:tr w:rsidR="00462F97" w14:paraId="371C5C3A" w14:textId="77777777" w:rsidTr="00462F97">
        <w:tc>
          <w:tcPr>
            <w:tcW w:w="7479" w:type="dxa"/>
          </w:tcPr>
          <w:p w14:paraId="10BB3316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A3E5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2A3E5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78A39873" w14:textId="2AD8B0D3" w:rsidR="00462F97" w:rsidRDefault="005F687C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(7%</w:t>
            </w:r>
            <w:r w:rsidR="00965D85">
              <w:rPr>
                <w:rFonts w:ascii="Arial" w:hAnsi="Arial" w:cs="Arial"/>
              </w:rPr>
              <w:t>)</w:t>
            </w:r>
          </w:p>
        </w:tc>
      </w:tr>
      <w:tr w:rsidR="00462F97" w14:paraId="47461B02" w14:textId="77777777" w:rsidTr="00462F97">
        <w:tc>
          <w:tcPr>
            <w:tcW w:w="7479" w:type="dxa"/>
          </w:tcPr>
          <w:p w14:paraId="560AFF0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7EE58C58" w14:textId="0B27DF99" w:rsidR="00462F97" w:rsidRDefault="004E5FA0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62F97" w14:paraId="079E4A80" w14:textId="77777777" w:rsidTr="00462F97">
        <w:tc>
          <w:tcPr>
            <w:tcW w:w="7479" w:type="dxa"/>
          </w:tcPr>
          <w:p w14:paraId="6786EC1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</w:t>
            </w:r>
            <w:r w:rsidR="002A3E5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2A3E5E">
              <w:rPr>
                <w:rFonts w:ascii="Arial" w:hAnsi="Arial" w:cs="Arial"/>
              </w:rPr>
              <w:t>allocated</w:t>
            </w:r>
            <w:r w:rsidR="00F93480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3E1D5DA5" w14:textId="5604638C" w:rsidR="00462F97" w:rsidRDefault="00277A48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F687C">
              <w:rPr>
                <w:rFonts w:ascii="Arial" w:hAnsi="Arial" w:cs="Arial"/>
              </w:rPr>
              <w:t>(0%)</w:t>
            </w:r>
          </w:p>
        </w:tc>
      </w:tr>
      <w:tr w:rsidR="00DE4D2A" w14:paraId="177BDB6E" w14:textId="77777777" w:rsidTr="00462F97">
        <w:tc>
          <w:tcPr>
            <w:tcW w:w="7479" w:type="dxa"/>
          </w:tcPr>
          <w:p w14:paraId="5A4FECBD" w14:textId="1625EAE7" w:rsidR="00DE4D2A" w:rsidRDefault="00DE4D2A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</w:t>
            </w:r>
            <w:r w:rsidR="00C20DA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rth preferences considered </w:t>
            </w:r>
          </w:p>
        </w:tc>
        <w:tc>
          <w:tcPr>
            <w:tcW w:w="3203" w:type="dxa"/>
          </w:tcPr>
          <w:p w14:paraId="473A026D" w14:textId="13B9A748" w:rsidR="00DE4D2A" w:rsidRDefault="004E5FA0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E4D2A" w14:paraId="439F774D" w14:textId="77777777" w:rsidTr="00462F97">
        <w:tc>
          <w:tcPr>
            <w:tcW w:w="7479" w:type="dxa"/>
          </w:tcPr>
          <w:p w14:paraId="35ECA122" w14:textId="47B16022" w:rsidR="00DE4D2A" w:rsidRDefault="00DE4D2A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</w:t>
            </w:r>
            <w:r w:rsidR="00C20DA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rth preferences allocated (percentage allocated) </w:t>
            </w:r>
          </w:p>
        </w:tc>
        <w:tc>
          <w:tcPr>
            <w:tcW w:w="3203" w:type="dxa"/>
          </w:tcPr>
          <w:p w14:paraId="51EE7230" w14:textId="016BC3FC" w:rsidR="00DE4D2A" w:rsidRDefault="00277A48" w:rsidP="00F934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F687C">
              <w:rPr>
                <w:rFonts w:ascii="Arial" w:hAnsi="Arial" w:cs="Arial"/>
              </w:rPr>
              <w:t xml:space="preserve">(0%) </w:t>
            </w:r>
            <w:bookmarkStart w:id="0" w:name="_GoBack"/>
            <w:bookmarkEnd w:id="0"/>
          </w:p>
        </w:tc>
      </w:tr>
    </w:tbl>
    <w:p w14:paraId="5E9CD5E2" w14:textId="77777777" w:rsidR="00462F97" w:rsidRDefault="00462F97" w:rsidP="00462F97">
      <w:pPr>
        <w:rPr>
          <w:rFonts w:ascii="Arial" w:hAnsi="Arial" w:cs="Arial"/>
        </w:rPr>
      </w:pPr>
    </w:p>
    <w:p w14:paraId="41C62095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</w:t>
      </w:r>
      <w:r w:rsidR="002A3E5E">
        <w:rPr>
          <w:rFonts w:ascii="Arial" w:hAnsi="Arial" w:cs="Arial"/>
        </w:rPr>
        <w:t>allocated</w:t>
      </w:r>
      <w:r w:rsidR="007A6CF8">
        <w:rPr>
          <w:rFonts w:ascii="Arial" w:hAnsi="Arial" w:cs="Arial"/>
        </w:rPr>
        <w:t xml:space="preserve">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1"/>
        <w:gridCol w:w="3145"/>
      </w:tblGrid>
      <w:tr w:rsidR="00462F97" w14:paraId="0D92F4FE" w14:textId="77777777" w:rsidTr="003C54B8">
        <w:tc>
          <w:tcPr>
            <w:tcW w:w="7311" w:type="dxa"/>
          </w:tcPr>
          <w:p w14:paraId="68DCDA07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5" w:type="dxa"/>
          </w:tcPr>
          <w:p w14:paraId="7BA53FF1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 xml:space="preserve">Number of places </w:t>
            </w:r>
            <w:r w:rsidR="002A3E5E" w:rsidRPr="002A3E5E">
              <w:rPr>
                <w:rFonts w:ascii="Arial" w:hAnsi="Arial" w:cs="Arial"/>
                <w:b/>
              </w:rPr>
              <w:t>allocated</w:t>
            </w:r>
          </w:p>
        </w:tc>
      </w:tr>
      <w:tr w:rsidR="00BA5423" w14:paraId="7475AB50" w14:textId="77777777" w:rsidTr="003C54B8">
        <w:tc>
          <w:tcPr>
            <w:tcW w:w="7311" w:type="dxa"/>
          </w:tcPr>
          <w:p w14:paraId="59CD723D" w14:textId="77777777" w:rsidR="00BA5423" w:rsidRPr="00C94FB8" w:rsidRDefault="00123043" w:rsidP="00DC1D5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</w:t>
            </w:r>
            <w:r w:rsidR="00DC1D5E">
              <w:rPr>
                <w:rFonts w:ascii="Arial" w:hAnsi="Arial" w:cs="Arial"/>
              </w:rPr>
              <w:t>eligible child</w:t>
            </w:r>
            <w:r>
              <w:rPr>
                <w:rFonts w:ascii="Arial" w:hAnsi="Arial" w:cs="Arial"/>
              </w:rPr>
              <w:t xml:space="preserve"> whose Education, Health and Care Plan names the school.</w:t>
            </w:r>
          </w:p>
        </w:tc>
        <w:tc>
          <w:tcPr>
            <w:tcW w:w="3145" w:type="dxa"/>
          </w:tcPr>
          <w:p w14:paraId="39A47051" w14:textId="5B67176F" w:rsidR="00BA5423" w:rsidRDefault="00611A28" w:rsidP="00901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352298A8" w14:textId="77777777" w:rsidTr="003C54B8">
        <w:tc>
          <w:tcPr>
            <w:tcW w:w="7311" w:type="dxa"/>
          </w:tcPr>
          <w:p w14:paraId="613A1EBC" w14:textId="77777777" w:rsidR="00462F97" w:rsidRPr="00602592" w:rsidRDefault="003C54B8" w:rsidP="00123043">
            <w:pPr>
              <w:spacing w:after="12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Boys who are eligible for admission and </w:t>
            </w:r>
            <w:r w:rsidR="00144FA0">
              <w:rPr>
                <w:rFonts w:ascii="Arial" w:hAnsi="Arial" w:cs="Arial"/>
              </w:rPr>
              <w:t xml:space="preserve">who are </w:t>
            </w:r>
            <w:r w:rsidR="00123043">
              <w:rPr>
                <w:rFonts w:ascii="Arial" w:hAnsi="Arial" w:cs="Arial"/>
              </w:rPr>
              <w:t>in Care or who were in Care but ceased to be in Care</w:t>
            </w:r>
            <w:r w:rsidR="00144FA0">
              <w:rPr>
                <w:rFonts w:ascii="Arial" w:hAnsi="Arial" w:cs="Arial"/>
              </w:rPr>
              <w:t xml:space="preserve"> because they were adopted or made the subject of a child arrangements order or special guardianship order </w:t>
            </w:r>
            <w:r w:rsidR="00AB5E5D" w:rsidRPr="00F95AF8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3145" w:type="dxa"/>
          </w:tcPr>
          <w:p w14:paraId="0DBA0A1C" w14:textId="1CFAEFAB" w:rsidR="00462F97" w:rsidRDefault="00611A28" w:rsidP="00901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4FA0" w14:paraId="5C50AFDE" w14:textId="77777777" w:rsidTr="003C54B8">
        <w:tc>
          <w:tcPr>
            <w:tcW w:w="7311" w:type="dxa"/>
          </w:tcPr>
          <w:p w14:paraId="0B473FA0" w14:textId="77777777" w:rsidR="00144FA0" w:rsidRDefault="003C54B8" w:rsidP="003C54B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Boys who are eligible for admission and </w:t>
            </w:r>
            <w:r w:rsidR="00144FA0">
              <w:rPr>
                <w:rFonts w:ascii="Arial" w:hAnsi="Arial" w:cs="Arial"/>
              </w:rPr>
              <w:t xml:space="preserve">who are eligible for the pupil premium. </w:t>
            </w:r>
          </w:p>
        </w:tc>
        <w:tc>
          <w:tcPr>
            <w:tcW w:w="3145" w:type="dxa"/>
          </w:tcPr>
          <w:p w14:paraId="47608164" w14:textId="61C92DA3" w:rsidR="00144FA0" w:rsidRDefault="00611A28" w:rsidP="00901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62F97" w14:paraId="4F0D8A85" w14:textId="77777777" w:rsidTr="003C54B8">
        <w:tc>
          <w:tcPr>
            <w:tcW w:w="7311" w:type="dxa"/>
          </w:tcPr>
          <w:p w14:paraId="1E77CFFC" w14:textId="77777777" w:rsidR="00462F97" w:rsidRPr="003D384A" w:rsidRDefault="003C54B8" w:rsidP="003C54B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boys who are eligible for admission</w:t>
            </w:r>
          </w:p>
        </w:tc>
        <w:tc>
          <w:tcPr>
            <w:tcW w:w="3145" w:type="dxa"/>
          </w:tcPr>
          <w:p w14:paraId="7572C572" w14:textId="1762F7BA" w:rsidR="00462F97" w:rsidRDefault="00611A28" w:rsidP="00901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</w:tr>
      <w:tr w:rsidR="00462F97" w14:paraId="730D70A5" w14:textId="77777777" w:rsidTr="003C54B8">
        <w:tc>
          <w:tcPr>
            <w:tcW w:w="7311" w:type="dxa"/>
          </w:tcPr>
          <w:p w14:paraId="5587DD91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5" w:type="dxa"/>
          </w:tcPr>
          <w:p w14:paraId="584BE7EE" w14:textId="563BFBE8" w:rsidR="00462F97" w:rsidRPr="0090197D" w:rsidRDefault="00611A28" w:rsidP="009019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</w:p>
        </w:tc>
      </w:tr>
    </w:tbl>
    <w:p w14:paraId="65A76C51" w14:textId="77777777" w:rsidR="00462F97" w:rsidRPr="00462F97" w:rsidRDefault="00462F97" w:rsidP="00462F97">
      <w:pPr>
        <w:rPr>
          <w:rFonts w:ascii="Arial" w:hAnsi="Arial" w:cs="Arial"/>
        </w:rPr>
      </w:pPr>
    </w:p>
    <w:p w14:paraId="62F33B5C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Last place </w:t>
      </w:r>
      <w:r w:rsidR="002A3E5E" w:rsidRPr="002A3E5E">
        <w:rPr>
          <w:rFonts w:ascii="Arial" w:hAnsi="Arial" w:cs="Arial"/>
          <w:b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090F3F9C" w14:textId="77777777" w:rsidTr="00462F97">
        <w:tc>
          <w:tcPr>
            <w:tcW w:w="7479" w:type="dxa"/>
          </w:tcPr>
          <w:p w14:paraId="283933C1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35834C34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5AB3E436" w14:textId="77777777" w:rsidTr="00462F97">
        <w:tc>
          <w:tcPr>
            <w:tcW w:w="7479" w:type="dxa"/>
          </w:tcPr>
          <w:p w14:paraId="2907F98C" w14:textId="77777777"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31FD3A57" w14:textId="77777777" w:rsidR="00462F97" w:rsidRPr="0090197D" w:rsidRDefault="00462F97" w:rsidP="0090197D">
            <w:pPr>
              <w:jc w:val="center"/>
              <w:rPr>
                <w:rFonts w:ascii="Arial" w:hAnsi="Arial" w:cs="Arial"/>
              </w:rPr>
            </w:pPr>
          </w:p>
        </w:tc>
      </w:tr>
      <w:tr w:rsidR="00BA5423" w14:paraId="61D80830" w14:textId="77777777" w:rsidTr="00462F97">
        <w:tc>
          <w:tcPr>
            <w:tcW w:w="7479" w:type="dxa"/>
          </w:tcPr>
          <w:p w14:paraId="4246C5D5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30204A88" w14:textId="563BE519" w:rsidR="00BA5423" w:rsidRDefault="00611A28" w:rsidP="007C46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37BF0FE6" w14:textId="77777777" w:rsidR="00462F97" w:rsidRDefault="00462F97" w:rsidP="00462F97">
      <w:pPr>
        <w:rPr>
          <w:rFonts w:ascii="Arial" w:hAnsi="Arial" w:cs="Arial"/>
          <w:b/>
        </w:rPr>
      </w:pPr>
    </w:p>
    <w:p w14:paraId="37D1CB10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13DB" w14:textId="77777777" w:rsidR="003D50CB" w:rsidRDefault="003D50CB" w:rsidP="003D50CB">
      <w:pPr>
        <w:spacing w:after="0" w:line="240" w:lineRule="auto"/>
      </w:pPr>
      <w:r>
        <w:separator/>
      </w:r>
    </w:p>
  </w:endnote>
  <w:endnote w:type="continuationSeparator" w:id="0">
    <w:p w14:paraId="011563F4" w14:textId="77777777" w:rsidR="003D50CB" w:rsidRDefault="003D50CB" w:rsidP="003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2171" w14:textId="77777777" w:rsidR="003D50CB" w:rsidRDefault="003D50CB" w:rsidP="003D50CB">
      <w:pPr>
        <w:spacing w:after="0" w:line="240" w:lineRule="auto"/>
      </w:pPr>
      <w:r>
        <w:separator/>
      </w:r>
    </w:p>
  </w:footnote>
  <w:footnote w:type="continuationSeparator" w:id="0">
    <w:p w14:paraId="1DA527FF" w14:textId="77777777" w:rsidR="003D50CB" w:rsidRDefault="003D50CB" w:rsidP="003D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A8CF" w14:textId="77777777" w:rsidR="003D50CB" w:rsidRDefault="003D50CB">
    <w:pPr>
      <w:pStyle w:val="Header"/>
    </w:pPr>
    <w:r w:rsidRPr="001A6C78">
      <w:rPr>
        <w:noProof/>
        <w:lang w:eastAsia="en-GB"/>
      </w:rPr>
      <w:drawing>
        <wp:inline distT="0" distB="0" distL="0" distR="0" wp14:anchorId="3603A349" wp14:editId="449C0362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2F95"/>
    <w:rsid w:val="00093D78"/>
    <w:rsid w:val="00097225"/>
    <w:rsid w:val="00123043"/>
    <w:rsid w:val="00144FA0"/>
    <w:rsid w:val="001D6B30"/>
    <w:rsid w:val="002112DA"/>
    <w:rsid w:val="002355C1"/>
    <w:rsid w:val="00277A48"/>
    <w:rsid w:val="002A0087"/>
    <w:rsid w:val="002A3E5E"/>
    <w:rsid w:val="00344B69"/>
    <w:rsid w:val="00372918"/>
    <w:rsid w:val="003921EF"/>
    <w:rsid w:val="003C54B8"/>
    <w:rsid w:val="003D384A"/>
    <w:rsid w:val="003D50CB"/>
    <w:rsid w:val="003D7D7E"/>
    <w:rsid w:val="00417B30"/>
    <w:rsid w:val="00462F97"/>
    <w:rsid w:val="004E5FA0"/>
    <w:rsid w:val="00511303"/>
    <w:rsid w:val="005919F4"/>
    <w:rsid w:val="005F687C"/>
    <w:rsid w:val="00602592"/>
    <w:rsid w:val="00611A28"/>
    <w:rsid w:val="00630D28"/>
    <w:rsid w:val="006465FE"/>
    <w:rsid w:val="006529B1"/>
    <w:rsid w:val="006A3964"/>
    <w:rsid w:val="006A6F4A"/>
    <w:rsid w:val="006D6A8D"/>
    <w:rsid w:val="0075418D"/>
    <w:rsid w:val="007A6CF8"/>
    <w:rsid w:val="007B12BC"/>
    <w:rsid w:val="007C465F"/>
    <w:rsid w:val="0084376E"/>
    <w:rsid w:val="00864BFA"/>
    <w:rsid w:val="008D092B"/>
    <w:rsid w:val="0090197D"/>
    <w:rsid w:val="009055C0"/>
    <w:rsid w:val="009409A1"/>
    <w:rsid w:val="00945049"/>
    <w:rsid w:val="009612D7"/>
    <w:rsid w:val="00961804"/>
    <w:rsid w:val="00962FCA"/>
    <w:rsid w:val="00965D85"/>
    <w:rsid w:val="009F135D"/>
    <w:rsid w:val="00A00CBB"/>
    <w:rsid w:val="00AB5E5D"/>
    <w:rsid w:val="00AD7485"/>
    <w:rsid w:val="00B20779"/>
    <w:rsid w:val="00B33821"/>
    <w:rsid w:val="00BA5423"/>
    <w:rsid w:val="00C20DA8"/>
    <w:rsid w:val="00C2662F"/>
    <w:rsid w:val="00C560F9"/>
    <w:rsid w:val="00C920BF"/>
    <w:rsid w:val="00CA29AD"/>
    <w:rsid w:val="00CF2F3B"/>
    <w:rsid w:val="00D40EC2"/>
    <w:rsid w:val="00DC1D5E"/>
    <w:rsid w:val="00DE48CA"/>
    <w:rsid w:val="00DE4D2A"/>
    <w:rsid w:val="00DE65BA"/>
    <w:rsid w:val="00E20123"/>
    <w:rsid w:val="00E35E88"/>
    <w:rsid w:val="00EA4271"/>
    <w:rsid w:val="00ED1B40"/>
    <w:rsid w:val="00EE44A5"/>
    <w:rsid w:val="00F642B3"/>
    <w:rsid w:val="00F93480"/>
    <w:rsid w:val="00FC2863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B528"/>
  <w15:docId w15:val="{29615B67-651D-40AF-8634-DD689F7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CB"/>
  </w:style>
  <w:style w:type="paragraph" w:styleId="Footer">
    <w:name w:val="footer"/>
    <w:basedOn w:val="Normal"/>
    <w:link w:val="FooterChar"/>
    <w:uiPriority w:val="99"/>
    <w:unhideWhenUsed/>
    <w:rsid w:val="003D5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A4B3D0F3F949A9A18898254D7FD0" ma:contentTypeVersion="9" ma:contentTypeDescription="Create a new document." ma:contentTypeScope="" ma:versionID="aedb747d175feae7651ff736df398ad4">
  <xsd:schema xmlns:xsd="http://www.w3.org/2001/XMLSchema" xmlns:xs="http://www.w3.org/2001/XMLSchema" xmlns:p="http://schemas.microsoft.com/office/2006/metadata/properties" xmlns:ns3="98a522b1-132c-4876-b16c-269abd19beaa" targetNamespace="http://schemas.microsoft.com/office/2006/metadata/properties" ma:root="true" ma:fieldsID="2818bec93a194e32c31df3541eab0a1b" ns3:_="">
    <xsd:import namespace="98a522b1-132c-4876-b16c-269abd19b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22b1-132c-4876-b16c-269abd19b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159C0-E3F5-48FF-AABC-595CEC3778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8a522b1-132c-4876-b16c-269abd19be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9E7D80-17B6-4707-AE95-69FEEBCF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522b1-132c-4876-b16c-269abd19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DBC83-5A6C-4890-937C-6820049E5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Prince, Paula</cp:lastModifiedBy>
  <cp:revision>12</cp:revision>
  <dcterms:created xsi:type="dcterms:W3CDTF">2021-02-25T10:16:00Z</dcterms:created>
  <dcterms:modified xsi:type="dcterms:W3CDTF">2021-02-26T12:16:00Z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0x0101002832A4B3D0F3F949A9A18898254D7FD0</vt:lpwstr>
  </property>
  <property fmtid="{D5CDD505-2E9C-101B-9397-08002B2CF9AE}" pid="4" name="_AdHocReviewCycleID">
    <vt:i4>-235784388</vt:i4>
  </property>
  <property fmtid="{D5CDD505-2E9C-101B-9397-08002B2CF9AE}" pid="5" name="_EmailSubject">
    <vt:lpwstr>Torbay School Admissions - Secondary Transfer 2021 </vt:lpwstr>
  </property>
  <property fmtid="{D5CDD505-2E9C-101B-9397-08002B2CF9AE}" pid="6" name="_AuthorEmail">
    <vt:lpwstr>Paula.Prince@torbay.gov.uk</vt:lpwstr>
  </property>
  <property fmtid="{D5CDD505-2E9C-101B-9397-08002B2CF9AE}" pid="7" name="_AuthorEmailDisplayName">
    <vt:lpwstr>Prince, Paula</vt:lpwstr>
  </property>
</Properties>
</file>