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1926841"/>
        <w:docPartObj>
          <w:docPartGallery w:val="Cover Pages"/>
          <w:docPartUnique/>
        </w:docPartObj>
      </w:sdtPr>
      <w:sdtEndPr>
        <w:rPr>
          <w:lang w:val="en-US" w:eastAsia="en-US"/>
        </w:rPr>
      </w:sdtEndPr>
      <w:sdtContent>
        <w:p w14:paraId="0273E612" w14:textId="77777777" w:rsidR="00C46327" w:rsidRDefault="00C46327">
          <w:r>
            <w:rPr>
              <w:noProof/>
            </w:rPr>
            <mc:AlternateContent>
              <mc:Choice Requires="wpg">
                <w:drawing>
                  <wp:anchor distT="0" distB="0" distL="114300" distR="114300" simplePos="0" relativeHeight="251662336" behindDoc="0" locked="0" layoutInCell="1" allowOverlap="1" wp14:anchorId="33D180CA" wp14:editId="0746A55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63DB55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3C42D4C6" wp14:editId="783AA1D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91D3B" w14:textId="77777777" w:rsidR="00C46327" w:rsidRDefault="001F217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C4179">
                                      <w:rPr>
                                        <w:caps/>
                                        <w:color w:val="5B9BD5" w:themeColor="accent1"/>
                                        <w:sz w:val="64"/>
                                        <w:szCs w:val="64"/>
                                      </w:rPr>
                                      <w:t>Spatial Planning Enforcement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734417" w14:textId="77777777" w:rsidR="00C46327" w:rsidRDefault="000C4179">
                                    <w:pPr>
                                      <w:jc w:val="right"/>
                                      <w:rPr>
                                        <w:smallCaps/>
                                        <w:color w:val="404040" w:themeColor="text1" w:themeTint="BF"/>
                                        <w:sz w:val="36"/>
                                        <w:szCs w:val="36"/>
                                      </w:rPr>
                                    </w:pPr>
                                    <w:r>
                                      <w:rPr>
                                        <w:color w:val="404040" w:themeColor="text1" w:themeTint="BF"/>
                                        <w:sz w:val="36"/>
                                        <w:szCs w:val="36"/>
                                      </w:rPr>
                                      <w:t>Torbay Council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C42D4C6"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55C91D3B" w14:textId="77777777" w:rsidR="00C46327" w:rsidRDefault="001F217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C4179">
                                <w:rPr>
                                  <w:caps/>
                                  <w:color w:val="5B9BD5" w:themeColor="accent1"/>
                                  <w:sz w:val="64"/>
                                  <w:szCs w:val="64"/>
                                </w:rPr>
                                <w:t>Spatial Planning Enforcement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F734417" w14:textId="77777777" w:rsidR="00C46327" w:rsidRDefault="000C4179">
                              <w:pPr>
                                <w:jc w:val="right"/>
                                <w:rPr>
                                  <w:smallCaps/>
                                  <w:color w:val="404040" w:themeColor="text1" w:themeTint="BF"/>
                                  <w:sz w:val="36"/>
                                  <w:szCs w:val="36"/>
                                </w:rPr>
                              </w:pPr>
                              <w:r>
                                <w:rPr>
                                  <w:color w:val="404040" w:themeColor="text1" w:themeTint="BF"/>
                                  <w:sz w:val="36"/>
                                  <w:szCs w:val="36"/>
                                </w:rPr>
                                <w:t>Torbay Council</w:t>
                              </w:r>
                            </w:p>
                          </w:sdtContent>
                        </w:sdt>
                      </w:txbxContent>
                    </v:textbox>
                    <w10:wrap type="square" anchorx="page" anchory="page"/>
                  </v:shape>
                </w:pict>
              </mc:Fallback>
            </mc:AlternateContent>
          </w:r>
        </w:p>
        <w:p w14:paraId="334DF3DE" w14:textId="77777777" w:rsidR="000F0947" w:rsidRPr="005C2772" w:rsidRDefault="00C46327" w:rsidP="000F0947">
          <w:pPr>
            <w:rPr>
              <w:rFonts w:ascii="Arial" w:hAnsi="Arial" w:cs="Arial"/>
              <w:b/>
              <w:sz w:val="32"/>
              <w:szCs w:val="32"/>
            </w:rPr>
          </w:pPr>
          <w:bookmarkStart w:id="0" w:name="_GoBack"/>
          <w:bookmarkEnd w:id="0"/>
          <w:r>
            <w:rPr>
              <w:caps/>
              <w:color w:val="5B9BD5" w:themeColor="accent1"/>
              <w:sz w:val="72"/>
              <w:szCs w:val="72"/>
              <w:lang w:val="en-US" w:eastAsia="en-US"/>
            </w:rPr>
            <w:br w:type="page"/>
          </w:r>
          <w:r w:rsidR="000F0947">
            <w:rPr>
              <w:rFonts w:ascii="Arial" w:hAnsi="Arial" w:cs="Arial"/>
              <w:b/>
              <w:sz w:val="32"/>
              <w:szCs w:val="32"/>
            </w:rPr>
            <w:lastRenderedPageBreak/>
            <w:t>Ve</w:t>
          </w:r>
          <w:r w:rsidR="000F0947" w:rsidRPr="005C2772">
            <w:rPr>
              <w:rFonts w:ascii="Arial" w:hAnsi="Arial" w:cs="Arial"/>
              <w:b/>
              <w:sz w:val="32"/>
              <w:szCs w:val="32"/>
            </w:rPr>
            <w:t>rsion Control</w:t>
          </w:r>
        </w:p>
        <w:tbl>
          <w:tblPr>
            <w:tblW w:w="8460" w:type="dxa"/>
            <w:tblInd w:w="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9"/>
            <w:gridCol w:w="1170"/>
            <w:gridCol w:w="1980"/>
            <w:gridCol w:w="3512"/>
            <w:gridCol w:w="1089"/>
          </w:tblGrid>
          <w:tr w:rsidR="000F0947" w:rsidRPr="005C2772" w14:paraId="65C64C7F" w14:textId="77777777" w:rsidTr="001E1C06">
            <w:trPr>
              <w:trHeight w:val="366"/>
            </w:trPr>
            <w:tc>
              <w:tcPr>
                <w:tcW w:w="709" w:type="dxa"/>
                <w:tcBorders>
                  <w:top w:val="single" w:sz="4" w:space="0" w:color="auto"/>
                  <w:bottom w:val="single" w:sz="6" w:space="0" w:color="auto"/>
                </w:tcBorders>
                <w:shd w:val="clear" w:color="auto" w:fill="BDD6EE" w:themeFill="accent1" w:themeFillTint="66"/>
                <w:vAlign w:val="center"/>
              </w:tcPr>
              <w:p w14:paraId="50914F63" w14:textId="77777777" w:rsidR="000F0947" w:rsidRPr="005C2772" w:rsidRDefault="000F0947" w:rsidP="001E1C06">
                <w:pPr>
                  <w:jc w:val="both"/>
                  <w:rPr>
                    <w:rFonts w:ascii="Arial" w:hAnsi="Arial" w:cs="Arial"/>
                    <w:b/>
                  </w:rPr>
                </w:pPr>
                <w:r w:rsidRPr="005C2772">
                  <w:rPr>
                    <w:rFonts w:ascii="Arial" w:hAnsi="Arial" w:cs="Arial"/>
                    <w:b/>
                  </w:rPr>
                  <w:t>Ver.</w:t>
                </w:r>
              </w:p>
            </w:tc>
            <w:tc>
              <w:tcPr>
                <w:tcW w:w="1170" w:type="dxa"/>
                <w:tcBorders>
                  <w:top w:val="single" w:sz="4" w:space="0" w:color="auto"/>
                  <w:bottom w:val="single" w:sz="6" w:space="0" w:color="auto"/>
                </w:tcBorders>
                <w:shd w:val="clear" w:color="auto" w:fill="BDD6EE" w:themeFill="accent1" w:themeFillTint="66"/>
                <w:vAlign w:val="center"/>
              </w:tcPr>
              <w:p w14:paraId="719F5B3C" w14:textId="77777777" w:rsidR="000F0947" w:rsidRPr="005C2772" w:rsidRDefault="000F0947" w:rsidP="001E1C06">
                <w:pPr>
                  <w:jc w:val="both"/>
                  <w:rPr>
                    <w:rFonts w:ascii="Arial" w:hAnsi="Arial" w:cs="Arial"/>
                    <w:b/>
                  </w:rPr>
                </w:pPr>
                <w:r w:rsidRPr="005C2772">
                  <w:rPr>
                    <w:rFonts w:ascii="Arial" w:hAnsi="Arial" w:cs="Arial"/>
                    <w:b/>
                  </w:rPr>
                  <w:t>Date</w:t>
                </w:r>
              </w:p>
            </w:tc>
            <w:tc>
              <w:tcPr>
                <w:tcW w:w="1980" w:type="dxa"/>
                <w:tcBorders>
                  <w:top w:val="single" w:sz="4" w:space="0" w:color="auto"/>
                  <w:bottom w:val="single" w:sz="6" w:space="0" w:color="auto"/>
                </w:tcBorders>
                <w:shd w:val="clear" w:color="auto" w:fill="BDD6EE" w:themeFill="accent1" w:themeFillTint="66"/>
                <w:vAlign w:val="center"/>
              </w:tcPr>
              <w:p w14:paraId="097BF793" w14:textId="77777777" w:rsidR="000F0947" w:rsidRPr="005C2772" w:rsidRDefault="000F0947" w:rsidP="001E1C06">
                <w:pPr>
                  <w:jc w:val="both"/>
                  <w:rPr>
                    <w:rFonts w:ascii="Arial" w:hAnsi="Arial" w:cs="Arial"/>
                    <w:b/>
                  </w:rPr>
                </w:pPr>
                <w:r w:rsidRPr="005C2772">
                  <w:rPr>
                    <w:rFonts w:ascii="Arial" w:hAnsi="Arial" w:cs="Arial"/>
                    <w:b/>
                  </w:rPr>
                  <w:t>Changed By</w:t>
                </w:r>
              </w:p>
            </w:tc>
            <w:tc>
              <w:tcPr>
                <w:tcW w:w="3512" w:type="dxa"/>
                <w:tcBorders>
                  <w:top w:val="single" w:sz="4" w:space="0" w:color="auto"/>
                  <w:bottom w:val="single" w:sz="6" w:space="0" w:color="auto"/>
                </w:tcBorders>
                <w:shd w:val="clear" w:color="auto" w:fill="BDD6EE" w:themeFill="accent1" w:themeFillTint="66"/>
                <w:vAlign w:val="center"/>
              </w:tcPr>
              <w:p w14:paraId="73D56FBB" w14:textId="77777777" w:rsidR="000F0947" w:rsidRPr="005C2772" w:rsidRDefault="000F0947" w:rsidP="001E1C06">
                <w:pPr>
                  <w:jc w:val="both"/>
                  <w:rPr>
                    <w:rFonts w:ascii="Arial" w:hAnsi="Arial" w:cs="Arial"/>
                    <w:b/>
                  </w:rPr>
                </w:pPr>
                <w:r w:rsidRPr="005C2772">
                  <w:rPr>
                    <w:rFonts w:ascii="Arial" w:hAnsi="Arial" w:cs="Arial"/>
                    <w:b/>
                  </w:rPr>
                  <w:t xml:space="preserve">Change </w:t>
                </w:r>
              </w:p>
            </w:tc>
            <w:tc>
              <w:tcPr>
                <w:tcW w:w="1089" w:type="dxa"/>
                <w:tcBorders>
                  <w:top w:val="single" w:sz="4" w:space="0" w:color="auto"/>
                  <w:bottom w:val="single" w:sz="6" w:space="0" w:color="auto"/>
                </w:tcBorders>
                <w:shd w:val="clear" w:color="auto" w:fill="BDD6EE" w:themeFill="accent1" w:themeFillTint="66"/>
                <w:vAlign w:val="center"/>
              </w:tcPr>
              <w:p w14:paraId="5E2C5503" w14:textId="77777777" w:rsidR="000F0947" w:rsidRPr="005C2772" w:rsidRDefault="000F0947" w:rsidP="001E1C06">
                <w:pPr>
                  <w:jc w:val="both"/>
                  <w:rPr>
                    <w:rFonts w:ascii="Arial" w:hAnsi="Arial" w:cs="Arial"/>
                    <w:b/>
                  </w:rPr>
                </w:pPr>
                <w:r w:rsidRPr="005C2772">
                  <w:rPr>
                    <w:rFonts w:ascii="Arial" w:hAnsi="Arial" w:cs="Arial"/>
                    <w:b/>
                  </w:rPr>
                  <w:t>Sections</w:t>
                </w:r>
              </w:p>
            </w:tc>
          </w:tr>
          <w:tr w:rsidR="000F0947" w:rsidRPr="005C2772" w14:paraId="4F3A0360" w14:textId="77777777" w:rsidTr="001E1C06">
            <w:trPr>
              <w:trHeight w:val="336"/>
            </w:trPr>
            <w:tc>
              <w:tcPr>
                <w:tcW w:w="709" w:type="dxa"/>
                <w:tcBorders>
                  <w:top w:val="single" w:sz="6" w:space="0" w:color="auto"/>
                </w:tcBorders>
                <w:vAlign w:val="center"/>
              </w:tcPr>
              <w:p w14:paraId="0371A05F" w14:textId="2A8205B6" w:rsidR="000F0947" w:rsidRPr="005C2772" w:rsidRDefault="000F0947" w:rsidP="001E1C06">
                <w:pPr>
                  <w:spacing w:before="60" w:after="60"/>
                  <w:jc w:val="both"/>
                  <w:rPr>
                    <w:rFonts w:ascii="Arial" w:hAnsi="Arial" w:cs="Arial"/>
                  </w:rPr>
                </w:pPr>
              </w:p>
            </w:tc>
            <w:tc>
              <w:tcPr>
                <w:tcW w:w="1170" w:type="dxa"/>
                <w:tcBorders>
                  <w:top w:val="single" w:sz="6" w:space="0" w:color="auto"/>
                </w:tcBorders>
                <w:vAlign w:val="center"/>
              </w:tcPr>
              <w:p w14:paraId="39221622" w14:textId="08F1421D" w:rsidR="000F0947" w:rsidRPr="005C2772" w:rsidRDefault="000F0947" w:rsidP="001E1C06">
                <w:pPr>
                  <w:spacing w:before="60" w:after="60"/>
                  <w:jc w:val="both"/>
                  <w:rPr>
                    <w:rFonts w:ascii="Arial" w:hAnsi="Arial" w:cs="Arial"/>
                  </w:rPr>
                </w:pPr>
              </w:p>
            </w:tc>
            <w:tc>
              <w:tcPr>
                <w:tcW w:w="1980" w:type="dxa"/>
                <w:tcBorders>
                  <w:top w:val="single" w:sz="6" w:space="0" w:color="auto"/>
                </w:tcBorders>
                <w:vAlign w:val="center"/>
              </w:tcPr>
              <w:p w14:paraId="6BB7E3FA" w14:textId="4FB29318" w:rsidR="000F0947" w:rsidRPr="005C2772" w:rsidRDefault="000F0947" w:rsidP="001E1C06">
                <w:pPr>
                  <w:spacing w:before="60" w:after="60"/>
                  <w:jc w:val="both"/>
                  <w:rPr>
                    <w:rFonts w:ascii="Arial" w:hAnsi="Arial" w:cs="Arial"/>
                  </w:rPr>
                </w:pPr>
              </w:p>
            </w:tc>
            <w:tc>
              <w:tcPr>
                <w:tcW w:w="3512" w:type="dxa"/>
                <w:tcBorders>
                  <w:top w:val="single" w:sz="6" w:space="0" w:color="auto"/>
                </w:tcBorders>
                <w:vAlign w:val="center"/>
              </w:tcPr>
              <w:p w14:paraId="08B1CE8E" w14:textId="77777777" w:rsidR="000F0947" w:rsidRPr="005C2772" w:rsidRDefault="000F0947" w:rsidP="001E1C06">
                <w:pPr>
                  <w:spacing w:before="60" w:after="60"/>
                  <w:jc w:val="both"/>
                  <w:rPr>
                    <w:rFonts w:ascii="Arial" w:hAnsi="Arial" w:cs="Arial"/>
                  </w:rPr>
                </w:pPr>
              </w:p>
            </w:tc>
            <w:tc>
              <w:tcPr>
                <w:tcW w:w="1089" w:type="dxa"/>
                <w:tcBorders>
                  <w:top w:val="single" w:sz="6" w:space="0" w:color="auto"/>
                </w:tcBorders>
                <w:vAlign w:val="center"/>
              </w:tcPr>
              <w:p w14:paraId="284DE43F" w14:textId="77777777" w:rsidR="000F0947" w:rsidRPr="005C2772" w:rsidRDefault="000F0947" w:rsidP="001E1C06">
                <w:pPr>
                  <w:spacing w:before="60" w:after="60"/>
                  <w:jc w:val="both"/>
                  <w:rPr>
                    <w:rFonts w:ascii="Arial" w:hAnsi="Arial" w:cs="Arial"/>
                  </w:rPr>
                </w:pPr>
              </w:p>
            </w:tc>
          </w:tr>
          <w:tr w:rsidR="000F0947" w:rsidRPr="005C2772" w14:paraId="53833008" w14:textId="77777777" w:rsidTr="001E1C06">
            <w:trPr>
              <w:trHeight w:val="336"/>
            </w:trPr>
            <w:tc>
              <w:tcPr>
                <w:tcW w:w="709" w:type="dxa"/>
                <w:vAlign w:val="center"/>
              </w:tcPr>
              <w:p w14:paraId="7FA06671" w14:textId="77777777" w:rsidR="000F0947" w:rsidRPr="005C2772" w:rsidRDefault="000F0947" w:rsidP="001E1C06">
                <w:pPr>
                  <w:spacing w:before="60" w:after="60"/>
                  <w:jc w:val="both"/>
                  <w:rPr>
                    <w:rFonts w:ascii="Arial" w:hAnsi="Arial" w:cs="Arial"/>
                  </w:rPr>
                </w:pPr>
              </w:p>
            </w:tc>
            <w:tc>
              <w:tcPr>
                <w:tcW w:w="1170" w:type="dxa"/>
                <w:vAlign w:val="center"/>
              </w:tcPr>
              <w:p w14:paraId="478704D2" w14:textId="77777777" w:rsidR="000F0947" w:rsidRPr="005C2772" w:rsidRDefault="000F0947" w:rsidP="001E1C06">
                <w:pPr>
                  <w:spacing w:before="60" w:after="60"/>
                  <w:jc w:val="both"/>
                  <w:rPr>
                    <w:rFonts w:ascii="Arial" w:hAnsi="Arial" w:cs="Arial"/>
                  </w:rPr>
                </w:pPr>
              </w:p>
            </w:tc>
            <w:tc>
              <w:tcPr>
                <w:tcW w:w="1980" w:type="dxa"/>
                <w:vAlign w:val="center"/>
              </w:tcPr>
              <w:p w14:paraId="21D0CB3A" w14:textId="77777777" w:rsidR="000F0947" w:rsidRPr="005C2772" w:rsidRDefault="000F0947" w:rsidP="001E1C06">
                <w:pPr>
                  <w:spacing w:before="60" w:after="60"/>
                  <w:jc w:val="both"/>
                  <w:rPr>
                    <w:rFonts w:ascii="Arial" w:hAnsi="Arial" w:cs="Arial"/>
                  </w:rPr>
                </w:pPr>
              </w:p>
            </w:tc>
            <w:tc>
              <w:tcPr>
                <w:tcW w:w="3512" w:type="dxa"/>
                <w:vAlign w:val="center"/>
              </w:tcPr>
              <w:p w14:paraId="621128DD" w14:textId="77777777" w:rsidR="000F0947" w:rsidRPr="005C2772" w:rsidRDefault="000F0947" w:rsidP="001E1C06">
                <w:pPr>
                  <w:spacing w:before="60" w:after="60"/>
                  <w:jc w:val="both"/>
                  <w:rPr>
                    <w:rFonts w:ascii="Arial" w:hAnsi="Arial" w:cs="Arial"/>
                  </w:rPr>
                </w:pPr>
              </w:p>
            </w:tc>
            <w:tc>
              <w:tcPr>
                <w:tcW w:w="1089" w:type="dxa"/>
                <w:vAlign w:val="center"/>
              </w:tcPr>
              <w:p w14:paraId="47599A59" w14:textId="77777777" w:rsidR="000F0947" w:rsidRPr="005C2772" w:rsidRDefault="000F0947" w:rsidP="001E1C06">
                <w:pPr>
                  <w:spacing w:before="60" w:after="60"/>
                  <w:jc w:val="both"/>
                  <w:rPr>
                    <w:rFonts w:ascii="Arial" w:hAnsi="Arial" w:cs="Arial"/>
                  </w:rPr>
                </w:pPr>
              </w:p>
            </w:tc>
          </w:tr>
          <w:tr w:rsidR="000F0947" w:rsidRPr="005C2772" w14:paraId="28D89B86" w14:textId="77777777" w:rsidTr="001E1C06">
            <w:trPr>
              <w:trHeight w:val="336"/>
            </w:trPr>
            <w:tc>
              <w:tcPr>
                <w:tcW w:w="709" w:type="dxa"/>
                <w:vAlign w:val="center"/>
              </w:tcPr>
              <w:p w14:paraId="6AD68BBB" w14:textId="77777777" w:rsidR="000F0947" w:rsidRPr="005C2772" w:rsidRDefault="000F0947" w:rsidP="001E1C06">
                <w:pPr>
                  <w:spacing w:before="60" w:after="60"/>
                  <w:jc w:val="both"/>
                  <w:rPr>
                    <w:rFonts w:ascii="Arial" w:hAnsi="Arial" w:cs="Arial"/>
                  </w:rPr>
                </w:pPr>
              </w:p>
            </w:tc>
            <w:tc>
              <w:tcPr>
                <w:tcW w:w="1170" w:type="dxa"/>
                <w:vAlign w:val="center"/>
              </w:tcPr>
              <w:p w14:paraId="43BB6332" w14:textId="77777777" w:rsidR="000F0947" w:rsidRPr="005C2772" w:rsidRDefault="000F0947" w:rsidP="001E1C06">
                <w:pPr>
                  <w:spacing w:before="60" w:after="60"/>
                  <w:jc w:val="both"/>
                  <w:rPr>
                    <w:rFonts w:ascii="Arial" w:hAnsi="Arial" w:cs="Arial"/>
                  </w:rPr>
                </w:pPr>
              </w:p>
            </w:tc>
            <w:tc>
              <w:tcPr>
                <w:tcW w:w="1980" w:type="dxa"/>
                <w:vAlign w:val="center"/>
              </w:tcPr>
              <w:p w14:paraId="06D93C20" w14:textId="77777777" w:rsidR="000F0947" w:rsidRPr="005C2772" w:rsidRDefault="000F0947" w:rsidP="001E1C06">
                <w:pPr>
                  <w:spacing w:before="60" w:after="60"/>
                  <w:jc w:val="both"/>
                  <w:rPr>
                    <w:rFonts w:ascii="Arial" w:hAnsi="Arial" w:cs="Arial"/>
                  </w:rPr>
                </w:pPr>
              </w:p>
            </w:tc>
            <w:tc>
              <w:tcPr>
                <w:tcW w:w="3512" w:type="dxa"/>
                <w:vAlign w:val="center"/>
              </w:tcPr>
              <w:p w14:paraId="56E44BA0" w14:textId="77777777" w:rsidR="000F0947" w:rsidRPr="005C2772" w:rsidRDefault="000F0947" w:rsidP="001E1C06">
                <w:pPr>
                  <w:spacing w:before="60" w:after="60"/>
                  <w:jc w:val="both"/>
                  <w:rPr>
                    <w:rFonts w:ascii="Arial" w:hAnsi="Arial" w:cs="Arial"/>
                  </w:rPr>
                </w:pPr>
              </w:p>
            </w:tc>
            <w:tc>
              <w:tcPr>
                <w:tcW w:w="1089" w:type="dxa"/>
                <w:vAlign w:val="center"/>
              </w:tcPr>
              <w:p w14:paraId="0F361537" w14:textId="77777777" w:rsidR="000F0947" w:rsidRPr="005C2772" w:rsidRDefault="000F0947" w:rsidP="001E1C06">
                <w:pPr>
                  <w:spacing w:before="60" w:after="60"/>
                  <w:jc w:val="both"/>
                  <w:rPr>
                    <w:rFonts w:ascii="Arial" w:hAnsi="Arial" w:cs="Arial"/>
                  </w:rPr>
                </w:pPr>
              </w:p>
            </w:tc>
          </w:tr>
        </w:tbl>
        <w:p w14:paraId="18D33488" w14:textId="77777777" w:rsidR="000F0947" w:rsidRDefault="000F0947" w:rsidP="000F0947">
          <w:pPr>
            <w:rPr>
              <w:rFonts w:ascii="Arial" w:hAnsi="Arial"/>
              <w:sz w:val="24"/>
              <w:lang w:val="en-US"/>
            </w:rPr>
          </w:pPr>
        </w:p>
        <w:p w14:paraId="7992F881" w14:textId="77777777" w:rsidR="000C4179" w:rsidRDefault="000C4179" w:rsidP="000F0947">
          <w:pPr>
            <w:rPr>
              <w:lang w:val="en-US" w:eastAsia="en-US"/>
            </w:rPr>
          </w:pPr>
        </w:p>
        <w:sdt>
          <w:sdtPr>
            <w:rPr>
              <w:rFonts w:asciiTheme="minorHAnsi" w:eastAsiaTheme="minorHAnsi" w:hAnsiTheme="minorHAnsi" w:cstheme="minorBidi"/>
              <w:color w:val="auto"/>
              <w:sz w:val="22"/>
              <w:szCs w:val="22"/>
              <w:lang w:val="en-GB" w:eastAsia="en-GB"/>
            </w:rPr>
            <w:id w:val="1435013229"/>
            <w:docPartObj>
              <w:docPartGallery w:val="Table of Contents"/>
              <w:docPartUnique/>
            </w:docPartObj>
          </w:sdtPr>
          <w:sdtEndPr>
            <w:rPr>
              <w:b/>
              <w:bCs/>
              <w:noProof/>
            </w:rPr>
          </w:sdtEndPr>
          <w:sdtContent>
            <w:p w14:paraId="1654686C" w14:textId="77777777" w:rsidR="00B710CB" w:rsidRDefault="00B710CB">
              <w:pPr>
                <w:pStyle w:val="TOCHeading"/>
              </w:pPr>
              <w:r>
                <w:t>Contents</w:t>
              </w:r>
            </w:p>
            <w:p w14:paraId="3F36BEF1" w14:textId="77777777" w:rsidR="000F0947" w:rsidRDefault="00B710CB" w:rsidP="000F0947">
              <w:pPr>
                <w:pStyle w:val="TOC1"/>
                <w:rPr>
                  <w:rFonts w:eastAsiaTheme="minorEastAsia"/>
                  <w:noProof/>
                </w:rPr>
              </w:pPr>
              <w:r>
                <w:fldChar w:fldCharType="begin"/>
              </w:r>
              <w:r>
                <w:instrText xml:space="preserve"> TOC \o "1-3" \h \z \u </w:instrText>
              </w:r>
              <w:r>
                <w:fldChar w:fldCharType="separate"/>
              </w:r>
              <w:hyperlink w:anchor="_Toc518979706" w:history="1">
                <w:r w:rsidR="000F0947" w:rsidRPr="00D66B4F">
                  <w:rPr>
                    <w:rStyle w:val="Hyperlink"/>
                    <w:noProof/>
                  </w:rPr>
                  <w:t>1.</w:t>
                </w:r>
                <w:r w:rsidR="000F0947">
                  <w:rPr>
                    <w:rFonts w:eastAsiaTheme="minorEastAsia"/>
                    <w:noProof/>
                  </w:rPr>
                  <w:tab/>
                </w:r>
                <w:r w:rsidR="000F0947" w:rsidRPr="00D66B4F">
                  <w:rPr>
                    <w:rStyle w:val="Hyperlink"/>
                    <w:noProof/>
                  </w:rPr>
                  <w:t>Introduction</w:t>
                </w:r>
                <w:r w:rsidR="000F0947">
                  <w:rPr>
                    <w:noProof/>
                    <w:webHidden/>
                  </w:rPr>
                  <w:tab/>
                </w:r>
                <w:r w:rsidR="000F0947">
                  <w:rPr>
                    <w:noProof/>
                    <w:webHidden/>
                  </w:rPr>
                  <w:fldChar w:fldCharType="begin"/>
                </w:r>
                <w:r w:rsidR="000F0947">
                  <w:rPr>
                    <w:noProof/>
                    <w:webHidden/>
                  </w:rPr>
                  <w:instrText xml:space="preserve"> PAGEREF _Toc518979706 \h </w:instrText>
                </w:r>
                <w:r w:rsidR="000F0947">
                  <w:rPr>
                    <w:noProof/>
                    <w:webHidden/>
                  </w:rPr>
                </w:r>
                <w:r w:rsidR="000F0947">
                  <w:rPr>
                    <w:noProof/>
                    <w:webHidden/>
                  </w:rPr>
                  <w:fldChar w:fldCharType="separate"/>
                </w:r>
                <w:r w:rsidR="000F0947">
                  <w:rPr>
                    <w:noProof/>
                    <w:webHidden/>
                  </w:rPr>
                  <w:t>2</w:t>
                </w:r>
                <w:r w:rsidR="000F0947">
                  <w:rPr>
                    <w:noProof/>
                    <w:webHidden/>
                  </w:rPr>
                  <w:fldChar w:fldCharType="end"/>
                </w:r>
              </w:hyperlink>
            </w:p>
            <w:p w14:paraId="3247F6DF" w14:textId="77777777" w:rsidR="000F0947" w:rsidRDefault="001F217F">
              <w:pPr>
                <w:pStyle w:val="TOC2"/>
                <w:tabs>
                  <w:tab w:val="left" w:pos="880"/>
                  <w:tab w:val="right" w:leader="dot" w:pos="10456"/>
                </w:tabs>
                <w:rPr>
                  <w:rFonts w:eastAsiaTheme="minorEastAsia"/>
                  <w:noProof/>
                </w:rPr>
              </w:pPr>
              <w:hyperlink w:anchor="_Toc518979707" w:history="1">
                <w:r w:rsidR="000F0947" w:rsidRPr="00D66B4F">
                  <w:rPr>
                    <w:rStyle w:val="Hyperlink"/>
                    <w:noProof/>
                    <w:lang w:val="en"/>
                  </w:rPr>
                  <w:t>1.1.</w:t>
                </w:r>
                <w:r w:rsidR="000F0947">
                  <w:rPr>
                    <w:rFonts w:eastAsiaTheme="minorEastAsia"/>
                    <w:noProof/>
                  </w:rPr>
                  <w:tab/>
                </w:r>
                <w:r w:rsidR="000F0947" w:rsidRPr="00D66B4F">
                  <w:rPr>
                    <w:rStyle w:val="Hyperlink"/>
                    <w:noProof/>
                    <w:lang w:val="en"/>
                  </w:rPr>
                  <w:t>The objectives of the enforcement process are:</w:t>
                </w:r>
                <w:r w:rsidR="000F0947">
                  <w:rPr>
                    <w:noProof/>
                    <w:webHidden/>
                  </w:rPr>
                  <w:tab/>
                </w:r>
                <w:r w:rsidR="000F0947">
                  <w:rPr>
                    <w:noProof/>
                    <w:webHidden/>
                  </w:rPr>
                  <w:fldChar w:fldCharType="begin"/>
                </w:r>
                <w:r w:rsidR="000F0947">
                  <w:rPr>
                    <w:noProof/>
                    <w:webHidden/>
                  </w:rPr>
                  <w:instrText xml:space="preserve"> PAGEREF _Toc518979707 \h </w:instrText>
                </w:r>
                <w:r w:rsidR="000F0947">
                  <w:rPr>
                    <w:noProof/>
                    <w:webHidden/>
                  </w:rPr>
                </w:r>
                <w:r w:rsidR="000F0947">
                  <w:rPr>
                    <w:noProof/>
                    <w:webHidden/>
                  </w:rPr>
                  <w:fldChar w:fldCharType="separate"/>
                </w:r>
                <w:r w:rsidR="000F0947">
                  <w:rPr>
                    <w:noProof/>
                    <w:webHidden/>
                  </w:rPr>
                  <w:t>2</w:t>
                </w:r>
                <w:r w:rsidR="000F0947">
                  <w:rPr>
                    <w:noProof/>
                    <w:webHidden/>
                  </w:rPr>
                  <w:fldChar w:fldCharType="end"/>
                </w:r>
              </w:hyperlink>
            </w:p>
            <w:p w14:paraId="0DD6A241" w14:textId="77777777" w:rsidR="000F0947" w:rsidRDefault="001F217F">
              <w:pPr>
                <w:pStyle w:val="TOC2"/>
                <w:tabs>
                  <w:tab w:val="left" w:pos="880"/>
                  <w:tab w:val="right" w:leader="dot" w:pos="10456"/>
                </w:tabs>
                <w:rPr>
                  <w:rFonts w:eastAsiaTheme="minorEastAsia"/>
                  <w:noProof/>
                </w:rPr>
              </w:pPr>
              <w:hyperlink w:anchor="_Toc518979708" w:history="1">
                <w:r w:rsidR="000F0947" w:rsidRPr="00D66B4F">
                  <w:rPr>
                    <w:rStyle w:val="Hyperlink"/>
                    <w:noProof/>
                    <w:lang w:val="en"/>
                  </w:rPr>
                  <w:t>1.2.</w:t>
                </w:r>
                <w:r w:rsidR="000F0947">
                  <w:rPr>
                    <w:rFonts w:eastAsiaTheme="minorEastAsia"/>
                    <w:noProof/>
                  </w:rPr>
                  <w:tab/>
                </w:r>
                <w:r w:rsidR="000F0947" w:rsidRPr="00D66B4F">
                  <w:rPr>
                    <w:rStyle w:val="Hyperlink"/>
                    <w:noProof/>
                    <w:lang w:val="en"/>
                  </w:rPr>
                  <w:t>Torbay Council’s principles of enforcement</w:t>
                </w:r>
                <w:r w:rsidR="000F0947">
                  <w:rPr>
                    <w:noProof/>
                    <w:webHidden/>
                  </w:rPr>
                  <w:tab/>
                </w:r>
                <w:r w:rsidR="000F0947">
                  <w:rPr>
                    <w:noProof/>
                    <w:webHidden/>
                  </w:rPr>
                  <w:fldChar w:fldCharType="begin"/>
                </w:r>
                <w:r w:rsidR="000F0947">
                  <w:rPr>
                    <w:noProof/>
                    <w:webHidden/>
                  </w:rPr>
                  <w:instrText xml:space="preserve"> PAGEREF _Toc518979708 \h </w:instrText>
                </w:r>
                <w:r w:rsidR="000F0947">
                  <w:rPr>
                    <w:noProof/>
                    <w:webHidden/>
                  </w:rPr>
                </w:r>
                <w:r w:rsidR="000F0947">
                  <w:rPr>
                    <w:noProof/>
                    <w:webHidden/>
                  </w:rPr>
                  <w:fldChar w:fldCharType="separate"/>
                </w:r>
                <w:r w:rsidR="000F0947">
                  <w:rPr>
                    <w:noProof/>
                    <w:webHidden/>
                  </w:rPr>
                  <w:t>2</w:t>
                </w:r>
                <w:r w:rsidR="000F0947">
                  <w:rPr>
                    <w:noProof/>
                    <w:webHidden/>
                  </w:rPr>
                  <w:fldChar w:fldCharType="end"/>
                </w:r>
              </w:hyperlink>
            </w:p>
            <w:p w14:paraId="7E1B57E6" w14:textId="77777777" w:rsidR="000F0947" w:rsidRDefault="001F217F">
              <w:pPr>
                <w:pStyle w:val="TOC2"/>
                <w:tabs>
                  <w:tab w:val="left" w:pos="880"/>
                  <w:tab w:val="right" w:leader="dot" w:pos="10456"/>
                </w:tabs>
                <w:rPr>
                  <w:rFonts w:eastAsiaTheme="minorEastAsia"/>
                  <w:noProof/>
                </w:rPr>
              </w:pPr>
              <w:hyperlink w:anchor="_Toc518979709" w:history="1">
                <w:r w:rsidR="000F0947" w:rsidRPr="00D66B4F">
                  <w:rPr>
                    <w:rStyle w:val="Hyperlink"/>
                    <w:noProof/>
                    <w:lang w:val="en"/>
                  </w:rPr>
                  <w:t>1.3.</w:t>
                </w:r>
                <w:r w:rsidR="000F0947">
                  <w:rPr>
                    <w:rFonts w:eastAsiaTheme="minorEastAsia"/>
                    <w:noProof/>
                  </w:rPr>
                  <w:tab/>
                </w:r>
                <w:r w:rsidR="000F0947" w:rsidRPr="00D66B4F">
                  <w:rPr>
                    <w:rStyle w:val="Hyperlink"/>
                    <w:noProof/>
                    <w:lang w:val="en"/>
                  </w:rPr>
                  <w:t>Expediency</w:t>
                </w:r>
                <w:r w:rsidR="000F0947">
                  <w:rPr>
                    <w:noProof/>
                    <w:webHidden/>
                  </w:rPr>
                  <w:tab/>
                </w:r>
                <w:r w:rsidR="000F0947">
                  <w:rPr>
                    <w:noProof/>
                    <w:webHidden/>
                  </w:rPr>
                  <w:fldChar w:fldCharType="begin"/>
                </w:r>
                <w:r w:rsidR="000F0947">
                  <w:rPr>
                    <w:noProof/>
                    <w:webHidden/>
                  </w:rPr>
                  <w:instrText xml:space="preserve"> PAGEREF _Toc518979709 \h </w:instrText>
                </w:r>
                <w:r w:rsidR="000F0947">
                  <w:rPr>
                    <w:noProof/>
                    <w:webHidden/>
                  </w:rPr>
                </w:r>
                <w:r w:rsidR="000F0947">
                  <w:rPr>
                    <w:noProof/>
                    <w:webHidden/>
                  </w:rPr>
                  <w:fldChar w:fldCharType="separate"/>
                </w:r>
                <w:r w:rsidR="000F0947">
                  <w:rPr>
                    <w:noProof/>
                    <w:webHidden/>
                  </w:rPr>
                  <w:t>2</w:t>
                </w:r>
                <w:r w:rsidR="000F0947">
                  <w:rPr>
                    <w:noProof/>
                    <w:webHidden/>
                  </w:rPr>
                  <w:fldChar w:fldCharType="end"/>
                </w:r>
              </w:hyperlink>
            </w:p>
            <w:p w14:paraId="7A080CE9" w14:textId="77777777" w:rsidR="000F0947" w:rsidRDefault="001F217F">
              <w:pPr>
                <w:pStyle w:val="TOC2"/>
                <w:tabs>
                  <w:tab w:val="left" w:pos="880"/>
                  <w:tab w:val="right" w:leader="dot" w:pos="10456"/>
                </w:tabs>
                <w:rPr>
                  <w:rFonts w:eastAsiaTheme="minorEastAsia"/>
                  <w:noProof/>
                </w:rPr>
              </w:pPr>
              <w:hyperlink w:anchor="_Toc518979710" w:history="1">
                <w:r w:rsidR="000F0947" w:rsidRPr="00D66B4F">
                  <w:rPr>
                    <w:rStyle w:val="Hyperlink"/>
                    <w:noProof/>
                    <w:lang w:val="en"/>
                  </w:rPr>
                  <w:t>1.4.</w:t>
                </w:r>
                <w:r w:rsidR="000F0947">
                  <w:rPr>
                    <w:rFonts w:eastAsiaTheme="minorEastAsia"/>
                    <w:noProof/>
                  </w:rPr>
                  <w:tab/>
                </w:r>
                <w:r w:rsidR="000F0947" w:rsidRPr="00D66B4F">
                  <w:rPr>
                    <w:rStyle w:val="Hyperlink"/>
                    <w:noProof/>
                    <w:lang w:val="en"/>
                  </w:rPr>
                  <w:t>Proportionality</w:t>
                </w:r>
                <w:r w:rsidR="000F0947">
                  <w:rPr>
                    <w:noProof/>
                    <w:webHidden/>
                  </w:rPr>
                  <w:tab/>
                </w:r>
                <w:r w:rsidR="000F0947">
                  <w:rPr>
                    <w:noProof/>
                    <w:webHidden/>
                  </w:rPr>
                  <w:fldChar w:fldCharType="begin"/>
                </w:r>
                <w:r w:rsidR="000F0947">
                  <w:rPr>
                    <w:noProof/>
                    <w:webHidden/>
                  </w:rPr>
                  <w:instrText xml:space="preserve"> PAGEREF _Toc518979710 \h </w:instrText>
                </w:r>
                <w:r w:rsidR="000F0947">
                  <w:rPr>
                    <w:noProof/>
                    <w:webHidden/>
                  </w:rPr>
                </w:r>
                <w:r w:rsidR="000F0947">
                  <w:rPr>
                    <w:noProof/>
                    <w:webHidden/>
                  </w:rPr>
                  <w:fldChar w:fldCharType="separate"/>
                </w:r>
                <w:r w:rsidR="000F0947">
                  <w:rPr>
                    <w:noProof/>
                    <w:webHidden/>
                  </w:rPr>
                  <w:t>3</w:t>
                </w:r>
                <w:r w:rsidR="000F0947">
                  <w:rPr>
                    <w:noProof/>
                    <w:webHidden/>
                  </w:rPr>
                  <w:fldChar w:fldCharType="end"/>
                </w:r>
              </w:hyperlink>
            </w:p>
            <w:p w14:paraId="21E43850" w14:textId="77777777" w:rsidR="000F0947" w:rsidRDefault="001F217F" w:rsidP="000F0947">
              <w:pPr>
                <w:pStyle w:val="TOC1"/>
                <w:rPr>
                  <w:rFonts w:eastAsiaTheme="minorEastAsia"/>
                  <w:noProof/>
                </w:rPr>
              </w:pPr>
              <w:hyperlink w:anchor="_Toc518979711" w:history="1">
                <w:r w:rsidR="000F0947" w:rsidRPr="00D66B4F">
                  <w:rPr>
                    <w:rStyle w:val="Hyperlink"/>
                    <w:noProof/>
                    <w:lang w:val="en"/>
                  </w:rPr>
                  <w:t>2.</w:t>
                </w:r>
                <w:r w:rsidR="000F0947">
                  <w:rPr>
                    <w:rFonts w:eastAsiaTheme="minorEastAsia"/>
                    <w:noProof/>
                  </w:rPr>
                  <w:tab/>
                </w:r>
                <w:r w:rsidR="000F0947" w:rsidRPr="00D66B4F">
                  <w:rPr>
                    <w:rStyle w:val="Hyperlink"/>
                    <w:noProof/>
                    <w:lang w:val="en"/>
                  </w:rPr>
                  <w:t>How to report a breach of planning control</w:t>
                </w:r>
                <w:r w:rsidR="000F0947">
                  <w:rPr>
                    <w:noProof/>
                    <w:webHidden/>
                  </w:rPr>
                  <w:tab/>
                </w:r>
                <w:r w:rsidR="000F0947">
                  <w:rPr>
                    <w:noProof/>
                    <w:webHidden/>
                  </w:rPr>
                  <w:fldChar w:fldCharType="begin"/>
                </w:r>
                <w:r w:rsidR="000F0947">
                  <w:rPr>
                    <w:noProof/>
                    <w:webHidden/>
                  </w:rPr>
                  <w:instrText xml:space="preserve"> PAGEREF _Toc518979711 \h </w:instrText>
                </w:r>
                <w:r w:rsidR="000F0947">
                  <w:rPr>
                    <w:noProof/>
                    <w:webHidden/>
                  </w:rPr>
                </w:r>
                <w:r w:rsidR="000F0947">
                  <w:rPr>
                    <w:noProof/>
                    <w:webHidden/>
                  </w:rPr>
                  <w:fldChar w:fldCharType="separate"/>
                </w:r>
                <w:r w:rsidR="000F0947">
                  <w:rPr>
                    <w:noProof/>
                    <w:webHidden/>
                  </w:rPr>
                  <w:t>3</w:t>
                </w:r>
                <w:r w:rsidR="000F0947">
                  <w:rPr>
                    <w:noProof/>
                    <w:webHidden/>
                  </w:rPr>
                  <w:fldChar w:fldCharType="end"/>
                </w:r>
              </w:hyperlink>
            </w:p>
            <w:p w14:paraId="4B511DAB" w14:textId="77777777" w:rsidR="000F0947" w:rsidRDefault="001F217F" w:rsidP="000F0947">
              <w:pPr>
                <w:pStyle w:val="TOC1"/>
                <w:rPr>
                  <w:rFonts w:eastAsiaTheme="minorEastAsia"/>
                  <w:noProof/>
                </w:rPr>
              </w:pPr>
              <w:hyperlink w:anchor="_Toc518979712" w:history="1">
                <w:r w:rsidR="000F0947" w:rsidRPr="00D66B4F">
                  <w:rPr>
                    <w:rStyle w:val="Hyperlink"/>
                    <w:noProof/>
                    <w:lang w:val="en"/>
                  </w:rPr>
                  <w:t>3.</w:t>
                </w:r>
                <w:r w:rsidR="000F0947">
                  <w:rPr>
                    <w:rFonts w:eastAsiaTheme="minorEastAsia"/>
                    <w:noProof/>
                  </w:rPr>
                  <w:tab/>
                </w:r>
                <w:r w:rsidR="000F0947" w:rsidRPr="00D66B4F">
                  <w:rPr>
                    <w:rStyle w:val="Hyperlink"/>
                    <w:noProof/>
                    <w:lang w:val="en"/>
                  </w:rPr>
                  <w:t>Investigation</w:t>
                </w:r>
                <w:r w:rsidR="000F0947">
                  <w:rPr>
                    <w:noProof/>
                    <w:webHidden/>
                  </w:rPr>
                  <w:tab/>
                </w:r>
                <w:r w:rsidR="000F0947">
                  <w:rPr>
                    <w:noProof/>
                    <w:webHidden/>
                  </w:rPr>
                  <w:fldChar w:fldCharType="begin"/>
                </w:r>
                <w:r w:rsidR="000F0947">
                  <w:rPr>
                    <w:noProof/>
                    <w:webHidden/>
                  </w:rPr>
                  <w:instrText xml:space="preserve"> PAGEREF _Toc518979712 \h </w:instrText>
                </w:r>
                <w:r w:rsidR="000F0947">
                  <w:rPr>
                    <w:noProof/>
                    <w:webHidden/>
                  </w:rPr>
                </w:r>
                <w:r w:rsidR="000F0947">
                  <w:rPr>
                    <w:noProof/>
                    <w:webHidden/>
                  </w:rPr>
                  <w:fldChar w:fldCharType="separate"/>
                </w:r>
                <w:r w:rsidR="000F0947">
                  <w:rPr>
                    <w:noProof/>
                    <w:webHidden/>
                  </w:rPr>
                  <w:t>4</w:t>
                </w:r>
                <w:r w:rsidR="000F0947">
                  <w:rPr>
                    <w:noProof/>
                    <w:webHidden/>
                  </w:rPr>
                  <w:fldChar w:fldCharType="end"/>
                </w:r>
              </w:hyperlink>
            </w:p>
            <w:p w14:paraId="01EC0357" w14:textId="77777777" w:rsidR="000F0947" w:rsidRDefault="001F217F">
              <w:pPr>
                <w:pStyle w:val="TOC2"/>
                <w:tabs>
                  <w:tab w:val="left" w:pos="880"/>
                  <w:tab w:val="right" w:leader="dot" w:pos="10456"/>
                </w:tabs>
                <w:rPr>
                  <w:rFonts w:eastAsiaTheme="minorEastAsia"/>
                  <w:noProof/>
                </w:rPr>
              </w:pPr>
              <w:hyperlink w:anchor="_Toc518979713" w:history="1">
                <w:r w:rsidR="000F0947" w:rsidRPr="00D66B4F">
                  <w:rPr>
                    <w:rStyle w:val="Hyperlink"/>
                    <w:noProof/>
                    <w:lang w:val="en"/>
                  </w:rPr>
                  <w:t>3.1.</w:t>
                </w:r>
                <w:r w:rsidR="000F0947">
                  <w:rPr>
                    <w:rFonts w:eastAsiaTheme="minorEastAsia"/>
                    <w:noProof/>
                  </w:rPr>
                  <w:tab/>
                </w:r>
                <w:r w:rsidR="000F0947" w:rsidRPr="00D66B4F">
                  <w:rPr>
                    <w:rStyle w:val="Hyperlink"/>
                    <w:noProof/>
                    <w:lang w:val="en"/>
                  </w:rPr>
                  <w:t>Site visits</w:t>
                </w:r>
                <w:r w:rsidR="000F0947">
                  <w:rPr>
                    <w:noProof/>
                    <w:webHidden/>
                  </w:rPr>
                  <w:tab/>
                </w:r>
                <w:r w:rsidR="000F0947">
                  <w:rPr>
                    <w:noProof/>
                    <w:webHidden/>
                  </w:rPr>
                  <w:fldChar w:fldCharType="begin"/>
                </w:r>
                <w:r w:rsidR="000F0947">
                  <w:rPr>
                    <w:noProof/>
                    <w:webHidden/>
                  </w:rPr>
                  <w:instrText xml:space="preserve"> PAGEREF _Toc518979713 \h </w:instrText>
                </w:r>
                <w:r w:rsidR="000F0947">
                  <w:rPr>
                    <w:noProof/>
                    <w:webHidden/>
                  </w:rPr>
                </w:r>
                <w:r w:rsidR="000F0947">
                  <w:rPr>
                    <w:noProof/>
                    <w:webHidden/>
                  </w:rPr>
                  <w:fldChar w:fldCharType="separate"/>
                </w:r>
                <w:r w:rsidR="000F0947">
                  <w:rPr>
                    <w:noProof/>
                    <w:webHidden/>
                  </w:rPr>
                  <w:t>5</w:t>
                </w:r>
                <w:r w:rsidR="000F0947">
                  <w:rPr>
                    <w:noProof/>
                    <w:webHidden/>
                  </w:rPr>
                  <w:fldChar w:fldCharType="end"/>
                </w:r>
              </w:hyperlink>
            </w:p>
            <w:p w14:paraId="5648C864" w14:textId="77777777" w:rsidR="000F0947" w:rsidRDefault="001F217F" w:rsidP="000F0947">
              <w:pPr>
                <w:pStyle w:val="TOC1"/>
                <w:rPr>
                  <w:rFonts w:eastAsiaTheme="minorEastAsia"/>
                  <w:noProof/>
                </w:rPr>
              </w:pPr>
              <w:hyperlink w:anchor="_Toc518979714" w:history="1">
                <w:r w:rsidR="000F0947" w:rsidRPr="00D66B4F">
                  <w:rPr>
                    <w:rStyle w:val="Hyperlink"/>
                    <w:noProof/>
                  </w:rPr>
                  <w:t>4.</w:t>
                </w:r>
                <w:r w:rsidR="000F0947">
                  <w:rPr>
                    <w:rFonts w:eastAsiaTheme="minorEastAsia"/>
                    <w:noProof/>
                  </w:rPr>
                  <w:tab/>
                </w:r>
                <w:r w:rsidR="000F0947" w:rsidRPr="00D66B4F">
                  <w:rPr>
                    <w:rStyle w:val="Hyperlink"/>
                    <w:noProof/>
                  </w:rPr>
                  <w:t>Further action</w:t>
                </w:r>
                <w:r w:rsidR="000F0947">
                  <w:rPr>
                    <w:noProof/>
                    <w:webHidden/>
                  </w:rPr>
                  <w:tab/>
                </w:r>
                <w:r w:rsidR="000F0947">
                  <w:rPr>
                    <w:noProof/>
                    <w:webHidden/>
                  </w:rPr>
                  <w:fldChar w:fldCharType="begin"/>
                </w:r>
                <w:r w:rsidR="000F0947">
                  <w:rPr>
                    <w:noProof/>
                    <w:webHidden/>
                  </w:rPr>
                  <w:instrText xml:space="preserve"> PAGEREF _Toc518979714 \h </w:instrText>
                </w:r>
                <w:r w:rsidR="000F0947">
                  <w:rPr>
                    <w:noProof/>
                    <w:webHidden/>
                  </w:rPr>
                </w:r>
                <w:r w:rsidR="000F0947">
                  <w:rPr>
                    <w:noProof/>
                    <w:webHidden/>
                  </w:rPr>
                  <w:fldChar w:fldCharType="separate"/>
                </w:r>
                <w:r w:rsidR="000F0947">
                  <w:rPr>
                    <w:noProof/>
                    <w:webHidden/>
                  </w:rPr>
                  <w:t>6</w:t>
                </w:r>
                <w:r w:rsidR="000F0947">
                  <w:rPr>
                    <w:noProof/>
                    <w:webHidden/>
                  </w:rPr>
                  <w:fldChar w:fldCharType="end"/>
                </w:r>
              </w:hyperlink>
            </w:p>
            <w:p w14:paraId="413C8F7A" w14:textId="77777777" w:rsidR="000F0947" w:rsidRDefault="001F217F">
              <w:pPr>
                <w:pStyle w:val="TOC2"/>
                <w:tabs>
                  <w:tab w:val="left" w:pos="880"/>
                  <w:tab w:val="right" w:leader="dot" w:pos="10456"/>
                </w:tabs>
                <w:rPr>
                  <w:rFonts w:eastAsiaTheme="minorEastAsia"/>
                  <w:noProof/>
                </w:rPr>
              </w:pPr>
              <w:hyperlink w:anchor="_Toc518979715" w:history="1">
                <w:r w:rsidR="000F0947" w:rsidRPr="00D66B4F">
                  <w:rPr>
                    <w:rStyle w:val="Hyperlink"/>
                    <w:noProof/>
                  </w:rPr>
                  <w:t>4.1.</w:t>
                </w:r>
                <w:r w:rsidR="000F0947">
                  <w:rPr>
                    <w:rFonts w:eastAsiaTheme="minorEastAsia"/>
                    <w:noProof/>
                  </w:rPr>
                  <w:tab/>
                </w:r>
                <w:r w:rsidR="000F0947" w:rsidRPr="00D66B4F">
                  <w:rPr>
                    <w:rStyle w:val="Hyperlink"/>
                    <w:noProof/>
                  </w:rPr>
                  <w:t>Types of enforcement</w:t>
                </w:r>
                <w:r w:rsidR="000F0947">
                  <w:rPr>
                    <w:noProof/>
                    <w:webHidden/>
                  </w:rPr>
                  <w:tab/>
                </w:r>
                <w:r w:rsidR="000F0947">
                  <w:rPr>
                    <w:noProof/>
                    <w:webHidden/>
                  </w:rPr>
                  <w:fldChar w:fldCharType="begin"/>
                </w:r>
                <w:r w:rsidR="000F0947">
                  <w:rPr>
                    <w:noProof/>
                    <w:webHidden/>
                  </w:rPr>
                  <w:instrText xml:space="preserve"> PAGEREF _Toc518979715 \h </w:instrText>
                </w:r>
                <w:r w:rsidR="000F0947">
                  <w:rPr>
                    <w:noProof/>
                    <w:webHidden/>
                  </w:rPr>
                </w:r>
                <w:r w:rsidR="000F0947">
                  <w:rPr>
                    <w:noProof/>
                    <w:webHidden/>
                  </w:rPr>
                  <w:fldChar w:fldCharType="separate"/>
                </w:r>
                <w:r w:rsidR="000F0947">
                  <w:rPr>
                    <w:noProof/>
                    <w:webHidden/>
                  </w:rPr>
                  <w:t>6</w:t>
                </w:r>
                <w:r w:rsidR="000F0947">
                  <w:rPr>
                    <w:noProof/>
                    <w:webHidden/>
                  </w:rPr>
                  <w:fldChar w:fldCharType="end"/>
                </w:r>
              </w:hyperlink>
            </w:p>
            <w:p w14:paraId="4B59226C" w14:textId="77777777" w:rsidR="000F0947" w:rsidRDefault="001F217F">
              <w:pPr>
                <w:pStyle w:val="TOC2"/>
                <w:tabs>
                  <w:tab w:val="left" w:pos="880"/>
                  <w:tab w:val="right" w:leader="dot" w:pos="10456"/>
                </w:tabs>
                <w:rPr>
                  <w:rFonts w:eastAsiaTheme="minorEastAsia"/>
                  <w:noProof/>
                </w:rPr>
              </w:pPr>
              <w:hyperlink w:anchor="_Toc518979716" w:history="1">
                <w:r w:rsidR="000F0947" w:rsidRPr="00D66B4F">
                  <w:rPr>
                    <w:rStyle w:val="Hyperlink"/>
                    <w:noProof/>
                  </w:rPr>
                  <w:t>4.2.</w:t>
                </w:r>
                <w:r w:rsidR="000F0947">
                  <w:rPr>
                    <w:rFonts w:eastAsiaTheme="minorEastAsia"/>
                    <w:noProof/>
                  </w:rPr>
                  <w:tab/>
                </w:r>
                <w:r w:rsidR="000F0947" w:rsidRPr="00D66B4F">
                  <w:rPr>
                    <w:rStyle w:val="Hyperlink"/>
                    <w:noProof/>
                  </w:rPr>
                  <w:t>Notification</w:t>
                </w:r>
                <w:r w:rsidR="000F0947">
                  <w:rPr>
                    <w:noProof/>
                    <w:webHidden/>
                  </w:rPr>
                  <w:tab/>
                </w:r>
                <w:r w:rsidR="000F0947">
                  <w:rPr>
                    <w:noProof/>
                    <w:webHidden/>
                  </w:rPr>
                  <w:fldChar w:fldCharType="begin"/>
                </w:r>
                <w:r w:rsidR="000F0947">
                  <w:rPr>
                    <w:noProof/>
                    <w:webHidden/>
                  </w:rPr>
                  <w:instrText xml:space="preserve"> PAGEREF _Toc518979716 \h </w:instrText>
                </w:r>
                <w:r w:rsidR="000F0947">
                  <w:rPr>
                    <w:noProof/>
                    <w:webHidden/>
                  </w:rPr>
                </w:r>
                <w:r w:rsidR="000F0947">
                  <w:rPr>
                    <w:noProof/>
                    <w:webHidden/>
                  </w:rPr>
                  <w:fldChar w:fldCharType="separate"/>
                </w:r>
                <w:r w:rsidR="000F0947">
                  <w:rPr>
                    <w:noProof/>
                    <w:webHidden/>
                  </w:rPr>
                  <w:t>7</w:t>
                </w:r>
                <w:r w:rsidR="000F0947">
                  <w:rPr>
                    <w:noProof/>
                    <w:webHidden/>
                  </w:rPr>
                  <w:fldChar w:fldCharType="end"/>
                </w:r>
              </w:hyperlink>
            </w:p>
            <w:p w14:paraId="358A60AD" w14:textId="77777777" w:rsidR="000F0947" w:rsidRDefault="001F217F" w:rsidP="000F0947">
              <w:pPr>
                <w:pStyle w:val="TOC1"/>
                <w:rPr>
                  <w:rFonts w:eastAsiaTheme="minorEastAsia"/>
                  <w:noProof/>
                </w:rPr>
              </w:pPr>
              <w:hyperlink w:anchor="_Toc518979717" w:history="1">
                <w:r w:rsidR="000F0947" w:rsidRPr="00D66B4F">
                  <w:rPr>
                    <w:rStyle w:val="Hyperlink"/>
                    <w:noProof/>
                    <w:lang w:val="en"/>
                  </w:rPr>
                  <w:t>Appendix 1 - Expediency matrix</w:t>
                </w:r>
                <w:r w:rsidR="000F0947">
                  <w:rPr>
                    <w:noProof/>
                    <w:webHidden/>
                  </w:rPr>
                  <w:tab/>
                </w:r>
                <w:r w:rsidR="000F0947">
                  <w:rPr>
                    <w:noProof/>
                    <w:webHidden/>
                  </w:rPr>
                  <w:fldChar w:fldCharType="begin"/>
                </w:r>
                <w:r w:rsidR="000F0947">
                  <w:rPr>
                    <w:noProof/>
                    <w:webHidden/>
                  </w:rPr>
                  <w:instrText xml:space="preserve"> PAGEREF _Toc518979717 \h </w:instrText>
                </w:r>
                <w:r w:rsidR="000F0947">
                  <w:rPr>
                    <w:noProof/>
                    <w:webHidden/>
                  </w:rPr>
                </w:r>
                <w:r w:rsidR="000F0947">
                  <w:rPr>
                    <w:noProof/>
                    <w:webHidden/>
                  </w:rPr>
                  <w:fldChar w:fldCharType="separate"/>
                </w:r>
                <w:r w:rsidR="000F0947">
                  <w:rPr>
                    <w:noProof/>
                    <w:webHidden/>
                  </w:rPr>
                  <w:t>8</w:t>
                </w:r>
                <w:r w:rsidR="000F0947">
                  <w:rPr>
                    <w:noProof/>
                    <w:webHidden/>
                  </w:rPr>
                  <w:fldChar w:fldCharType="end"/>
                </w:r>
              </w:hyperlink>
            </w:p>
            <w:p w14:paraId="18ABA5B7" w14:textId="77777777" w:rsidR="000F0947" w:rsidRDefault="001F217F" w:rsidP="000F0947">
              <w:pPr>
                <w:pStyle w:val="TOC1"/>
                <w:rPr>
                  <w:rFonts w:eastAsiaTheme="minorEastAsia"/>
                  <w:noProof/>
                </w:rPr>
              </w:pPr>
              <w:hyperlink w:anchor="_Toc518979718" w:history="1">
                <w:r w:rsidR="000F0947" w:rsidRPr="00D66B4F">
                  <w:rPr>
                    <w:rStyle w:val="Hyperlink"/>
                    <w:noProof/>
                    <w:lang w:val="en"/>
                  </w:rPr>
                  <w:t>Government Guidance and Legislation</w:t>
                </w:r>
                <w:r w:rsidR="000F0947">
                  <w:rPr>
                    <w:noProof/>
                    <w:webHidden/>
                  </w:rPr>
                  <w:tab/>
                </w:r>
                <w:r w:rsidR="000F0947">
                  <w:rPr>
                    <w:noProof/>
                    <w:webHidden/>
                  </w:rPr>
                  <w:fldChar w:fldCharType="begin"/>
                </w:r>
                <w:r w:rsidR="000F0947">
                  <w:rPr>
                    <w:noProof/>
                    <w:webHidden/>
                  </w:rPr>
                  <w:instrText xml:space="preserve"> PAGEREF _Toc518979718 \h </w:instrText>
                </w:r>
                <w:r w:rsidR="000F0947">
                  <w:rPr>
                    <w:noProof/>
                    <w:webHidden/>
                  </w:rPr>
                </w:r>
                <w:r w:rsidR="000F0947">
                  <w:rPr>
                    <w:noProof/>
                    <w:webHidden/>
                  </w:rPr>
                  <w:fldChar w:fldCharType="separate"/>
                </w:r>
                <w:r w:rsidR="000F0947">
                  <w:rPr>
                    <w:noProof/>
                    <w:webHidden/>
                  </w:rPr>
                  <w:t>9</w:t>
                </w:r>
                <w:r w:rsidR="000F0947">
                  <w:rPr>
                    <w:noProof/>
                    <w:webHidden/>
                  </w:rPr>
                  <w:fldChar w:fldCharType="end"/>
                </w:r>
              </w:hyperlink>
            </w:p>
            <w:p w14:paraId="0C01214B" w14:textId="77777777" w:rsidR="00B710CB" w:rsidRDefault="00B710CB">
              <w:r>
                <w:rPr>
                  <w:b/>
                  <w:bCs/>
                  <w:noProof/>
                </w:rPr>
                <w:fldChar w:fldCharType="end"/>
              </w:r>
            </w:p>
          </w:sdtContent>
        </w:sdt>
        <w:p w14:paraId="2266FC7C" w14:textId="77777777" w:rsidR="00C46327" w:rsidRDefault="001F217F" w:rsidP="00B710CB">
          <w:pPr>
            <w:rPr>
              <w:rFonts w:asciiTheme="majorHAnsi" w:eastAsiaTheme="majorEastAsia" w:hAnsiTheme="majorHAnsi" w:cstheme="majorBidi"/>
              <w:lang w:val="en-US" w:eastAsia="en-US"/>
            </w:rPr>
          </w:pPr>
        </w:p>
      </w:sdtContent>
    </w:sdt>
    <w:p w14:paraId="63F0EA66" w14:textId="77777777" w:rsidR="00B710CB" w:rsidRDefault="00B710CB">
      <w:pPr>
        <w:rPr>
          <w:rFonts w:asciiTheme="majorHAnsi" w:eastAsiaTheme="majorEastAsia" w:hAnsiTheme="majorHAnsi" w:cstheme="majorBidi"/>
          <w:spacing w:val="-10"/>
          <w:kern w:val="28"/>
          <w:sz w:val="56"/>
          <w:szCs w:val="56"/>
        </w:rPr>
      </w:pPr>
      <w:r>
        <w:br w:type="page"/>
      </w:r>
    </w:p>
    <w:p w14:paraId="2C5D4497" w14:textId="77777777" w:rsidR="008E1AA0" w:rsidRDefault="00056CB4" w:rsidP="00056CB4">
      <w:pPr>
        <w:pStyle w:val="Title"/>
      </w:pPr>
      <w:r>
        <w:lastRenderedPageBreak/>
        <w:t>Planning Enforcement Policy</w:t>
      </w:r>
    </w:p>
    <w:p w14:paraId="111D2029" w14:textId="77777777" w:rsidR="00056CB4" w:rsidRDefault="00056CB4" w:rsidP="000F0947">
      <w:pPr>
        <w:pStyle w:val="Heading1"/>
        <w:numPr>
          <w:ilvl w:val="0"/>
          <w:numId w:val="17"/>
        </w:numPr>
      </w:pPr>
      <w:bookmarkStart w:id="1" w:name="_Toc518979706"/>
      <w:r>
        <w:t>Introduction</w:t>
      </w:r>
      <w:bookmarkEnd w:id="1"/>
    </w:p>
    <w:p w14:paraId="25678D6D" w14:textId="77777777" w:rsidR="00056CB4" w:rsidRDefault="00056CB4" w:rsidP="00056CB4">
      <w:pPr>
        <w:rPr>
          <w:lang w:val="en"/>
        </w:rPr>
      </w:pPr>
      <w:r>
        <w:t xml:space="preserve">Local Planning Authorities have a discretionary power to take enforcement action where unauthorised development has taken place.  Unauthorised development includes building works, </w:t>
      </w:r>
      <w:r w:rsidRPr="00056CB4">
        <w:rPr>
          <w:lang w:val="en"/>
        </w:rPr>
        <w:t>changes in the use of buildings or land, the appearance of building</w:t>
      </w:r>
      <w:r w:rsidR="00867571" w:rsidRPr="00AA6787">
        <w:rPr>
          <w:lang w:val="en"/>
        </w:rPr>
        <w:t>s</w:t>
      </w:r>
      <w:r w:rsidRPr="00056CB4">
        <w:rPr>
          <w:lang w:val="en"/>
        </w:rPr>
        <w:t xml:space="preserve"> or land, advertisements, works to Listed Buildings, or works to trees that are protected</w:t>
      </w:r>
      <w:r>
        <w:rPr>
          <w:lang w:val="en"/>
        </w:rPr>
        <w:t>.</w:t>
      </w:r>
    </w:p>
    <w:p w14:paraId="10A961D9" w14:textId="77777777" w:rsidR="00056CB4" w:rsidRDefault="00056CB4" w:rsidP="00056CB4">
      <w:pPr>
        <w:rPr>
          <w:lang w:val="en"/>
        </w:rPr>
      </w:pPr>
      <w:r>
        <w:rPr>
          <w:lang w:val="en"/>
        </w:rPr>
        <w:t xml:space="preserve">We investigate all complaints we receive about </w:t>
      </w:r>
      <w:proofErr w:type="spellStart"/>
      <w:r>
        <w:rPr>
          <w:lang w:val="en"/>
        </w:rPr>
        <w:t>unauthorised</w:t>
      </w:r>
      <w:proofErr w:type="spellEnd"/>
      <w:r>
        <w:rPr>
          <w:lang w:val="en"/>
        </w:rPr>
        <w:t xml:space="preserve"> development and make decisions on whether to take enforcement action based upon the following criteria:</w:t>
      </w:r>
    </w:p>
    <w:p w14:paraId="4D1B6DBD" w14:textId="77777777" w:rsidR="00056CB4" w:rsidRDefault="00056CB4" w:rsidP="00056CB4">
      <w:pPr>
        <w:pStyle w:val="ListParagraph"/>
        <w:numPr>
          <w:ilvl w:val="0"/>
          <w:numId w:val="1"/>
        </w:numPr>
        <w:rPr>
          <w:lang w:val="en"/>
        </w:rPr>
      </w:pPr>
      <w:r>
        <w:rPr>
          <w:lang w:val="en"/>
        </w:rPr>
        <w:t xml:space="preserve">The merits of each case; </w:t>
      </w:r>
    </w:p>
    <w:p w14:paraId="304DD66F" w14:textId="77777777" w:rsidR="00056CB4" w:rsidRDefault="00056CB4" w:rsidP="00056CB4">
      <w:pPr>
        <w:pStyle w:val="ListParagraph"/>
        <w:numPr>
          <w:ilvl w:val="0"/>
          <w:numId w:val="1"/>
        </w:numPr>
        <w:rPr>
          <w:lang w:val="en"/>
        </w:rPr>
      </w:pPr>
      <w:r>
        <w:rPr>
          <w:lang w:val="en"/>
        </w:rPr>
        <w:t xml:space="preserve">The aims and objectives of the </w:t>
      </w:r>
      <w:hyperlink r:id="rId10" w:history="1">
        <w:r w:rsidRPr="00056CB4">
          <w:rPr>
            <w:rStyle w:val="Hyperlink"/>
            <w:lang w:val="en"/>
          </w:rPr>
          <w:t>Local Plan</w:t>
        </w:r>
      </w:hyperlink>
      <w:r>
        <w:rPr>
          <w:lang w:val="en"/>
        </w:rPr>
        <w:t xml:space="preserve"> and other legislation; and </w:t>
      </w:r>
    </w:p>
    <w:p w14:paraId="352833F2" w14:textId="77777777" w:rsidR="00056CB4" w:rsidRDefault="00056CB4" w:rsidP="00056CB4">
      <w:pPr>
        <w:pStyle w:val="ListParagraph"/>
        <w:numPr>
          <w:ilvl w:val="0"/>
          <w:numId w:val="1"/>
        </w:numPr>
        <w:rPr>
          <w:lang w:val="en"/>
        </w:rPr>
      </w:pPr>
      <w:r>
        <w:rPr>
          <w:lang w:val="en"/>
        </w:rPr>
        <w:t>Whether it is expedient or in the public interest to take enforcement action in respect of the above factors.</w:t>
      </w:r>
    </w:p>
    <w:p w14:paraId="625D99A9" w14:textId="77777777" w:rsidR="00056CB4" w:rsidRDefault="00056CB4" w:rsidP="00056CB4">
      <w:pPr>
        <w:rPr>
          <w:lang w:val="en"/>
        </w:rPr>
      </w:pPr>
      <w:r>
        <w:rPr>
          <w:lang w:val="en"/>
        </w:rPr>
        <w:t xml:space="preserve">This policy will set out Torbay Council’s approach to investigating </w:t>
      </w:r>
      <w:proofErr w:type="spellStart"/>
      <w:r>
        <w:rPr>
          <w:lang w:val="en"/>
        </w:rPr>
        <w:t>unauthorised</w:t>
      </w:r>
      <w:proofErr w:type="spellEnd"/>
      <w:r>
        <w:rPr>
          <w:lang w:val="en"/>
        </w:rPr>
        <w:t xml:space="preserve"> development and our decision making process when deciding whether to take enforcement action. </w:t>
      </w:r>
    </w:p>
    <w:p w14:paraId="3BDCE4ED" w14:textId="77777777" w:rsidR="00056CB4" w:rsidRDefault="00056CB4" w:rsidP="000F0947">
      <w:pPr>
        <w:pStyle w:val="Heading2"/>
        <w:numPr>
          <w:ilvl w:val="1"/>
          <w:numId w:val="17"/>
        </w:numPr>
        <w:rPr>
          <w:lang w:val="en"/>
        </w:rPr>
      </w:pPr>
      <w:bookmarkStart w:id="2" w:name="_Toc518979707"/>
      <w:r>
        <w:rPr>
          <w:lang w:val="en"/>
        </w:rPr>
        <w:t>The objectives of the enforcement process are:</w:t>
      </w:r>
      <w:bookmarkEnd w:id="2"/>
    </w:p>
    <w:p w14:paraId="24472D98" w14:textId="77777777" w:rsidR="00056CB4" w:rsidRDefault="00056CB4" w:rsidP="00056CB4">
      <w:pPr>
        <w:pStyle w:val="ListParagraph"/>
        <w:numPr>
          <w:ilvl w:val="0"/>
          <w:numId w:val="2"/>
        </w:numPr>
        <w:rPr>
          <w:lang w:val="en"/>
        </w:rPr>
      </w:pPr>
      <w:r>
        <w:rPr>
          <w:lang w:val="en"/>
        </w:rPr>
        <w:t>Ensure that the aims and objectives of the Local Plan are</w:t>
      </w:r>
      <w:r w:rsidR="00A35ED6">
        <w:rPr>
          <w:lang w:val="en"/>
        </w:rPr>
        <w:t xml:space="preserve"> adhered to and</w:t>
      </w:r>
      <w:r>
        <w:rPr>
          <w:lang w:val="en"/>
        </w:rPr>
        <w:t xml:space="preserve"> implemented.</w:t>
      </w:r>
    </w:p>
    <w:p w14:paraId="59ACDD5C" w14:textId="77777777" w:rsidR="00056CB4" w:rsidRDefault="00056CB4" w:rsidP="00056CB4">
      <w:pPr>
        <w:pStyle w:val="ListParagraph"/>
        <w:numPr>
          <w:ilvl w:val="0"/>
          <w:numId w:val="2"/>
        </w:numPr>
        <w:rPr>
          <w:lang w:val="en"/>
        </w:rPr>
      </w:pPr>
      <w:r>
        <w:rPr>
          <w:lang w:val="en"/>
        </w:rPr>
        <w:t xml:space="preserve">Investigate, resolve and monitor </w:t>
      </w:r>
      <w:proofErr w:type="spellStart"/>
      <w:r>
        <w:rPr>
          <w:lang w:val="en"/>
        </w:rPr>
        <w:t>unauthorised</w:t>
      </w:r>
      <w:proofErr w:type="spellEnd"/>
      <w:r>
        <w:rPr>
          <w:lang w:val="en"/>
        </w:rPr>
        <w:t xml:space="preserve"> development</w:t>
      </w:r>
      <w:r w:rsidR="00A35ED6">
        <w:rPr>
          <w:lang w:val="en"/>
        </w:rPr>
        <w:t>, especially with regard to</w:t>
      </w:r>
      <w:r>
        <w:rPr>
          <w:lang w:val="en"/>
        </w:rPr>
        <w:t xml:space="preserve"> conservation areas, protected trees and listed </w:t>
      </w:r>
      <w:r w:rsidR="00A35ED6">
        <w:rPr>
          <w:lang w:val="en"/>
        </w:rPr>
        <w:t>buildings</w:t>
      </w:r>
      <w:r>
        <w:rPr>
          <w:lang w:val="en"/>
        </w:rPr>
        <w:t>.</w:t>
      </w:r>
    </w:p>
    <w:p w14:paraId="57B4F4A7" w14:textId="77777777" w:rsidR="00056CB4" w:rsidRDefault="00056CB4" w:rsidP="00056CB4">
      <w:pPr>
        <w:pStyle w:val="ListParagraph"/>
        <w:numPr>
          <w:ilvl w:val="0"/>
          <w:numId w:val="2"/>
        </w:numPr>
        <w:rPr>
          <w:lang w:val="en"/>
        </w:rPr>
      </w:pPr>
      <w:r>
        <w:rPr>
          <w:lang w:val="en"/>
        </w:rPr>
        <w:t>Monitor compliance with planning permissions, conditions and planning agreements.</w:t>
      </w:r>
    </w:p>
    <w:p w14:paraId="541A8987" w14:textId="77777777" w:rsidR="00A35ED6" w:rsidRDefault="00056CB4" w:rsidP="00A35ED6">
      <w:pPr>
        <w:pStyle w:val="ListParagraph"/>
        <w:numPr>
          <w:ilvl w:val="0"/>
          <w:numId w:val="2"/>
        </w:numPr>
        <w:rPr>
          <w:lang w:val="en"/>
        </w:rPr>
      </w:pPr>
      <w:r>
        <w:rPr>
          <w:lang w:val="en"/>
        </w:rPr>
        <w:t xml:space="preserve">Investigate and respond to complaints in an efficient and timely manner. </w:t>
      </w:r>
    </w:p>
    <w:p w14:paraId="191AD83C" w14:textId="77777777" w:rsidR="00B6518C" w:rsidRDefault="00022F7E" w:rsidP="000F0947">
      <w:pPr>
        <w:pStyle w:val="Heading2"/>
        <w:numPr>
          <w:ilvl w:val="1"/>
          <w:numId w:val="17"/>
        </w:numPr>
        <w:rPr>
          <w:lang w:val="en"/>
        </w:rPr>
      </w:pPr>
      <w:bookmarkStart w:id="3" w:name="_Toc518979708"/>
      <w:r>
        <w:rPr>
          <w:lang w:val="en"/>
        </w:rPr>
        <w:t>Torbay Council’s principles of enforcement</w:t>
      </w:r>
      <w:bookmarkEnd w:id="3"/>
    </w:p>
    <w:p w14:paraId="35E6479F" w14:textId="77777777" w:rsidR="00022F7E" w:rsidRDefault="00B6518C" w:rsidP="00022F7E">
      <w:pPr>
        <w:pStyle w:val="ListParagraph"/>
        <w:numPr>
          <w:ilvl w:val="0"/>
          <w:numId w:val="6"/>
        </w:numPr>
        <w:rPr>
          <w:lang w:val="en"/>
        </w:rPr>
      </w:pPr>
      <w:r w:rsidRPr="00022F7E">
        <w:rPr>
          <w:lang w:val="en"/>
        </w:rPr>
        <w:t xml:space="preserve">Torbay Council will apply its Planning Enforcement </w:t>
      </w:r>
      <w:r w:rsidR="00867571" w:rsidRPr="004B4F73">
        <w:rPr>
          <w:lang w:val="en"/>
        </w:rPr>
        <w:t xml:space="preserve">Policy </w:t>
      </w:r>
      <w:r w:rsidRPr="00022F7E">
        <w:rPr>
          <w:lang w:val="en"/>
        </w:rPr>
        <w:t xml:space="preserve">in an equitable and fair manner. </w:t>
      </w:r>
      <w:r w:rsidR="00FA5D62">
        <w:rPr>
          <w:lang w:val="en"/>
        </w:rPr>
        <w:t>This</w:t>
      </w:r>
      <w:r w:rsidR="00754461">
        <w:rPr>
          <w:lang w:val="en"/>
        </w:rPr>
        <w:t xml:space="preserve"> means that there will be a consistent approach to investigation and consideration of enforcement action, but does not mean uniformity. </w:t>
      </w:r>
    </w:p>
    <w:p w14:paraId="5E565FB9" w14:textId="77777777" w:rsidR="00754461" w:rsidRPr="00754461" w:rsidRDefault="00754461" w:rsidP="00754461">
      <w:pPr>
        <w:pStyle w:val="ListParagraph"/>
        <w:numPr>
          <w:ilvl w:val="0"/>
          <w:numId w:val="6"/>
        </w:numPr>
        <w:rPr>
          <w:lang w:val="en"/>
        </w:rPr>
      </w:pPr>
      <w:r w:rsidRPr="00754461">
        <w:rPr>
          <w:lang w:val="en"/>
        </w:rPr>
        <w:t>We will conduct all investigations with discretion.</w:t>
      </w:r>
    </w:p>
    <w:p w14:paraId="32A3288E" w14:textId="77777777" w:rsidR="00754461" w:rsidRDefault="00754461" w:rsidP="00754461">
      <w:pPr>
        <w:pStyle w:val="ListParagraph"/>
        <w:numPr>
          <w:ilvl w:val="0"/>
          <w:numId w:val="6"/>
        </w:numPr>
        <w:rPr>
          <w:lang w:val="en"/>
        </w:rPr>
      </w:pPr>
      <w:r w:rsidRPr="00754461">
        <w:rPr>
          <w:lang w:val="en"/>
        </w:rPr>
        <w:t xml:space="preserve">We will actively work to </w:t>
      </w:r>
      <w:proofErr w:type="gramStart"/>
      <w:r w:rsidRPr="00754461">
        <w:rPr>
          <w:lang w:val="en"/>
        </w:rPr>
        <w:t>advise</w:t>
      </w:r>
      <w:proofErr w:type="gramEnd"/>
      <w:r w:rsidRPr="00754461">
        <w:rPr>
          <w:lang w:val="en"/>
        </w:rPr>
        <w:t xml:space="preserve"> and assist with compliance, seeking solutions with all parties.</w:t>
      </w:r>
    </w:p>
    <w:p w14:paraId="38579C17" w14:textId="77777777" w:rsidR="00754461" w:rsidRPr="00022F7E" w:rsidRDefault="00754461" w:rsidP="00022F7E">
      <w:pPr>
        <w:pStyle w:val="ListParagraph"/>
        <w:numPr>
          <w:ilvl w:val="0"/>
          <w:numId w:val="6"/>
        </w:numPr>
        <w:rPr>
          <w:lang w:val="en"/>
        </w:rPr>
      </w:pPr>
      <w:r>
        <w:rPr>
          <w:lang w:val="en"/>
        </w:rPr>
        <w:t>We will take into account the circumstances of the case, the degree of harm (or potential harm) and the impact on the wider public interest when considering appropriate action.</w:t>
      </w:r>
    </w:p>
    <w:p w14:paraId="140BE34B" w14:textId="77777777" w:rsidR="00022F7E" w:rsidRDefault="00022F7E" w:rsidP="00022F7E">
      <w:pPr>
        <w:pStyle w:val="ListParagraph"/>
        <w:numPr>
          <w:ilvl w:val="0"/>
          <w:numId w:val="6"/>
        </w:numPr>
        <w:rPr>
          <w:lang w:val="en"/>
        </w:rPr>
      </w:pPr>
      <w:r>
        <w:rPr>
          <w:lang w:val="en"/>
        </w:rPr>
        <w:t>We</w:t>
      </w:r>
      <w:r w:rsidR="00754461">
        <w:rPr>
          <w:lang w:val="en"/>
        </w:rPr>
        <w:t xml:space="preserve"> will make clear the reasons </w:t>
      </w:r>
      <w:r w:rsidR="00274FBC">
        <w:rPr>
          <w:lang w:val="en"/>
        </w:rPr>
        <w:t xml:space="preserve">why the Council has decided to take or not take enforcement action on a specific case. </w:t>
      </w:r>
    </w:p>
    <w:p w14:paraId="271B6BEB" w14:textId="77777777" w:rsidR="00274FBC" w:rsidRDefault="0086038B" w:rsidP="000F0947">
      <w:pPr>
        <w:pStyle w:val="Heading2"/>
        <w:numPr>
          <w:ilvl w:val="1"/>
          <w:numId w:val="17"/>
        </w:numPr>
        <w:rPr>
          <w:lang w:val="en"/>
        </w:rPr>
      </w:pPr>
      <w:bookmarkStart w:id="4" w:name="_Toc518979709"/>
      <w:r>
        <w:rPr>
          <w:lang w:val="en"/>
        </w:rPr>
        <w:t>Expediency</w:t>
      </w:r>
      <w:bookmarkEnd w:id="4"/>
      <w:r w:rsidR="000F0947">
        <w:rPr>
          <w:lang w:val="en"/>
        </w:rPr>
        <w:tab/>
      </w:r>
    </w:p>
    <w:p w14:paraId="6207EEA3" w14:textId="24DD2858" w:rsidR="008E572B" w:rsidRDefault="003D2389" w:rsidP="00274FBC">
      <w:pPr>
        <w:rPr>
          <w:lang w:val="en"/>
        </w:rPr>
      </w:pPr>
      <w:r>
        <w:rPr>
          <w:lang w:val="en"/>
        </w:rPr>
        <w:t xml:space="preserve">The use of enforcement powers is discretionary and the Council will take into account a number of factors and </w:t>
      </w:r>
      <w:r w:rsidR="002C4EC5">
        <w:rPr>
          <w:lang w:val="en"/>
        </w:rPr>
        <w:t>will make a judgement about whet</w:t>
      </w:r>
      <w:r w:rsidR="008E572B">
        <w:rPr>
          <w:lang w:val="en"/>
        </w:rPr>
        <w:t>her to take enforcement action ba</w:t>
      </w:r>
      <w:r>
        <w:rPr>
          <w:lang w:val="en"/>
        </w:rPr>
        <w:t>sed upon the following criteria:</w:t>
      </w:r>
    </w:p>
    <w:p w14:paraId="655ABC01" w14:textId="77777777" w:rsidR="008E572B" w:rsidRPr="003D2389" w:rsidRDefault="008E572B" w:rsidP="003D2389">
      <w:pPr>
        <w:pStyle w:val="ListParagraph"/>
        <w:numPr>
          <w:ilvl w:val="0"/>
          <w:numId w:val="7"/>
        </w:numPr>
        <w:rPr>
          <w:lang w:val="en"/>
        </w:rPr>
      </w:pPr>
      <w:r w:rsidRPr="003D2389">
        <w:rPr>
          <w:lang w:val="en"/>
        </w:rPr>
        <w:t>Whether the breach of control would unacceptably affect public amenity, including Tree Preservation Orders.</w:t>
      </w:r>
    </w:p>
    <w:p w14:paraId="64EB5591" w14:textId="77777777" w:rsidR="008E572B" w:rsidRPr="003D2389" w:rsidRDefault="008E572B" w:rsidP="003D2389">
      <w:pPr>
        <w:pStyle w:val="ListParagraph"/>
        <w:numPr>
          <w:ilvl w:val="0"/>
          <w:numId w:val="7"/>
        </w:numPr>
        <w:rPr>
          <w:lang w:val="en"/>
        </w:rPr>
      </w:pPr>
      <w:r w:rsidRPr="003D2389">
        <w:rPr>
          <w:lang w:val="en"/>
        </w:rPr>
        <w:t xml:space="preserve">Whether it would give rise to a serious risk to public safety </w:t>
      </w:r>
    </w:p>
    <w:p w14:paraId="333E8866" w14:textId="77777777" w:rsidR="008E572B" w:rsidRDefault="008E572B" w:rsidP="003D2389">
      <w:pPr>
        <w:pStyle w:val="ListParagraph"/>
        <w:numPr>
          <w:ilvl w:val="0"/>
          <w:numId w:val="7"/>
        </w:numPr>
        <w:rPr>
          <w:lang w:val="en"/>
        </w:rPr>
      </w:pPr>
      <w:r w:rsidRPr="003D2389">
        <w:rPr>
          <w:lang w:val="en"/>
        </w:rPr>
        <w:t>Whether the existing use of the land/buildings merit protection in the public interest</w:t>
      </w:r>
    </w:p>
    <w:p w14:paraId="01037A0A" w14:textId="77777777" w:rsidR="00615ACF" w:rsidRPr="003D2389" w:rsidRDefault="00615ACF" w:rsidP="003D2389">
      <w:pPr>
        <w:pStyle w:val="ListParagraph"/>
        <w:numPr>
          <w:ilvl w:val="0"/>
          <w:numId w:val="7"/>
        </w:numPr>
        <w:rPr>
          <w:lang w:val="en"/>
        </w:rPr>
      </w:pPr>
      <w:r>
        <w:rPr>
          <w:lang w:val="en"/>
        </w:rPr>
        <w:t xml:space="preserve">Whether the development is in a Core Tourism Investment Area, as designated in </w:t>
      </w:r>
      <w:proofErr w:type="spellStart"/>
      <w:r>
        <w:rPr>
          <w:lang w:val="en"/>
        </w:rPr>
        <w:t>Torbay’s</w:t>
      </w:r>
      <w:proofErr w:type="spellEnd"/>
      <w:r>
        <w:rPr>
          <w:lang w:val="en"/>
        </w:rPr>
        <w:t xml:space="preserve"> Local Plan 2012 - 2030</w:t>
      </w:r>
    </w:p>
    <w:p w14:paraId="7D6D81F5" w14:textId="77777777" w:rsidR="00D77948" w:rsidRPr="00564A83" w:rsidRDefault="00D77948" w:rsidP="003D2389">
      <w:pPr>
        <w:rPr>
          <w:strike/>
          <w:lang w:val="en"/>
        </w:rPr>
      </w:pPr>
      <w:r w:rsidRPr="003D2389">
        <w:rPr>
          <w:lang w:val="en"/>
        </w:rPr>
        <w:t>In considering whether to take enforcement action the Council will not give weight to the fact that development may have already commenced. It is not a criminal offence to carry out development without planning permi</w:t>
      </w:r>
      <w:r w:rsidR="00FA5D62">
        <w:rPr>
          <w:lang w:val="en"/>
        </w:rPr>
        <w:t>ssion, unless this involves a Li</w:t>
      </w:r>
      <w:r w:rsidRPr="003D2389">
        <w:rPr>
          <w:lang w:val="en"/>
        </w:rPr>
        <w:t>st</w:t>
      </w:r>
      <w:r w:rsidR="00FA5D62">
        <w:rPr>
          <w:lang w:val="en"/>
        </w:rPr>
        <w:t>ed B</w:t>
      </w:r>
      <w:r w:rsidRPr="003D2389">
        <w:rPr>
          <w:lang w:val="en"/>
        </w:rPr>
        <w:t xml:space="preserve">uilding or a tree protected under a Tree Preservation Order. </w:t>
      </w:r>
    </w:p>
    <w:p w14:paraId="6D1F9A46" w14:textId="77777777" w:rsidR="00505D05" w:rsidRDefault="00505D05" w:rsidP="000F0947">
      <w:pPr>
        <w:pStyle w:val="Heading2"/>
        <w:numPr>
          <w:ilvl w:val="1"/>
          <w:numId w:val="17"/>
        </w:numPr>
        <w:rPr>
          <w:lang w:val="en"/>
        </w:rPr>
      </w:pPr>
      <w:bookmarkStart w:id="5" w:name="_Toc518979710"/>
      <w:r>
        <w:rPr>
          <w:lang w:val="en"/>
        </w:rPr>
        <w:lastRenderedPageBreak/>
        <w:t>Proportionality</w:t>
      </w:r>
      <w:bookmarkEnd w:id="5"/>
    </w:p>
    <w:p w14:paraId="706E67FD" w14:textId="79FDF0FA" w:rsidR="00D04749" w:rsidRDefault="00505D05" w:rsidP="00505D05">
      <w:pPr>
        <w:rPr>
          <w:lang w:val="en"/>
        </w:rPr>
      </w:pPr>
      <w:r>
        <w:rPr>
          <w:lang w:val="en"/>
        </w:rPr>
        <w:t xml:space="preserve">When considering </w:t>
      </w:r>
      <w:r w:rsidR="003D2389">
        <w:rPr>
          <w:lang w:val="en"/>
        </w:rPr>
        <w:t>whether to take enforc</w:t>
      </w:r>
      <w:r w:rsidR="00E701F4">
        <w:rPr>
          <w:lang w:val="en"/>
        </w:rPr>
        <w:t>ement action</w:t>
      </w:r>
      <w:r w:rsidR="007F124B">
        <w:rPr>
          <w:lang w:val="en"/>
        </w:rPr>
        <w:t xml:space="preserve">, </w:t>
      </w:r>
      <w:r w:rsidR="00E701F4">
        <w:rPr>
          <w:lang w:val="en"/>
        </w:rPr>
        <w:t xml:space="preserve">the Council will </w:t>
      </w:r>
      <w:r w:rsidR="00FE1B63">
        <w:rPr>
          <w:lang w:val="en"/>
        </w:rPr>
        <w:t>take action commensurate with the</w:t>
      </w:r>
      <w:r w:rsidR="00E701F4">
        <w:rPr>
          <w:lang w:val="en"/>
        </w:rPr>
        <w:t xml:space="preserve"> </w:t>
      </w:r>
      <w:r w:rsidR="00FE1B63">
        <w:rPr>
          <w:lang w:val="en"/>
        </w:rPr>
        <w:t xml:space="preserve">harm/potential harm caused by the development. The cost of </w:t>
      </w:r>
      <w:r w:rsidR="007A3B69">
        <w:rPr>
          <w:lang w:val="en"/>
        </w:rPr>
        <w:t xml:space="preserve">taking </w:t>
      </w:r>
      <w:r w:rsidR="00FE1B63">
        <w:rPr>
          <w:lang w:val="en"/>
        </w:rPr>
        <w:t>enforcement action will be balanced against the value</w:t>
      </w:r>
      <w:r w:rsidR="00D04749">
        <w:rPr>
          <w:lang w:val="en"/>
        </w:rPr>
        <w:t xml:space="preserve"> gained from enforcement action. </w:t>
      </w:r>
    </w:p>
    <w:p w14:paraId="569838CA" w14:textId="77777777" w:rsidR="00D04749" w:rsidRDefault="00D04749" w:rsidP="00505D05">
      <w:pPr>
        <w:rPr>
          <w:lang w:val="en"/>
        </w:rPr>
      </w:pPr>
      <w:r>
        <w:rPr>
          <w:lang w:val="en"/>
        </w:rPr>
        <w:t xml:space="preserve">We will consider a ‘de </w:t>
      </w:r>
      <w:proofErr w:type="spellStart"/>
      <w:r>
        <w:rPr>
          <w:lang w:val="en"/>
        </w:rPr>
        <w:t>minimis</w:t>
      </w:r>
      <w:proofErr w:type="spellEnd"/>
      <w:r>
        <w:rPr>
          <w:lang w:val="en"/>
        </w:rPr>
        <w:t xml:space="preserve">’ level of harm caused when considering whether to take enforcement action. This ‘de </w:t>
      </w:r>
      <w:proofErr w:type="spellStart"/>
      <w:r>
        <w:rPr>
          <w:lang w:val="en"/>
        </w:rPr>
        <w:t>minimis</w:t>
      </w:r>
      <w:proofErr w:type="spellEnd"/>
      <w:r>
        <w:rPr>
          <w:lang w:val="en"/>
        </w:rPr>
        <w:t xml:space="preserve">’ level will be different dependent on the merits of each case. In broad terms, we will not take any enforcement action where a breach is below </w:t>
      </w:r>
      <w:r w:rsidR="0020184D">
        <w:rPr>
          <w:lang w:val="en"/>
        </w:rPr>
        <w:t>250</w:t>
      </w:r>
      <w:r>
        <w:rPr>
          <w:lang w:val="en"/>
        </w:rPr>
        <w:t xml:space="preserve">mm of </w:t>
      </w:r>
      <w:r w:rsidR="0020184D">
        <w:rPr>
          <w:lang w:val="en"/>
        </w:rPr>
        <w:t xml:space="preserve">previously consented or permitted development. </w:t>
      </w:r>
      <w:r>
        <w:rPr>
          <w:lang w:val="en"/>
        </w:rPr>
        <w:t xml:space="preserve"> </w:t>
      </w:r>
    </w:p>
    <w:p w14:paraId="28C77C2B" w14:textId="77777777" w:rsidR="00307776" w:rsidRDefault="00307776" w:rsidP="000F0947">
      <w:pPr>
        <w:pStyle w:val="Heading1"/>
        <w:numPr>
          <w:ilvl w:val="0"/>
          <w:numId w:val="17"/>
        </w:numPr>
        <w:rPr>
          <w:lang w:val="en"/>
        </w:rPr>
      </w:pPr>
      <w:bookmarkStart w:id="6" w:name="_Toc518979711"/>
      <w:r>
        <w:rPr>
          <w:lang w:val="en"/>
        </w:rPr>
        <w:t>How to report a breach of planning control</w:t>
      </w:r>
      <w:bookmarkEnd w:id="6"/>
    </w:p>
    <w:p w14:paraId="07F34ED9" w14:textId="1DE7B2D0" w:rsidR="00307776" w:rsidRDefault="007D334B" w:rsidP="00307776">
      <w:pPr>
        <w:rPr>
          <w:lang w:val="en"/>
        </w:rPr>
      </w:pPr>
      <w:r>
        <w:rPr>
          <w:lang w:val="en"/>
        </w:rPr>
        <w:t xml:space="preserve">We will provide the option to report a planning breach via our website. We will also provide the facility to print off a paper </w:t>
      </w:r>
      <w:r w:rsidR="0056693D">
        <w:rPr>
          <w:lang w:val="en"/>
        </w:rPr>
        <w:t>version</w:t>
      </w:r>
      <w:r>
        <w:rPr>
          <w:lang w:val="en"/>
        </w:rPr>
        <w:t xml:space="preserve"> </w:t>
      </w:r>
      <w:r w:rsidR="003416DA" w:rsidRPr="00581001">
        <w:rPr>
          <w:lang w:val="en"/>
        </w:rPr>
        <w:t xml:space="preserve">of your complaint </w:t>
      </w:r>
      <w:r w:rsidR="0056693D">
        <w:rPr>
          <w:lang w:val="en"/>
        </w:rPr>
        <w:t>from our website.</w:t>
      </w:r>
    </w:p>
    <w:p w14:paraId="1C248A6A" w14:textId="540B5AB3" w:rsidR="0056693D" w:rsidRDefault="0056693D" w:rsidP="00307776">
      <w:pPr>
        <w:rPr>
          <w:lang w:val="en"/>
        </w:rPr>
      </w:pPr>
      <w:r>
        <w:rPr>
          <w:lang w:val="en"/>
        </w:rPr>
        <w:t xml:space="preserve">We request that </w:t>
      </w:r>
      <w:r w:rsidR="00581001">
        <w:rPr>
          <w:lang w:val="en"/>
        </w:rPr>
        <w:t xml:space="preserve">reports of </w:t>
      </w:r>
      <w:r>
        <w:rPr>
          <w:lang w:val="en"/>
        </w:rPr>
        <w:t xml:space="preserve">planning breaches are </w:t>
      </w:r>
      <w:r w:rsidR="003416DA" w:rsidRPr="00581001">
        <w:rPr>
          <w:lang w:val="en"/>
        </w:rPr>
        <w:t>submitted</w:t>
      </w:r>
      <w:r w:rsidR="003416DA">
        <w:rPr>
          <w:color w:val="FF0000"/>
          <w:lang w:val="en"/>
        </w:rPr>
        <w:t xml:space="preserve"> </w:t>
      </w:r>
      <w:r>
        <w:rPr>
          <w:lang w:val="en"/>
        </w:rPr>
        <w:t>via the completion of a form to ensure that we capture all of the information required to undertake an investigation.</w:t>
      </w:r>
    </w:p>
    <w:p w14:paraId="40DEC519" w14:textId="77777777" w:rsidR="007A3B69" w:rsidRDefault="007A3B69" w:rsidP="00307776">
      <w:pPr>
        <w:rPr>
          <w:lang w:val="en"/>
        </w:rPr>
      </w:pPr>
      <w:r>
        <w:rPr>
          <w:lang w:val="en"/>
        </w:rPr>
        <w:t>Information we require to allow us to investigate includes:</w:t>
      </w:r>
    </w:p>
    <w:p w14:paraId="3D3C1996" w14:textId="77777777" w:rsidR="007A3B69" w:rsidRDefault="007A3B69" w:rsidP="007A3B69">
      <w:pPr>
        <w:pStyle w:val="ListParagraph"/>
        <w:numPr>
          <w:ilvl w:val="0"/>
          <w:numId w:val="15"/>
        </w:numPr>
        <w:rPr>
          <w:lang w:val="en"/>
        </w:rPr>
      </w:pPr>
      <w:r>
        <w:rPr>
          <w:lang w:val="en"/>
        </w:rPr>
        <w:t xml:space="preserve">The type of work being undertaken, e.g. </w:t>
      </w:r>
      <w:proofErr w:type="spellStart"/>
      <w:r>
        <w:rPr>
          <w:lang w:val="en"/>
        </w:rPr>
        <w:t>unauthorised</w:t>
      </w:r>
      <w:proofErr w:type="spellEnd"/>
      <w:r>
        <w:rPr>
          <w:lang w:val="en"/>
        </w:rPr>
        <w:t xml:space="preserve"> building or demolition</w:t>
      </w:r>
    </w:p>
    <w:p w14:paraId="45AE7099" w14:textId="77777777" w:rsidR="007A3B69" w:rsidRDefault="007A3B69" w:rsidP="007A3B69">
      <w:pPr>
        <w:pStyle w:val="ListParagraph"/>
        <w:numPr>
          <w:ilvl w:val="0"/>
          <w:numId w:val="15"/>
        </w:numPr>
        <w:rPr>
          <w:lang w:val="en"/>
        </w:rPr>
      </w:pPr>
      <w:r>
        <w:rPr>
          <w:lang w:val="en"/>
        </w:rPr>
        <w:t>The site address</w:t>
      </w:r>
    </w:p>
    <w:p w14:paraId="50228701" w14:textId="77777777" w:rsidR="007A3B69" w:rsidRDefault="007A3B69" w:rsidP="007A3B69">
      <w:pPr>
        <w:pStyle w:val="ListParagraph"/>
        <w:numPr>
          <w:ilvl w:val="0"/>
          <w:numId w:val="15"/>
        </w:numPr>
        <w:rPr>
          <w:lang w:val="en"/>
        </w:rPr>
      </w:pPr>
      <w:r>
        <w:rPr>
          <w:lang w:val="en"/>
        </w:rPr>
        <w:t>The person responsible for the works (if known)</w:t>
      </w:r>
    </w:p>
    <w:p w14:paraId="57A22101" w14:textId="77777777" w:rsidR="007A3B69" w:rsidRDefault="007A3B69" w:rsidP="007A3B69">
      <w:pPr>
        <w:pStyle w:val="ListParagraph"/>
        <w:numPr>
          <w:ilvl w:val="0"/>
          <w:numId w:val="15"/>
        </w:numPr>
        <w:rPr>
          <w:lang w:val="en"/>
        </w:rPr>
      </w:pPr>
      <w:r>
        <w:rPr>
          <w:lang w:val="en"/>
        </w:rPr>
        <w:t xml:space="preserve">The name and contact details of the person making the complaint (we </w:t>
      </w:r>
      <w:r w:rsidR="00C46327">
        <w:rPr>
          <w:lang w:val="en"/>
        </w:rPr>
        <w:t>reserve</w:t>
      </w:r>
      <w:r>
        <w:rPr>
          <w:lang w:val="en"/>
        </w:rPr>
        <w:t xml:space="preserve"> the right to only investigate serious breaches of planning control that are reported by anonymous sources).</w:t>
      </w:r>
    </w:p>
    <w:p w14:paraId="01D915EF" w14:textId="77777777" w:rsidR="00C46327" w:rsidRDefault="00C46327" w:rsidP="007A3B69">
      <w:pPr>
        <w:pStyle w:val="ListParagraph"/>
        <w:numPr>
          <w:ilvl w:val="0"/>
          <w:numId w:val="15"/>
        </w:numPr>
        <w:rPr>
          <w:lang w:val="en"/>
        </w:rPr>
      </w:pPr>
      <w:r>
        <w:rPr>
          <w:lang w:val="en"/>
        </w:rPr>
        <w:t xml:space="preserve">A description of why there is a potential breach of planning control. </w:t>
      </w:r>
    </w:p>
    <w:p w14:paraId="002B1AE4" w14:textId="77777777" w:rsidR="00C46327" w:rsidRDefault="00C46327" w:rsidP="007A3B69">
      <w:pPr>
        <w:pStyle w:val="ListParagraph"/>
        <w:numPr>
          <w:ilvl w:val="0"/>
          <w:numId w:val="15"/>
        </w:numPr>
        <w:rPr>
          <w:lang w:val="en"/>
        </w:rPr>
      </w:pPr>
      <w:r>
        <w:rPr>
          <w:lang w:val="en"/>
        </w:rPr>
        <w:t xml:space="preserve">Any evidence which may help the investigation, for example photographs of the site. </w:t>
      </w:r>
    </w:p>
    <w:p w14:paraId="10B33EA0" w14:textId="77777777" w:rsidR="003416DA" w:rsidRPr="00581001" w:rsidRDefault="003416DA" w:rsidP="007A3B69">
      <w:pPr>
        <w:pStyle w:val="ListParagraph"/>
        <w:numPr>
          <w:ilvl w:val="0"/>
          <w:numId w:val="15"/>
        </w:numPr>
        <w:rPr>
          <w:lang w:val="en"/>
        </w:rPr>
      </w:pPr>
      <w:r w:rsidRPr="00581001">
        <w:rPr>
          <w:lang w:val="en"/>
        </w:rPr>
        <w:t>The harm that the breach causes.</w:t>
      </w:r>
    </w:p>
    <w:p w14:paraId="47764787" w14:textId="77777777" w:rsidR="00C46327" w:rsidRDefault="00C46327">
      <w:pPr>
        <w:rPr>
          <w:rFonts w:asciiTheme="majorHAnsi" w:eastAsiaTheme="majorEastAsia" w:hAnsiTheme="majorHAnsi" w:cstheme="majorBidi"/>
          <w:color w:val="2E74B5" w:themeColor="accent1" w:themeShade="BF"/>
          <w:sz w:val="32"/>
          <w:szCs w:val="32"/>
          <w:lang w:val="en"/>
        </w:rPr>
      </w:pPr>
      <w:r>
        <w:rPr>
          <w:lang w:val="en"/>
        </w:rPr>
        <w:br w:type="page"/>
      </w:r>
    </w:p>
    <w:p w14:paraId="1FA2D399" w14:textId="77777777" w:rsidR="001D6E23" w:rsidRDefault="001D6E23" w:rsidP="000F0947">
      <w:pPr>
        <w:pStyle w:val="Heading1"/>
        <w:numPr>
          <w:ilvl w:val="0"/>
          <w:numId w:val="17"/>
        </w:numPr>
        <w:rPr>
          <w:lang w:val="en"/>
        </w:rPr>
      </w:pPr>
      <w:bookmarkStart w:id="7" w:name="_Toc518979712"/>
      <w:r>
        <w:rPr>
          <w:lang w:val="en"/>
        </w:rPr>
        <w:lastRenderedPageBreak/>
        <w:t>Investigation</w:t>
      </w:r>
      <w:bookmarkEnd w:id="7"/>
    </w:p>
    <w:p w14:paraId="449C47FC" w14:textId="1C9F46D0" w:rsidR="00BF6E69" w:rsidRPr="00BF6E69" w:rsidRDefault="00BF6E69" w:rsidP="00BF6E69">
      <w:pPr>
        <w:rPr>
          <w:lang w:val="en"/>
        </w:rPr>
      </w:pPr>
      <w:r>
        <w:rPr>
          <w:lang w:val="en"/>
        </w:rPr>
        <w:t xml:space="preserve">We receive </w:t>
      </w:r>
      <w:r w:rsidR="00581001">
        <w:rPr>
          <w:lang w:val="en"/>
        </w:rPr>
        <w:t xml:space="preserve">in the region of 300 complaints </w:t>
      </w:r>
      <w:r>
        <w:rPr>
          <w:lang w:val="en"/>
        </w:rPr>
        <w:t xml:space="preserve">each year. Some of these complaints will require no further investigation because we identify that planning permission already exists for the work, or that planning permission was not required. </w:t>
      </w:r>
    </w:p>
    <w:p w14:paraId="3A825940" w14:textId="77777777" w:rsidR="00BF6E69" w:rsidRDefault="001D6E23" w:rsidP="001D6E23">
      <w:pPr>
        <w:rPr>
          <w:lang w:val="en"/>
        </w:rPr>
      </w:pPr>
      <w:r>
        <w:rPr>
          <w:lang w:val="en"/>
        </w:rPr>
        <w:t xml:space="preserve">Complaints that are made are logged on our system and allocated to an Investigation Officer. The officer’s first task will be to identify whether there is existing planning permission for the development and they will do this by researching our records. </w:t>
      </w:r>
    </w:p>
    <w:p w14:paraId="35A6C9C3" w14:textId="77777777" w:rsidR="00C12D35" w:rsidRDefault="00C12D35" w:rsidP="001D6E23">
      <w:pPr>
        <w:rPr>
          <w:lang w:val="en"/>
        </w:rPr>
      </w:pPr>
      <w:r>
        <w:rPr>
          <w:lang w:val="en"/>
        </w:rPr>
        <w:t>We will then identify whether the potential breach is subject to a time limit for taking Enforcement Action</w:t>
      </w:r>
      <w:r w:rsidR="00EC1C96">
        <w:rPr>
          <w:lang w:val="en"/>
        </w:rPr>
        <w:t>. The time limits are as follows:</w:t>
      </w:r>
    </w:p>
    <w:p w14:paraId="5A970BB0" w14:textId="77777777" w:rsidR="006401BB" w:rsidRDefault="006401BB" w:rsidP="006401BB">
      <w:pPr>
        <w:pStyle w:val="Default"/>
        <w:numPr>
          <w:ilvl w:val="0"/>
          <w:numId w:val="14"/>
        </w:numPr>
        <w:rPr>
          <w:sz w:val="22"/>
          <w:szCs w:val="22"/>
        </w:rPr>
      </w:pPr>
      <w:r>
        <w:rPr>
          <w:sz w:val="22"/>
          <w:szCs w:val="22"/>
        </w:rPr>
        <w:t xml:space="preserve">4 years in respect of operational development (building or ground works) or the change of use of a building to a single dwelling. </w:t>
      </w:r>
      <w:r w:rsidR="0056693D">
        <w:rPr>
          <w:sz w:val="22"/>
          <w:szCs w:val="22"/>
        </w:rPr>
        <w:t xml:space="preserve"> Where there is evidence than development has been deliberately concealed and investigation may still be carried out and action taken. </w:t>
      </w:r>
    </w:p>
    <w:p w14:paraId="6FA85493" w14:textId="77777777" w:rsidR="006401BB" w:rsidRDefault="006401BB" w:rsidP="00EC1C96">
      <w:pPr>
        <w:pStyle w:val="ListParagraph"/>
        <w:numPr>
          <w:ilvl w:val="0"/>
          <w:numId w:val="14"/>
        </w:numPr>
        <w:rPr>
          <w:lang w:val="en"/>
        </w:rPr>
      </w:pPr>
      <w:r>
        <w:rPr>
          <w:lang w:val="en"/>
        </w:rPr>
        <w:t>Within 10 years for any other breach of planning control (essentially other changes of use).</w:t>
      </w:r>
    </w:p>
    <w:p w14:paraId="27C16BFD" w14:textId="77777777" w:rsidR="00BE061C" w:rsidRPr="00581001" w:rsidRDefault="00BE061C" w:rsidP="00EC1C96">
      <w:pPr>
        <w:pStyle w:val="ListParagraph"/>
        <w:numPr>
          <w:ilvl w:val="0"/>
          <w:numId w:val="14"/>
        </w:numPr>
        <w:rPr>
          <w:lang w:val="en"/>
        </w:rPr>
      </w:pPr>
      <w:r w:rsidRPr="00581001">
        <w:rPr>
          <w:lang w:val="en"/>
        </w:rPr>
        <w:t>No time limit on breaches relating to listed buildings</w:t>
      </w:r>
    </w:p>
    <w:p w14:paraId="425881A2" w14:textId="5D458C98" w:rsidR="00C80CD9" w:rsidRDefault="00C80CD9" w:rsidP="001D6E23">
      <w:pPr>
        <w:rPr>
          <w:lang w:val="en"/>
        </w:rPr>
      </w:pPr>
      <w:r>
        <w:rPr>
          <w:lang w:val="en"/>
        </w:rPr>
        <w:t xml:space="preserve">We will acknowledge complaints within 5 working days. </w:t>
      </w:r>
    </w:p>
    <w:p w14:paraId="5871EA95" w14:textId="0030ECF9" w:rsidR="001D6E23" w:rsidRDefault="0056693D" w:rsidP="001D6E23">
      <w:pPr>
        <w:rPr>
          <w:lang w:val="en"/>
        </w:rPr>
      </w:pPr>
      <w:r>
        <w:rPr>
          <w:lang w:val="en"/>
        </w:rPr>
        <w:t xml:space="preserve">If the officer establishes that there is a potential </w:t>
      </w:r>
      <w:r w:rsidR="00BE061C" w:rsidRPr="00581001">
        <w:rPr>
          <w:lang w:val="en"/>
        </w:rPr>
        <w:t xml:space="preserve">breach of </w:t>
      </w:r>
      <w:r>
        <w:rPr>
          <w:lang w:val="en"/>
        </w:rPr>
        <w:t>planning control</w:t>
      </w:r>
      <w:r w:rsidR="001D6E23">
        <w:rPr>
          <w:lang w:val="en"/>
        </w:rPr>
        <w:t>, the officer will</w:t>
      </w:r>
      <w:r w:rsidR="001D6E23" w:rsidRPr="00581001">
        <w:t xml:space="preserve"> categorise</w:t>
      </w:r>
      <w:r w:rsidR="001D6E23">
        <w:rPr>
          <w:lang w:val="en"/>
        </w:rPr>
        <w:t xml:space="preserve"> the complaint into one of the priority levels below.  Whilst we will investigate every complaint that we receive, the volume of workload means that cases will be</w:t>
      </w:r>
      <w:r w:rsidR="001D6E23" w:rsidRPr="00AA2D27">
        <w:t xml:space="preserve"> prioritised</w:t>
      </w:r>
      <w:r w:rsidR="001D6E23">
        <w:rPr>
          <w:lang w:val="en"/>
        </w:rPr>
        <w:t>, so that higher risk cases are dealt with first. We will investigate based upon the following order of priority:</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D6E23" w14:paraId="3A78945A" w14:textId="77777777" w:rsidTr="00503E5D">
        <w:tc>
          <w:tcPr>
            <w:tcW w:w="10915" w:type="dxa"/>
            <w:shd w:val="clear" w:color="auto" w:fill="FF0000"/>
          </w:tcPr>
          <w:p w14:paraId="254141F4" w14:textId="6BE64BCA" w:rsidR="00CE190B" w:rsidRDefault="001D6E23" w:rsidP="001858FF">
            <w:pPr>
              <w:jc w:val="center"/>
              <w:rPr>
                <w:b/>
                <w:sz w:val="28"/>
                <w:lang w:val="en"/>
              </w:rPr>
            </w:pPr>
            <w:r w:rsidRPr="001D6E23">
              <w:rPr>
                <w:b/>
                <w:sz w:val="28"/>
                <w:lang w:val="en"/>
              </w:rPr>
              <w:t>Priority</w:t>
            </w:r>
            <w:r w:rsidR="00581001">
              <w:rPr>
                <w:b/>
                <w:sz w:val="28"/>
                <w:lang w:val="en"/>
              </w:rPr>
              <w:t xml:space="preserve"> A</w:t>
            </w:r>
          </w:p>
          <w:p w14:paraId="538BEFBA" w14:textId="357AAF6B" w:rsidR="00467BE8" w:rsidRPr="00CE190B" w:rsidRDefault="00C80CD9" w:rsidP="00581001">
            <w:pPr>
              <w:jc w:val="center"/>
              <w:rPr>
                <w:b/>
                <w:sz w:val="28"/>
                <w:lang w:val="en"/>
              </w:rPr>
            </w:pPr>
            <w:r>
              <w:rPr>
                <w:b/>
                <w:sz w:val="28"/>
                <w:lang w:val="en"/>
              </w:rPr>
              <w:t xml:space="preserve">We will </w:t>
            </w:r>
            <w:r w:rsidR="00581001">
              <w:rPr>
                <w:b/>
                <w:sz w:val="28"/>
                <w:lang w:val="en"/>
              </w:rPr>
              <w:t>aim to respond</w:t>
            </w:r>
            <w:r>
              <w:rPr>
                <w:b/>
                <w:sz w:val="28"/>
                <w:lang w:val="en"/>
              </w:rPr>
              <w:t xml:space="preserve"> to these complaints within </w:t>
            </w:r>
            <w:r w:rsidR="00581001">
              <w:rPr>
                <w:b/>
                <w:sz w:val="28"/>
                <w:lang w:val="en"/>
              </w:rPr>
              <w:t>5</w:t>
            </w:r>
            <w:r>
              <w:rPr>
                <w:b/>
                <w:sz w:val="28"/>
                <w:lang w:val="en"/>
              </w:rPr>
              <w:t xml:space="preserve"> working day</w:t>
            </w:r>
            <w:r w:rsidR="00581001">
              <w:rPr>
                <w:b/>
                <w:sz w:val="28"/>
                <w:lang w:val="en"/>
              </w:rPr>
              <w:t>s</w:t>
            </w:r>
          </w:p>
        </w:tc>
      </w:tr>
      <w:tr w:rsidR="001D6E23" w14:paraId="084BD108" w14:textId="77777777" w:rsidTr="00503E5D">
        <w:tc>
          <w:tcPr>
            <w:tcW w:w="10915" w:type="dxa"/>
            <w:shd w:val="clear" w:color="auto" w:fill="FF0000"/>
          </w:tcPr>
          <w:p w14:paraId="3EE01C1C" w14:textId="77777777" w:rsidR="00AA2D27" w:rsidRPr="00CE190B" w:rsidRDefault="00AA2D27" w:rsidP="00CE190B">
            <w:pPr>
              <w:pStyle w:val="ListParagraph"/>
              <w:numPr>
                <w:ilvl w:val="0"/>
                <w:numId w:val="3"/>
              </w:numPr>
              <w:rPr>
                <w:lang w:val="en"/>
              </w:rPr>
            </w:pPr>
            <w:r w:rsidRPr="00CE190B">
              <w:rPr>
                <w:lang w:val="en"/>
              </w:rPr>
              <w:t>Development that could cause a serious and immediate danger to public health and/or safety.</w:t>
            </w:r>
          </w:p>
          <w:p w14:paraId="36A328BA" w14:textId="77777777" w:rsidR="00CE190B" w:rsidRPr="00CE190B" w:rsidRDefault="00CE190B" w:rsidP="00CE190B">
            <w:pPr>
              <w:pStyle w:val="ListParagraph"/>
              <w:numPr>
                <w:ilvl w:val="0"/>
                <w:numId w:val="3"/>
              </w:numPr>
            </w:pPr>
            <w:r w:rsidRPr="00CE190B">
              <w:t>Unauthorised works to a listed building or scheduled ancient monument (if within the</w:t>
            </w:r>
            <w:r w:rsidR="00B6518C">
              <w:t xml:space="preserve"> </w:t>
            </w:r>
            <w:r w:rsidRPr="00CE190B">
              <w:t>Council’s jurisdiction).</w:t>
            </w:r>
          </w:p>
          <w:p w14:paraId="2C5E3725" w14:textId="77777777" w:rsidR="00CE190B" w:rsidRPr="00CE190B" w:rsidRDefault="00CE190B" w:rsidP="00CE190B">
            <w:pPr>
              <w:pStyle w:val="ListParagraph"/>
              <w:numPr>
                <w:ilvl w:val="0"/>
                <w:numId w:val="3"/>
              </w:numPr>
            </w:pPr>
            <w:r w:rsidRPr="00CE190B">
              <w:t>Unauthorised works to a tree which is subject of a Tree Preservation Order or is situated</w:t>
            </w:r>
            <w:r>
              <w:t xml:space="preserve"> </w:t>
            </w:r>
            <w:r w:rsidRPr="00CE190B">
              <w:t xml:space="preserve">within a </w:t>
            </w:r>
            <w:r>
              <w:t>C</w:t>
            </w:r>
            <w:r w:rsidRPr="00CE190B">
              <w:t>onservation Area.</w:t>
            </w:r>
          </w:p>
          <w:p w14:paraId="35765C89" w14:textId="77777777" w:rsidR="00CE190B" w:rsidRPr="00CE190B" w:rsidRDefault="00CE190B" w:rsidP="00CE190B">
            <w:pPr>
              <w:pStyle w:val="ListParagraph"/>
              <w:numPr>
                <w:ilvl w:val="0"/>
                <w:numId w:val="3"/>
              </w:numPr>
            </w:pPr>
            <w:r w:rsidRPr="00CE190B">
              <w:t>Unauthorised traveller/gypsy occupation of sites</w:t>
            </w:r>
          </w:p>
          <w:p w14:paraId="18C8C24C" w14:textId="77777777" w:rsidR="00CE190B" w:rsidRPr="00CE190B" w:rsidRDefault="00CE190B" w:rsidP="00CE190B">
            <w:pPr>
              <w:pStyle w:val="ListParagraph"/>
              <w:numPr>
                <w:ilvl w:val="0"/>
                <w:numId w:val="3"/>
              </w:numPr>
            </w:pPr>
            <w:r w:rsidRPr="00CE190B">
              <w:t>Any case where the time limit for taking enforcement action expires in the near future.</w:t>
            </w:r>
          </w:p>
          <w:p w14:paraId="68D29EDF" w14:textId="77777777" w:rsidR="00CE190B" w:rsidRPr="00CE190B" w:rsidRDefault="00CE190B" w:rsidP="00CE190B">
            <w:pPr>
              <w:pStyle w:val="ListParagraph"/>
              <w:numPr>
                <w:ilvl w:val="0"/>
                <w:numId w:val="3"/>
              </w:numPr>
            </w:pPr>
            <w:r w:rsidRPr="00CE190B">
              <w:t>Any unauthorised development, advert or breach of condition which is causing irreparable</w:t>
            </w:r>
            <w:r w:rsidR="00BE061C">
              <w:t xml:space="preserve"> </w:t>
            </w:r>
            <w:r w:rsidRPr="00CE190B">
              <w:t>public harm or danger; including pollution or environmental harm.</w:t>
            </w:r>
          </w:p>
          <w:p w14:paraId="7325B2DE" w14:textId="77777777" w:rsidR="001D6E23" w:rsidRDefault="00AA2D27" w:rsidP="001D6E23">
            <w:pPr>
              <w:rPr>
                <w:lang w:val="en"/>
              </w:rPr>
            </w:pPr>
            <w:r>
              <w:rPr>
                <w:lang w:val="en"/>
              </w:rPr>
              <w:t xml:space="preserve"> </w:t>
            </w:r>
          </w:p>
        </w:tc>
      </w:tr>
      <w:tr w:rsidR="001D6E23" w14:paraId="3592EF0C" w14:textId="77777777" w:rsidTr="00503E5D">
        <w:tc>
          <w:tcPr>
            <w:tcW w:w="10915" w:type="dxa"/>
            <w:shd w:val="clear" w:color="auto" w:fill="FFC000"/>
          </w:tcPr>
          <w:p w14:paraId="5F9EE66A" w14:textId="16E1F07C" w:rsidR="001D6E23" w:rsidRDefault="001D6E23" w:rsidP="001D6E23">
            <w:pPr>
              <w:jc w:val="center"/>
              <w:rPr>
                <w:b/>
                <w:sz w:val="28"/>
                <w:lang w:val="en"/>
              </w:rPr>
            </w:pPr>
            <w:r w:rsidRPr="001D6E23">
              <w:rPr>
                <w:b/>
                <w:sz w:val="28"/>
                <w:lang w:val="en"/>
              </w:rPr>
              <w:t>Priority</w:t>
            </w:r>
            <w:r w:rsidR="00581001">
              <w:rPr>
                <w:b/>
                <w:sz w:val="28"/>
                <w:lang w:val="en"/>
              </w:rPr>
              <w:t xml:space="preserve"> B</w:t>
            </w:r>
          </w:p>
          <w:p w14:paraId="6DFA476C" w14:textId="77777777" w:rsidR="00C80CD9" w:rsidRPr="001D6E23" w:rsidRDefault="00C80CD9" w:rsidP="001D6E23">
            <w:pPr>
              <w:jc w:val="center"/>
              <w:rPr>
                <w:b/>
                <w:lang w:val="en"/>
              </w:rPr>
            </w:pPr>
            <w:r>
              <w:rPr>
                <w:b/>
                <w:sz w:val="28"/>
                <w:lang w:val="en"/>
              </w:rPr>
              <w:t>We will respond to these complaints with 15 working days</w:t>
            </w:r>
          </w:p>
        </w:tc>
      </w:tr>
      <w:tr w:rsidR="001D6E23" w14:paraId="51331281" w14:textId="77777777" w:rsidTr="00503E5D">
        <w:tc>
          <w:tcPr>
            <w:tcW w:w="10915" w:type="dxa"/>
            <w:shd w:val="clear" w:color="auto" w:fill="FFC000"/>
          </w:tcPr>
          <w:p w14:paraId="60E98017" w14:textId="77777777" w:rsidR="00CE190B" w:rsidRDefault="00CE190B" w:rsidP="00CE190B">
            <w:pPr>
              <w:pStyle w:val="Default"/>
              <w:numPr>
                <w:ilvl w:val="0"/>
                <w:numId w:val="4"/>
              </w:numPr>
              <w:spacing w:after="51"/>
              <w:rPr>
                <w:sz w:val="22"/>
                <w:szCs w:val="22"/>
              </w:rPr>
            </w:pPr>
            <w:r>
              <w:rPr>
                <w:sz w:val="22"/>
                <w:szCs w:val="22"/>
              </w:rPr>
              <w:t>Unauthorised development which would adversely affect the character/appearance of  a conservation area or the setting of a listed building</w:t>
            </w:r>
          </w:p>
          <w:p w14:paraId="78E3DF4C" w14:textId="77777777" w:rsidR="00CE190B" w:rsidRDefault="00CE190B" w:rsidP="00CE190B">
            <w:pPr>
              <w:pStyle w:val="Default"/>
              <w:numPr>
                <w:ilvl w:val="0"/>
                <w:numId w:val="4"/>
              </w:numPr>
              <w:spacing w:after="51"/>
              <w:rPr>
                <w:sz w:val="22"/>
                <w:szCs w:val="22"/>
              </w:rPr>
            </w:pPr>
            <w:r>
              <w:rPr>
                <w:sz w:val="22"/>
                <w:szCs w:val="22"/>
              </w:rPr>
              <w:t>Cases that clearly require attention but are not otherwise a high priority.</w:t>
            </w:r>
          </w:p>
          <w:p w14:paraId="19E24454" w14:textId="77777777" w:rsidR="00CE190B" w:rsidRDefault="00CE190B" w:rsidP="00CE190B">
            <w:pPr>
              <w:pStyle w:val="Default"/>
              <w:numPr>
                <w:ilvl w:val="0"/>
                <w:numId w:val="4"/>
              </w:numPr>
              <w:rPr>
                <w:sz w:val="22"/>
                <w:szCs w:val="22"/>
              </w:rPr>
            </w:pPr>
            <w:r>
              <w:rPr>
                <w:sz w:val="22"/>
                <w:szCs w:val="22"/>
              </w:rPr>
              <w:t>Unauthorised change of use to the detriment of neighbouring amenities.</w:t>
            </w:r>
          </w:p>
          <w:p w14:paraId="18640C28" w14:textId="77777777" w:rsidR="001D6E23" w:rsidRDefault="001D6E23" w:rsidP="001D6E23">
            <w:pPr>
              <w:rPr>
                <w:lang w:val="en"/>
              </w:rPr>
            </w:pPr>
          </w:p>
        </w:tc>
      </w:tr>
      <w:tr w:rsidR="001D6E23" w14:paraId="38A6DDCE" w14:textId="77777777" w:rsidTr="00503E5D">
        <w:tc>
          <w:tcPr>
            <w:tcW w:w="10915" w:type="dxa"/>
            <w:shd w:val="clear" w:color="auto" w:fill="92D050"/>
          </w:tcPr>
          <w:p w14:paraId="2F59ACA4" w14:textId="6E818CD5" w:rsidR="001D6E23" w:rsidRDefault="001D6E23" w:rsidP="001D6E23">
            <w:pPr>
              <w:jc w:val="center"/>
              <w:rPr>
                <w:b/>
                <w:sz w:val="28"/>
                <w:lang w:val="en"/>
              </w:rPr>
            </w:pPr>
            <w:r w:rsidRPr="001D6E23">
              <w:rPr>
                <w:b/>
                <w:sz w:val="28"/>
                <w:lang w:val="en"/>
              </w:rPr>
              <w:t>Priority</w:t>
            </w:r>
            <w:r w:rsidR="00581001">
              <w:rPr>
                <w:b/>
                <w:sz w:val="28"/>
                <w:lang w:val="en"/>
              </w:rPr>
              <w:t xml:space="preserve"> C</w:t>
            </w:r>
          </w:p>
          <w:p w14:paraId="1E40D7E3" w14:textId="77777777" w:rsidR="00C80CD9" w:rsidRPr="001D6E23" w:rsidRDefault="00C80CD9" w:rsidP="001D6E23">
            <w:pPr>
              <w:jc w:val="center"/>
              <w:rPr>
                <w:b/>
                <w:lang w:val="en"/>
              </w:rPr>
            </w:pPr>
            <w:r>
              <w:rPr>
                <w:b/>
                <w:sz w:val="28"/>
                <w:lang w:val="en"/>
              </w:rPr>
              <w:t>We will respond to these complaints within 28 working days</w:t>
            </w:r>
          </w:p>
        </w:tc>
      </w:tr>
      <w:tr w:rsidR="001D6E23" w14:paraId="41FCF355" w14:textId="77777777" w:rsidTr="00503E5D">
        <w:tc>
          <w:tcPr>
            <w:tcW w:w="10915" w:type="dxa"/>
            <w:shd w:val="clear" w:color="auto" w:fill="92D050"/>
          </w:tcPr>
          <w:p w14:paraId="74980678" w14:textId="77777777" w:rsidR="001D6E23" w:rsidRPr="00C80CD9" w:rsidRDefault="001D6E23" w:rsidP="00581001">
            <w:pPr>
              <w:pStyle w:val="ListParagraph"/>
              <w:numPr>
                <w:ilvl w:val="0"/>
                <w:numId w:val="8"/>
              </w:numPr>
              <w:rPr>
                <w:lang w:val="en"/>
              </w:rPr>
            </w:pPr>
            <w:proofErr w:type="spellStart"/>
            <w:r w:rsidRPr="00C80CD9">
              <w:rPr>
                <w:lang w:val="en"/>
              </w:rPr>
              <w:t>Unauthorised</w:t>
            </w:r>
            <w:proofErr w:type="spellEnd"/>
            <w:r w:rsidRPr="00C80CD9">
              <w:rPr>
                <w:lang w:val="en"/>
              </w:rPr>
              <w:t xml:space="preserve"> development which would be likely to receive planning permission if a planning application were to be submitted. </w:t>
            </w:r>
          </w:p>
          <w:p w14:paraId="073D133F" w14:textId="77777777" w:rsidR="00C80CD9" w:rsidRPr="00C80CD9" w:rsidRDefault="00C80CD9" w:rsidP="00581001">
            <w:pPr>
              <w:pStyle w:val="ListParagraph"/>
              <w:numPr>
                <w:ilvl w:val="0"/>
                <w:numId w:val="8"/>
              </w:numPr>
              <w:rPr>
                <w:lang w:val="en"/>
              </w:rPr>
            </w:pPr>
            <w:proofErr w:type="spellStart"/>
            <w:r w:rsidRPr="00C80CD9">
              <w:rPr>
                <w:lang w:val="en"/>
              </w:rPr>
              <w:t>Unauthorised</w:t>
            </w:r>
            <w:proofErr w:type="spellEnd"/>
            <w:r w:rsidRPr="00C80CD9">
              <w:rPr>
                <w:lang w:val="en"/>
              </w:rPr>
              <w:t xml:space="preserve"> satellite dishes/telecommunications equipment on residential premises.</w:t>
            </w:r>
          </w:p>
          <w:p w14:paraId="4D180FDC" w14:textId="77777777" w:rsidR="00C80CD9" w:rsidRDefault="00C80CD9" w:rsidP="00581001">
            <w:pPr>
              <w:pStyle w:val="ListParagraph"/>
              <w:numPr>
                <w:ilvl w:val="0"/>
                <w:numId w:val="8"/>
              </w:numPr>
              <w:rPr>
                <w:lang w:val="en"/>
              </w:rPr>
            </w:pPr>
            <w:proofErr w:type="spellStart"/>
            <w:r w:rsidRPr="00C80CD9">
              <w:rPr>
                <w:lang w:val="en"/>
              </w:rPr>
              <w:t>Unauthorised</w:t>
            </w:r>
            <w:proofErr w:type="spellEnd"/>
            <w:r w:rsidRPr="00C80CD9">
              <w:rPr>
                <w:lang w:val="en"/>
              </w:rPr>
              <w:t xml:space="preserve"> advertising, such as fly-posters or banners where the harm to</w:t>
            </w:r>
            <w:r w:rsidRPr="00581001">
              <w:t xml:space="preserve"> neighbouring</w:t>
            </w:r>
            <w:r w:rsidRPr="00C80CD9">
              <w:rPr>
                <w:lang w:val="en"/>
              </w:rPr>
              <w:t xml:space="preserve"> amenities is not significant. </w:t>
            </w:r>
          </w:p>
          <w:p w14:paraId="2F2538B3" w14:textId="2039F988" w:rsidR="00581001" w:rsidRPr="00581001" w:rsidRDefault="00581001" w:rsidP="00503E5D">
            <w:pPr>
              <w:pStyle w:val="Default"/>
              <w:numPr>
                <w:ilvl w:val="0"/>
                <w:numId w:val="8"/>
              </w:numPr>
              <w:spacing w:after="51"/>
              <w:rPr>
                <w:sz w:val="22"/>
                <w:szCs w:val="22"/>
              </w:rPr>
            </w:pPr>
            <w:r>
              <w:rPr>
                <w:sz w:val="22"/>
                <w:szCs w:val="22"/>
              </w:rPr>
              <w:t>Unauthorised signage/advertisements (unless the sign/advertisement seriously affects public safety).</w:t>
            </w:r>
          </w:p>
        </w:tc>
      </w:tr>
    </w:tbl>
    <w:p w14:paraId="3EA87663" w14:textId="77777777" w:rsidR="00581001" w:rsidRDefault="00581001" w:rsidP="00B50846">
      <w:pPr>
        <w:rPr>
          <w:lang w:val="en"/>
        </w:rPr>
      </w:pPr>
    </w:p>
    <w:p w14:paraId="200FE896" w14:textId="77777777" w:rsidR="00B50846" w:rsidRDefault="00B50846" w:rsidP="00B50846">
      <w:pPr>
        <w:rPr>
          <w:lang w:val="en"/>
        </w:rPr>
      </w:pPr>
      <w:r>
        <w:rPr>
          <w:lang w:val="en"/>
        </w:rPr>
        <w:t>The Planning Enforcement team will not investigate the following:</w:t>
      </w:r>
    </w:p>
    <w:p w14:paraId="1D5A7AC4" w14:textId="77777777" w:rsidR="00B50846" w:rsidRDefault="00B50846" w:rsidP="00B50846">
      <w:pPr>
        <w:pStyle w:val="ListParagraph"/>
        <w:numPr>
          <w:ilvl w:val="0"/>
          <w:numId w:val="5"/>
        </w:numPr>
        <w:rPr>
          <w:lang w:val="en"/>
        </w:rPr>
      </w:pPr>
      <w:r>
        <w:rPr>
          <w:lang w:val="en"/>
        </w:rPr>
        <w:t xml:space="preserve">Non-planning related </w:t>
      </w:r>
      <w:r w:rsidRPr="00581001">
        <w:t>neighbour</w:t>
      </w:r>
      <w:r>
        <w:rPr>
          <w:lang w:val="en"/>
        </w:rPr>
        <w:t xml:space="preserve"> disputes</w:t>
      </w:r>
    </w:p>
    <w:p w14:paraId="3324747D" w14:textId="77777777" w:rsidR="00B50846" w:rsidRPr="003A0B8F" w:rsidRDefault="00B50846" w:rsidP="00B50846">
      <w:pPr>
        <w:pStyle w:val="ListParagraph"/>
        <w:numPr>
          <w:ilvl w:val="0"/>
          <w:numId w:val="5"/>
        </w:numPr>
      </w:pPr>
      <w:r w:rsidRPr="003A0B8F">
        <w:rPr>
          <w:lang w:val="en"/>
        </w:rPr>
        <w:t>Land boundary, owners</w:t>
      </w:r>
      <w:r>
        <w:rPr>
          <w:lang w:val="en"/>
        </w:rPr>
        <w:t xml:space="preserve">hip </w:t>
      </w:r>
      <w:r w:rsidR="00A120C0">
        <w:rPr>
          <w:lang w:val="en"/>
        </w:rPr>
        <w:t xml:space="preserve">disputes. </w:t>
      </w:r>
    </w:p>
    <w:p w14:paraId="1895BD99" w14:textId="77777777" w:rsidR="00B50846" w:rsidRDefault="00B50846" w:rsidP="00B50846">
      <w:pPr>
        <w:pStyle w:val="ListParagraph"/>
        <w:numPr>
          <w:ilvl w:val="0"/>
          <w:numId w:val="5"/>
        </w:numPr>
      </w:pPr>
      <w:r w:rsidRPr="003A0B8F">
        <w:t xml:space="preserve">Hedge related neighbour disputes. </w:t>
      </w:r>
    </w:p>
    <w:p w14:paraId="4397566C" w14:textId="14A46BFC" w:rsidR="00B50846" w:rsidRDefault="00B50846" w:rsidP="004E74DD">
      <w:pPr>
        <w:pStyle w:val="ListParagraph"/>
        <w:numPr>
          <w:ilvl w:val="0"/>
          <w:numId w:val="5"/>
        </w:numPr>
      </w:pPr>
      <w:r w:rsidRPr="003A0B8F">
        <w:t>Use, signage or development on highways, pavements or grass verges; unless in private owners</w:t>
      </w:r>
      <w:r w:rsidR="00A120C0">
        <w:t xml:space="preserve">hip. </w:t>
      </w:r>
      <w:r w:rsidR="00581001">
        <w:t xml:space="preserve">In these instances, complainants are advised to contact the Highways team via </w:t>
      </w:r>
      <w:hyperlink r:id="rId11" w:history="1">
        <w:r w:rsidR="004E74DD" w:rsidRPr="00FF387B">
          <w:rPr>
            <w:rStyle w:val="Hyperlink"/>
          </w:rPr>
          <w:t>www.torbay.gov.uk/highway-maintenance</w:t>
        </w:r>
      </w:hyperlink>
      <w:r w:rsidR="004E74DD">
        <w:t xml:space="preserve">. </w:t>
      </w:r>
      <w:r w:rsidRPr="003A0B8F">
        <w:t xml:space="preserve"> </w:t>
      </w:r>
    </w:p>
    <w:p w14:paraId="1FDB3DC9" w14:textId="68FBE6D2" w:rsidR="00B50846" w:rsidRDefault="00B50846" w:rsidP="00B50846">
      <w:pPr>
        <w:pStyle w:val="ListParagraph"/>
        <w:numPr>
          <w:ilvl w:val="0"/>
          <w:numId w:val="5"/>
        </w:numPr>
      </w:pPr>
      <w:r w:rsidRPr="003A0B8F">
        <w:t>Dangerous structures</w:t>
      </w:r>
      <w:r w:rsidR="004E74DD">
        <w:t>.</w:t>
      </w:r>
      <w:r w:rsidRPr="003A0B8F">
        <w:t xml:space="preserve"> In some cases affecting public safety these can be investigated by a Building Control Surveyor</w:t>
      </w:r>
      <w:r w:rsidR="004E74DD">
        <w:t>. To make a report of this nature, complainants are advised to contact the Council’s Building Control team.</w:t>
      </w:r>
    </w:p>
    <w:p w14:paraId="38DE059D" w14:textId="77777777" w:rsidR="00B50846" w:rsidRDefault="00B50846" w:rsidP="000F0947">
      <w:pPr>
        <w:pStyle w:val="Heading2"/>
        <w:numPr>
          <w:ilvl w:val="1"/>
          <w:numId w:val="17"/>
        </w:numPr>
        <w:rPr>
          <w:lang w:val="en"/>
        </w:rPr>
      </w:pPr>
      <w:bookmarkStart w:id="8" w:name="_Toc518979713"/>
      <w:r>
        <w:rPr>
          <w:lang w:val="en"/>
        </w:rPr>
        <w:t>Site visits</w:t>
      </w:r>
      <w:bookmarkEnd w:id="8"/>
    </w:p>
    <w:p w14:paraId="388A175A" w14:textId="77777777" w:rsidR="00B50846" w:rsidRDefault="00B50846" w:rsidP="00056CB4">
      <w:pPr>
        <w:rPr>
          <w:lang w:val="en"/>
        </w:rPr>
      </w:pPr>
      <w:r>
        <w:rPr>
          <w:lang w:val="en"/>
        </w:rPr>
        <w:t xml:space="preserve">The first stage of our investigation will be conducted by researching evidence provided by the complainant, as well as all of the records we hold for the site. If we suspect that a breach of planning control has taken place, we may decide to conduct a site visit to investigate further. </w:t>
      </w:r>
    </w:p>
    <w:p w14:paraId="24AE9DD5" w14:textId="77777777" w:rsidR="00B50846" w:rsidRDefault="00B50846" w:rsidP="00056CB4">
      <w:pPr>
        <w:rPr>
          <w:lang w:val="en"/>
        </w:rPr>
      </w:pPr>
      <w:r>
        <w:rPr>
          <w:lang w:val="en"/>
        </w:rPr>
        <w:t>If we do use a site visit to conduct our investigation we will:</w:t>
      </w:r>
    </w:p>
    <w:p w14:paraId="59E9A874" w14:textId="77777777" w:rsidR="00B50846" w:rsidRDefault="00B50846" w:rsidP="00B50846">
      <w:pPr>
        <w:pStyle w:val="ListParagraph"/>
        <w:numPr>
          <w:ilvl w:val="0"/>
          <w:numId w:val="10"/>
        </w:numPr>
        <w:rPr>
          <w:lang w:val="en"/>
        </w:rPr>
      </w:pPr>
      <w:r w:rsidRPr="00B50846">
        <w:rPr>
          <w:lang w:val="en"/>
        </w:rPr>
        <w:t>Act with discretion at all times, especially in cases where we need to view the site from the complainant’s address.</w:t>
      </w:r>
    </w:p>
    <w:p w14:paraId="73F04D31" w14:textId="77777777" w:rsidR="00B50846" w:rsidRDefault="00B50846" w:rsidP="00B50846">
      <w:pPr>
        <w:pStyle w:val="ListParagraph"/>
        <w:numPr>
          <w:ilvl w:val="0"/>
          <w:numId w:val="10"/>
        </w:numPr>
        <w:rPr>
          <w:lang w:val="en"/>
        </w:rPr>
      </w:pPr>
      <w:r>
        <w:rPr>
          <w:lang w:val="en"/>
        </w:rPr>
        <w:t xml:space="preserve">Take a written record of the site visit, including details of any persons present. Photographs taken on site will be recorded on the Council’s planning database. </w:t>
      </w:r>
    </w:p>
    <w:p w14:paraId="64CE55F2" w14:textId="77777777" w:rsidR="00B50846" w:rsidRDefault="00B50846" w:rsidP="00B50846">
      <w:pPr>
        <w:rPr>
          <w:lang w:val="en"/>
        </w:rPr>
      </w:pPr>
      <w:r>
        <w:rPr>
          <w:lang w:val="en"/>
        </w:rPr>
        <w:t>We will use the case priority matrix above to help us decide if and when to make site visits:</w:t>
      </w:r>
    </w:p>
    <w:tbl>
      <w:tblPr>
        <w:tblStyle w:val="TableGrid"/>
        <w:tblW w:w="0" w:type="auto"/>
        <w:tblLook w:val="04A0" w:firstRow="1" w:lastRow="0" w:firstColumn="1" w:lastColumn="0" w:noHBand="0" w:noVBand="1"/>
      </w:tblPr>
      <w:tblGrid>
        <w:gridCol w:w="4508"/>
        <w:gridCol w:w="4508"/>
      </w:tblGrid>
      <w:tr w:rsidR="00B50846" w14:paraId="1543AFE5" w14:textId="77777777" w:rsidTr="00B50846">
        <w:tc>
          <w:tcPr>
            <w:tcW w:w="4508" w:type="dxa"/>
            <w:shd w:val="clear" w:color="auto" w:fill="FF0000"/>
          </w:tcPr>
          <w:p w14:paraId="5AC41C93" w14:textId="6EEFF778" w:rsidR="00B50846" w:rsidRPr="00B50846" w:rsidRDefault="004E74DD" w:rsidP="00B50846">
            <w:pPr>
              <w:rPr>
                <w:b/>
                <w:sz w:val="28"/>
                <w:lang w:val="en"/>
              </w:rPr>
            </w:pPr>
            <w:r>
              <w:rPr>
                <w:b/>
                <w:sz w:val="28"/>
                <w:lang w:val="en"/>
              </w:rPr>
              <w:t>Priority A</w:t>
            </w:r>
            <w:r w:rsidR="00B50846" w:rsidRPr="00B50846">
              <w:rPr>
                <w:b/>
                <w:sz w:val="28"/>
                <w:lang w:val="en"/>
              </w:rPr>
              <w:t xml:space="preserve"> </w:t>
            </w:r>
          </w:p>
        </w:tc>
        <w:tc>
          <w:tcPr>
            <w:tcW w:w="4508" w:type="dxa"/>
            <w:shd w:val="clear" w:color="auto" w:fill="FF0000"/>
          </w:tcPr>
          <w:p w14:paraId="30891051" w14:textId="77777777" w:rsidR="00B50846" w:rsidRDefault="00B50846" w:rsidP="00B50846">
            <w:pPr>
              <w:rPr>
                <w:lang w:val="en"/>
              </w:rPr>
            </w:pPr>
            <w:r>
              <w:rPr>
                <w:lang w:val="en"/>
              </w:rPr>
              <w:t>Site visit within 5 working days of acknowledgement</w:t>
            </w:r>
          </w:p>
        </w:tc>
      </w:tr>
      <w:tr w:rsidR="00B50846" w14:paraId="0B0E8E73" w14:textId="77777777" w:rsidTr="00B50846">
        <w:tc>
          <w:tcPr>
            <w:tcW w:w="4508" w:type="dxa"/>
            <w:shd w:val="clear" w:color="auto" w:fill="FFC000"/>
          </w:tcPr>
          <w:p w14:paraId="60BFAE12" w14:textId="18702485" w:rsidR="00B50846" w:rsidRPr="00B50846" w:rsidRDefault="004E74DD" w:rsidP="00B50846">
            <w:pPr>
              <w:rPr>
                <w:b/>
                <w:sz w:val="28"/>
                <w:lang w:val="en"/>
              </w:rPr>
            </w:pPr>
            <w:r>
              <w:rPr>
                <w:b/>
                <w:sz w:val="28"/>
                <w:lang w:val="en"/>
              </w:rPr>
              <w:t>Priority B</w:t>
            </w:r>
          </w:p>
        </w:tc>
        <w:tc>
          <w:tcPr>
            <w:tcW w:w="4508" w:type="dxa"/>
            <w:shd w:val="clear" w:color="auto" w:fill="FFC000"/>
          </w:tcPr>
          <w:p w14:paraId="3485C620" w14:textId="382CD8E7" w:rsidR="00B50846" w:rsidRDefault="00B50846" w:rsidP="00B50846">
            <w:pPr>
              <w:rPr>
                <w:lang w:val="en"/>
              </w:rPr>
            </w:pPr>
            <w:r>
              <w:rPr>
                <w:lang w:val="en"/>
              </w:rPr>
              <w:t xml:space="preserve">If we decide a site visit is necessary, </w:t>
            </w:r>
            <w:r w:rsidR="004E74DD">
              <w:rPr>
                <w:lang w:val="en"/>
              </w:rPr>
              <w:t xml:space="preserve">we will aim to conduct this </w:t>
            </w:r>
            <w:r>
              <w:rPr>
                <w:lang w:val="en"/>
              </w:rPr>
              <w:t>within 15 working days of acknowledgement</w:t>
            </w:r>
          </w:p>
        </w:tc>
      </w:tr>
      <w:tr w:rsidR="00B50846" w14:paraId="1AD73621" w14:textId="77777777" w:rsidTr="00B50846">
        <w:tc>
          <w:tcPr>
            <w:tcW w:w="4508" w:type="dxa"/>
            <w:shd w:val="clear" w:color="auto" w:fill="92D050"/>
          </w:tcPr>
          <w:p w14:paraId="487B7691" w14:textId="244FA123" w:rsidR="00B50846" w:rsidRPr="00B50846" w:rsidRDefault="004E74DD" w:rsidP="00B50846">
            <w:pPr>
              <w:rPr>
                <w:b/>
                <w:sz w:val="28"/>
                <w:lang w:val="en"/>
              </w:rPr>
            </w:pPr>
            <w:r>
              <w:rPr>
                <w:b/>
                <w:sz w:val="28"/>
                <w:lang w:val="en"/>
              </w:rPr>
              <w:t>Priority C</w:t>
            </w:r>
          </w:p>
        </w:tc>
        <w:tc>
          <w:tcPr>
            <w:tcW w:w="4508" w:type="dxa"/>
            <w:shd w:val="clear" w:color="auto" w:fill="92D050"/>
          </w:tcPr>
          <w:p w14:paraId="438079A2" w14:textId="77777777" w:rsidR="00B50846" w:rsidRDefault="00B50846" w:rsidP="00B50846">
            <w:pPr>
              <w:rPr>
                <w:lang w:val="en"/>
              </w:rPr>
            </w:pPr>
            <w:r>
              <w:rPr>
                <w:lang w:val="en"/>
              </w:rPr>
              <w:t>We may decide that a site visit is not necessary in these cases, especially if we are able to negotiate a satisfactory remedy with all parties.</w:t>
            </w:r>
          </w:p>
          <w:p w14:paraId="32C71757" w14:textId="074ECC50" w:rsidR="00B50846" w:rsidRDefault="002664B7" w:rsidP="00B50846">
            <w:pPr>
              <w:rPr>
                <w:lang w:val="en"/>
              </w:rPr>
            </w:pPr>
            <w:r>
              <w:rPr>
                <w:lang w:val="en"/>
              </w:rPr>
              <w:t>Where we</w:t>
            </w:r>
            <w:r w:rsidR="00B50846">
              <w:rPr>
                <w:lang w:val="en"/>
              </w:rPr>
              <w:t xml:space="preserve"> determine that a site visit is necessary, we will ai</w:t>
            </w:r>
            <w:r w:rsidR="004E74DD">
              <w:rPr>
                <w:lang w:val="en"/>
              </w:rPr>
              <w:t>m to visit these sites within 28</w:t>
            </w:r>
            <w:r w:rsidR="00B50846">
              <w:rPr>
                <w:lang w:val="en"/>
              </w:rPr>
              <w:t xml:space="preserve"> working days.</w:t>
            </w:r>
          </w:p>
        </w:tc>
      </w:tr>
    </w:tbl>
    <w:p w14:paraId="4D445B71" w14:textId="77777777" w:rsidR="00B50846" w:rsidRDefault="00B50846" w:rsidP="00B50846">
      <w:pPr>
        <w:rPr>
          <w:lang w:val="en"/>
        </w:rPr>
      </w:pPr>
    </w:p>
    <w:p w14:paraId="5274D484" w14:textId="77777777" w:rsidR="002664B7" w:rsidRDefault="002664B7">
      <w:pPr>
        <w:rPr>
          <w:rFonts w:asciiTheme="majorHAnsi" w:eastAsiaTheme="majorEastAsia" w:hAnsiTheme="majorHAnsi" w:cstheme="majorBidi"/>
          <w:color w:val="2E74B5" w:themeColor="accent1" w:themeShade="BF"/>
          <w:sz w:val="26"/>
          <w:szCs w:val="26"/>
        </w:rPr>
      </w:pPr>
      <w:r>
        <w:br w:type="page"/>
      </w:r>
    </w:p>
    <w:p w14:paraId="6709BD51" w14:textId="77777777" w:rsidR="00C80CD9" w:rsidRDefault="00C80CD9" w:rsidP="000F0947">
      <w:pPr>
        <w:pStyle w:val="Heading1"/>
        <w:numPr>
          <w:ilvl w:val="0"/>
          <w:numId w:val="17"/>
        </w:numPr>
      </w:pPr>
      <w:bookmarkStart w:id="9" w:name="_Toc518979714"/>
      <w:r>
        <w:lastRenderedPageBreak/>
        <w:t>Further action</w:t>
      </w:r>
      <w:bookmarkEnd w:id="9"/>
    </w:p>
    <w:p w14:paraId="7BB0C5CE" w14:textId="77777777" w:rsidR="000F0947" w:rsidRPr="000F0947" w:rsidRDefault="000F0947" w:rsidP="000F0947">
      <w:pPr>
        <w:pStyle w:val="Heading2"/>
        <w:numPr>
          <w:ilvl w:val="1"/>
          <w:numId w:val="17"/>
        </w:numPr>
      </w:pPr>
      <w:bookmarkStart w:id="10" w:name="_Toc518979715"/>
      <w:r>
        <w:t>Types of enforcement</w:t>
      </w:r>
      <w:bookmarkEnd w:id="10"/>
      <w:r>
        <w:tab/>
      </w:r>
    </w:p>
    <w:p w14:paraId="47A179EE" w14:textId="77777777" w:rsidR="00C80CD9" w:rsidRDefault="003A0359" w:rsidP="00C80CD9">
      <w:r>
        <w:t xml:space="preserve">Throughout the investigation process we will stay in touch with both the complainant and the person suspected of breaching planning control. </w:t>
      </w:r>
      <w:r w:rsidR="00DC1BEE">
        <w:t>At all stages of the investigation</w:t>
      </w:r>
      <w:r>
        <w:t>, we will decide upon the proportionate level of future action</w:t>
      </w:r>
      <w:r w:rsidR="00EC1C96">
        <w:t>. The list below details some of the steps we may choose to take, although this list is not exhaustive:</w:t>
      </w:r>
    </w:p>
    <w:tbl>
      <w:tblPr>
        <w:tblStyle w:val="TableGrid"/>
        <w:tblW w:w="0" w:type="auto"/>
        <w:tblLook w:val="04A0" w:firstRow="1" w:lastRow="0" w:firstColumn="1" w:lastColumn="0" w:noHBand="0" w:noVBand="1"/>
      </w:tblPr>
      <w:tblGrid>
        <w:gridCol w:w="2972"/>
        <w:gridCol w:w="6662"/>
      </w:tblGrid>
      <w:tr w:rsidR="00DC1BEE" w:rsidRPr="00A120C0" w14:paraId="73B029C5" w14:textId="77777777" w:rsidTr="003615F7">
        <w:tc>
          <w:tcPr>
            <w:tcW w:w="2972" w:type="dxa"/>
          </w:tcPr>
          <w:p w14:paraId="18CF7050" w14:textId="77777777" w:rsidR="00DC1BEE" w:rsidRPr="00A120C0" w:rsidRDefault="00DC1BEE" w:rsidP="00DC1BEE">
            <w:pPr>
              <w:rPr>
                <w:b/>
                <w:sz w:val="28"/>
              </w:rPr>
            </w:pPr>
            <w:r w:rsidRPr="00A120C0">
              <w:rPr>
                <w:b/>
                <w:sz w:val="28"/>
              </w:rPr>
              <w:t>Type of enforcement action</w:t>
            </w:r>
          </w:p>
          <w:p w14:paraId="69146029" w14:textId="77777777" w:rsidR="00DC1BEE" w:rsidRPr="00A120C0" w:rsidRDefault="00DC1BEE" w:rsidP="00DC1BEE">
            <w:pPr>
              <w:rPr>
                <w:b/>
                <w:sz w:val="28"/>
              </w:rPr>
            </w:pPr>
          </w:p>
        </w:tc>
        <w:tc>
          <w:tcPr>
            <w:tcW w:w="6662" w:type="dxa"/>
          </w:tcPr>
          <w:p w14:paraId="4DBA0073" w14:textId="77777777" w:rsidR="00DC1BEE" w:rsidRPr="00A120C0" w:rsidRDefault="00DC1BEE" w:rsidP="00DC1BEE">
            <w:pPr>
              <w:rPr>
                <w:b/>
                <w:sz w:val="28"/>
              </w:rPr>
            </w:pPr>
            <w:r w:rsidRPr="00A120C0">
              <w:rPr>
                <w:b/>
                <w:sz w:val="28"/>
              </w:rPr>
              <w:t>Purpose</w:t>
            </w:r>
          </w:p>
        </w:tc>
      </w:tr>
      <w:tr w:rsidR="00DC1BEE" w14:paraId="23D13ED8" w14:textId="77777777" w:rsidTr="003615F7">
        <w:tc>
          <w:tcPr>
            <w:tcW w:w="2972" w:type="dxa"/>
          </w:tcPr>
          <w:p w14:paraId="483F5D48" w14:textId="77777777" w:rsidR="00DC1BEE" w:rsidRDefault="00DC1BEE" w:rsidP="00DC1BEE">
            <w:r>
              <w:t>No further action</w:t>
            </w:r>
          </w:p>
        </w:tc>
        <w:tc>
          <w:tcPr>
            <w:tcW w:w="6662" w:type="dxa"/>
          </w:tcPr>
          <w:p w14:paraId="41EA7098" w14:textId="27EC3970" w:rsidR="00DC1BEE" w:rsidRDefault="00DC1BEE" w:rsidP="00DC1BEE">
            <w:r>
              <w:t xml:space="preserve">We may decide that enforcement action is not proportionate to the level of harm caused by a breach. This may be for cases where the breach is of a technical nature </w:t>
            </w:r>
            <w:r w:rsidR="00C21FEA" w:rsidRPr="00270AF3">
              <w:t xml:space="preserve">or </w:t>
            </w:r>
            <w:r w:rsidRPr="00270AF3">
              <w:t xml:space="preserve">where it is judged that </w:t>
            </w:r>
            <w:r w:rsidR="00C21FEA" w:rsidRPr="00270AF3">
              <w:t xml:space="preserve">unconditional </w:t>
            </w:r>
            <w:r>
              <w:t xml:space="preserve">planning permission would have granted should an application be submitted. </w:t>
            </w:r>
          </w:p>
          <w:p w14:paraId="59EE3E1A" w14:textId="77777777" w:rsidR="00DC1BEE" w:rsidRDefault="00DC1BEE" w:rsidP="00DC1BEE">
            <w:r>
              <w:t xml:space="preserve">We will encourage the submission of a retrospective planning application in these circumstances. </w:t>
            </w:r>
          </w:p>
        </w:tc>
      </w:tr>
      <w:tr w:rsidR="00DC1BEE" w14:paraId="7CA5E48F" w14:textId="77777777" w:rsidTr="003615F7">
        <w:tc>
          <w:tcPr>
            <w:tcW w:w="2972" w:type="dxa"/>
          </w:tcPr>
          <w:p w14:paraId="2D649E51" w14:textId="77777777" w:rsidR="00DC1BEE" w:rsidRDefault="00DC1BEE" w:rsidP="00DC1BEE">
            <w:r>
              <w:t>Planning Contravention Notice</w:t>
            </w:r>
            <w:r w:rsidR="00566BEB">
              <w:t xml:space="preserve"> (PCN)</w:t>
            </w:r>
          </w:p>
        </w:tc>
        <w:tc>
          <w:tcPr>
            <w:tcW w:w="6662" w:type="dxa"/>
          </w:tcPr>
          <w:p w14:paraId="081A4599" w14:textId="77777777" w:rsidR="00DC1BEE" w:rsidRDefault="00DC1BEE" w:rsidP="00DC1BEE">
            <w:r>
              <w:t xml:space="preserve">Requires persons to divulge information in respect of land and </w:t>
            </w:r>
            <w:r w:rsidR="00566BEB">
              <w:t xml:space="preserve">activities. This is often the first formal step in resolving a breach of planning control. </w:t>
            </w:r>
          </w:p>
          <w:p w14:paraId="72ECAC96" w14:textId="77777777" w:rsidR="00566BEB" w:rsidRDefault="00566BEB" w:rsidP="00DC1BEE">
            <w:r>
              <w:t xml:space="preserve">Failure to provide information requested through a PCN can result in a fine of up to £1,000, whilst providing false information can result in a fine of up to £5,000. </w:t>
            </w:r>
          </w:p>
        </w:tc>
      </w:tr>
      <w:tr w:rsidR="00566B9E" w14:paraId="6B0195C5" w14:textId="77777777" w:rsidTr="003615F7">
        <w:tc>
          <w:tcPr>
            <w:tcW w:w="2972" w:type="dxa"/>
          </w:tcPr>
          <w:p w14:paraId="033E3BB6" w14:textId="77777777" w:rsidR="00566B9E" w:rsidRDefault="00566B9E" w:rsidP="00DC1BEE">
            <w:r>
              <w:t>Request for Information</w:t>
            </w:r>
          </w:p>
        </w:tc>
        <w:tc>
          <w:tcPr>
            <w:tcW w:w="6662" w:type="dxa"/>
          </w:tcPr>
          <w:p w14:paraId="05856F0A" w14:textId="77777777" w:rsidR="00566B9E" w:rsidRDefault="00566B9E" w:rsidP="00566B9E">
            <w:r>
              <w:t>Similar to a PCN, but cases where the Council has sufficient details about the activities being carried out but requires further information concerning ownership. It is also used in cases involving unauthorised works to a listed building where there is no associated breach of planning control. The penalties attached to an RFI are similar to those for the PCN.</w:t>
            </w:r>
          </w:p>
        </w:tc>
      </w:tr>
      <w:tr w:rsidR="00566B9E" w14:paraId="68C79326" w14:textId="77777777" w:rsidTr="003615F7">
        <w:tc>
          <w:tcPr>
            <w:tcW w:w="2972" w:type="dxa"/>
          </w:tcPr>
          <w:p w14:paraId="36DB8DCF" w14:textId="77777777" w:rsidR="00566B9E" w:rsidRDefault="00566B9E" w:rsidP="00566B9E">
            <w:r>
              <w:t>Enforcement Notice</w:t>
            </w:r>
          </w:p>
        </w:tc>
        <w:tc>
          <w:tcPr>
            <w:tcW w:w="6662" w:type="dxa"/>
          </w:tcPr>
          <w:p w14:paraId="1FDC1472" w14:textId="77777777" w:rsidR="00566B9E" w:rsidRDefault="00566B9E" w:rsidP="00566B9E">
            <w:r>
              <w:t xml:space="preserve">The most common notice used to deal with a breach of planning control. It is served when the Council is satisfied that there has been a breach of planning control and that it is expedient to take action. </w:t>
            </w:r>
          </w:p>
          <w:p w14:paraId="59090F83" w14:textId="2C644E3D" w:rsidR="00566B9E" w:rsidRDefault="00566B9E" w:rsidP="00566B9E">
            <w:r>
              <w:t xml:space="preserve">An Enforcement Notice will specify the </w:t>
            </w:r>
            <w:r w:rsidR="00C21FEA" w:rsidRPr="00270AF3">
              <w:t>breach</w:t>
            </w:r>
            <w:r>
              <w:t xml:space="preserve">, the steps that must be taken to remedy the breach and a specified time period for compliance. </w:t>
            </w:r>
          </w:p>
          <w:p w14:paraId="4BA4F3F9" w14:textId="77777777" w:rsidR="00566B9E" w:rsidRDefault="00566B9E" w:rsidP="00566B9E">
            <w:r>
              <w:t>The recipient of an Enforcement Notice has a right of appe</w:t>
            </w:r>
            <w:r w:rsidRPr="00270AF3">
              <w:t>al</w:t>
            </w:r>
            <w:r w:rsidR="00C21FEA" w:rsidRPr="00270AF3">
              <w:t xml:space="preserve"> to the Planning Inspectorate and should do so before the notice comes into effect</w:t>
            </w:r>
            <w:r w:rsidRPr="00270AF3">
              <w:t xml:space="preserve">. </w:t>
            </w:r>
          </w:p>
          <w:p w14:paraId="12307A11" w14:textId="093E153C" w:rsidR="00566B9E" w:rsidRDefault="00566B9E" w:rsidP="00D81B6C">
            <w:r>
              <w:t>Failure to comply with an Enforcement Notice can re</w:t>
            </w:r>
            <w:r w:rsidR="00FA0DE9">
              <w:t>sult in a</w:t>
            </w:r>
            <w:r w:rsidR="00D81B6C">
              <w:t xml:space="preserve"> fine, the value of which will be set </w:t>
            </w:r>
            <w:r w:rsidR="00C473A3">
              <w:t xml:space="preserve">by the Court. </w:t>
            </w:r>
          </w:p>
        </w:tc>
      </w:tr>
      <w:tr w:rsidR="00566BEB" w14:paraId="6E78CFEA" w14:textId="77777777" w:rsidTr="003615F7">
        <w:tc>
          <w:tcPr>
            <w:tcW w:w="2972" w:type="dxa"/>
          </w:tcPr>
          <w:p w14:paraId="4B6502C1" w14:textId="77777777" w:rsidR="00566BEB" w:rsidRDefault="00566BEB" w:rsidP="00DC1BEE">
            <w:r>
              <w:t>Breach of Condition Notice</w:t>
            </w:r>
          </w:p>
        </w:tc>
        <w:tc>
          <w:tcPr>
            <w:tcW w:w="6662" w:type="dxa"/>
          </w:tcPr>
          <w:p w14:paraId="7D2779CE" w14:textId="4BD9A66D" w:rsidR="00566BEB" w:rsidRDefault="00566BEB" w:rsidP="00270AF3">
            <w:r>
              <w:t xml:space="preserve">To secure compliance with conditions specified within a planning </w:t>
            </w:r>
            <w:r w:rsidR="00A3636F" w:rsidRPr="00270AF3">
              <w:t>permission</w:t>
            </w:r>
            <w:r w:rsidR="00A3636F">
              <w:t>.</w:t>
            </w:r>
            <w:r w:rsidRPr="00A3636F">
              <w:t xml:space="preserve"> </w:t>
            </w:r>
            <w:r w:rsidR="002664B7">
              <w:t xml:space="preserve">A minimum of 28 days will be given for compliance. There is no right of appeal against a Breach of Condition Notice. Failure to comply with a Breach of Condition Notice can result in a fine of up to £1,000. </w:t>
            </w:r>
          </w:p>
        </w:tc>
      </w:tr>
      <w:tr w:rsidR="00566B9E" w14:paraId="6641959B" w14:textId="77777777" w:rsidTr="003615F7">
        <w:tc>
          <w:tcPr>
            <w:tcW w:w="2972" w:type="dxa"/>
          </w:tcPr>
          <w:p w14:paraId="2BCD3C6B" w14:textId="77777777" w:rsidR="00566B9E" w:rsidRDefault="00566B9E" w:rsidP="00DC1BEE">
            <w:r>
              <w:t>Stop Notice</w:t>
            </w:r>
          </w:p>
        </w:tc>
        <w:tc>
          <w:tcPr>
            <w:tcW w:w="6662" w:type="dxa"/>
          </w:tcPr>
          <w:p w14:paraId="7B93AACF" w14:textId="4A04F442" w:rsidR="00566B9E" w:rsidRDefault="002664B7" w:rsidP="003615F7">
            <w:r>
              <w:t xml:space="preserve">Must be accompanied by an Enforcement Notice and served at the same time. A stop notice </w:t>
            </w:r>
            <w:r w:rsidR="00A3636F">
              <w:t xml:space="preserve">will </w:t>
            </w:r>
            <w:r>
              <w:t>ensure that any activity that may irrevocably harm the amenity, public safety or natural environment</w:t>
            </w:r>
            <w:r w:rsidR="00A3636F">
              <w:t xml:space="preserve"> </w:t>
            </w:r>
            <w:r w:rsidR="00A3636F" w:rsidRPr="00DD5CFB">
              <w:t>ceases</w:t>
            </w:r>
            <w:r>
              <w:t xml:space="preserve">. A stop notice can be used to ensure that work does notice continue </w:t>
            </w:r>
            <w:r w:rsidR="003615F7">
              <w:t xml:space="preserve">when an appeal is lodged against an Enforcement Notice. </w:t>
            </w:r>
          </w:p>
          <w:p w14:paraId="6B0CD483" w14:textId="1F63AABB" w:rsidR="003615F7" w:rsidRDefault="003615F7" w:rsidP="003615F7">
            <w:r>
              <w:t xml:space="preserve">Failure to comply with a Stop Notice can result in a </w:t>
            </w:r>
            <w:r w:rsidR="00C473A3">
              <w:t>fine, the value of which will be set by the Court.</w:t>
            </w:r>
          </w:p>
        </w:tc>
      </w:tr>
      <w:tr w:rsidR="00566B9E" w14:paraId="181DAEAC" w14:textId="77777777" w:rsidTr="003615F7">
        <w:tc>
          <w:tcPr>
            <w:tcW w:w="2972" w:type="dxa"/>
          </w:tcPr>
          <w:p w14:paraId="7D154A6D" w14:textId="77777777" w:rsidR="00566B9E" w:rsidRDefault="00566B9E" w:rsidP="00DC1BEE">
            <w:r>
              <w:lastRenderedPageBreak/>
              <w:t>Temporary Stop Notice</w:t>
            </w:r>
          </w:p>
        </w:tc>
        <w:tc>
          <w:tcPr>
            <w:tcW w:w="6662" w:type="dxa"/>
          </w:tcPr>
          <w:p w14:paraId="34D51FC0" w14:textId="77777777" w:rsidR="00566B9E" w:rsidRDefault="003615F7" w:rsidP="003615F7">
            <w:r>
              <w:t xml:space="preserve">As above, but only valid for 28 days and cannot be re-issued following that period. This will be used when a potential breach requires immediate action and will allow the Council time to investigate the potential breach. </w:t>
            </w:r>
          </w:p>
          <w:p w14:paraId="6F2FCECE" w14:textId="17E8F13C" w:rsidR="003615F7" w:rsidRDefault="003615F7" w:rsidP="005D2BD1">
            <w:r>
              <w:t xml:space="preserve">Failure to comply with a Temporary </w:t>
            </w:r>
            <w:r w:rsidR="005D2BD1">
              <w:t xml:space="preserve">Stop Notice can result in a </w:t>
            </w:r>
            <w:r w:rsidR="00C473A3">
              <w:t>fine, the value of which will be set by the Court.</w:t>
            </w:r>
          </w:p>
        </w:tc>
      </w:tr>
      <w:tr w:rsidR="00566B9E" w14:paraId="77A5C757" w14:textId="77777777" w:rsidTr="003615F7">
        <w:tc>
          <w:tcPr>
            <w:tcW w:w="2972" w:type="dxa"/>
          </w:tcPr>
          <w:p w14:paraId="45C2BD72" w14:textId="77777777" w:rsidR="00566B9E" w:rsidRDefault="00566B9E" w:rsidP="00DC1BEE">
            <w:r>
              <w:t>Injunction</w:t>
            </w:r>
          </w:p>
        </w:tc>
        <w:tc>
          <w:tcPr>
            <w:tcW w:w="6662" w:type="dxa"/>
          </w:tcPr>
          <w:p w14:paraId="5AEAAAC2" w14:textId="3B1B700D" w:rsidR="00566B9E" w:rsidRDefault="001858FF" w:rsidP="00DD5CFB">
            <w:r>
              <w:t xml:space="preserve">There may be exceptional cases </w:t>
            </w:r>
            <w:r w:rsidRPr="00DD5CFB">
              <w:t xml:space="preserve">where </w:t>
            </w:r>
            <w:r w:rsidR="00A3636F" w:rsidRPr="00DD5CFB">
              <w:t xml:space="preserve">it will be </w:t>
            </w:r>
            <w:r w:rsidRPr="00DD5CFB">
              <w:t xml:space="preserve">to restrain an actual </w:t>
            </w:r>
            <w:r w:rsidR="00A3636F" w:rsidRPr="00DD5CFB">
              <w:t xml:space="preserve">or potential </w:t>
            </w:r>
            <w:r w:rsidRPr="00DD5CFB">
              <w:t xml:space="preserve">breach of planning control. An injunction can be sought </w:t>
            </w:r>
            <w:r>
              <w:t xml:space="preserve">whether or not enforcement action has been taken. Due to the high costs involved an injunction is only used as a last resort and where the Council determines that other action is unlikely to succeed. </w:t>
            </w:r>
          </w:p>
        </w:tc>
      </w:tr>
      <w:tr w:rsidR="00566B9E" w14:paraId="28333313" w14:textId="77777777" w:rsidTr="003615F7">
        <w:tc>
          <w:tcPr>
            <w:tcW w:w="2972" w:type="dxa"/>
          </w:tcPr>
          <w:p w14:paraId="2DDD3FE7" w14:textId="77777777" w:rsidR="00566B9E" w:rsidRDefault="003615F7" w:rsidP="00DC1BEE">
            <w:r>
              <w:t>Section 2</w:t>
            </w:r>
            <w:r w:rsidR="00566B9E">
              <w:t>15 Notice</w:t>
            </w:r>
            <w:r w:rsidR="001858FF">
              <w:t xml:space="preserve"> – Town and Country Planning Act  1990</w:t>
            </w:r>
          </w:p>
        </w:tc>
        <w:tc>
          <w:tcPr>
            <w:tcW w:w="6662" w:type="dxa"/>
          </w:tcPr>
          <w:p w14:paraId="1BE95EF5" w14:textId="26A68807" w:rsidR="00566B9E" w:rsidRDefault="001858FF" w:rsidP="001858FF">
            <w:r>
              <w:t xml:space="preserve">This Notice is served owners of buildings/land to remedy the existing condition so it no longer adversely affect the local visual amenity. A Section 215 Notice will detail </w:t>
            </w:r>
            <w:r w:rsidR="00946674">
              <w:t>the steps require to remedy the existing condition and the timescale for compliance.</w:t>
            </w:r>
          </w:p>
          <w:p w14:paraId="62EC8EE8" w14:textId="77777777" w:rsidR="00946674" w:rsidRDefault="00946674" w:rsidP="001858FF">
            <w:r>
              <w:t xml:space="preserve">Failure to comply with a S215 Notice can result in a fine of up to £1,000. </w:t>
            </w:r>
          </w:p>
        </w:tc>
      </w:tr>
      <w:tr w:rsidR="00307776" w14:paraId="5B46155E" w14:textId="77777777" w:rsidTr="003615F7">
        <w:tc>
          <w:tcPr>
            <w:tcW w:w="2972" w:type="dxa"/>
          </w:tcPr>
          <w:p w14:paraId="4F3B1CBE" w14:textId="77777777" w:rsidR="00307776" w:rsidRDefault="003615F7" w:rsidP="00DC1BEE">
            <w:r>
              <w:t>Prosecution</w:t>
            </w:r>
          </w:p>
        </w:tc>
        <w:tc>
          <w:tcPr>
            <w:tcW w:w="6662" w:type="dxa"/>
          </w:tcPr>
          <w:p w14:paraId="29CA91BF" w14:textId="77777777" w:rsidR="00307776" w:rsidRDefault="003615F7" w:rsidP="00DC1BEE">
            <w:r>
              <w:t>If there is a failure to comply with a Notice, the Council may seek prosecution, which will be sought at a Magistrate’s or Crown Court. A successful prosecution could result in a fine.</w:t>
            </w:r>
          </w:p>
        </w:tc>
      </w:tr>
      <w:tr w:rsidR="00387322" w14:paraId="6E8117F3" w14:textId="77777777" w:rsidTr="003615F7">
        <w:tc>
          <w:tcPr>
            <w:tcW w:w="2972" w:type="dxa"/>
          </w:tcPr>
          <w:p w14:paraId="51F76B64" w14:textId="45322014" w:rsidR="00387322" w:rsidRPr="00387322" w:rsidRDefault="00387322" w:rsidP="00DC1BEE">
            <w:pPr>
              <w:rPr>
                <w:rFonts w:cstheme="minorHAnsi"/>
              </w:rPr>
            </w:pPr>
            <w:r w:rsidRPr="00ED4B7D">
              <w:rPr>
                <w:rFonts w:cstheme="minorHAnsi"/>
                <w:bCs/>
              </w:rPr>
              <w:t>Confiscation orders under the Proceeds of Crime Act 2002 (POCA)</w:t>
            </w:r>
          </w:p>
        </w:tc>
        <w:tc>
          <w:tcPr>
            <w:tcW w:w="6662" w:type="dxa"/>
          </w:tcPr>
          <w:p w14:paraId="1BDFA9C8" w14:textId="3AAD1DBE" w:rsidR="00387322" w:rsidRPr="00387322" w:rsidRDefault="00387322" w:rsidP="00042703">
            <w:pPr>
              <w:rPr>
                <w:rFonts w:cstheme="minorHAnsi"/>
              </w:rPr>
            </w:pPr>
            <w:r w:rsidRPr="00ED4B7D">
              <w:rPr>
                <w:rFonts w:cstheme="minorHAnsi"/>
                <w:bCs/>
              </w:rPr>
              <w:t>Once a valid effective Enforcement Notice is breached, a Council can</w:t>
            </w:r>
            <w:r w:rsidR="00042703">
              <w:rPr>
                <w:rFonts w:cstheme="minorHAnsi"/>
                <w:bCs/>
              </w:rPr>
              <w:t xml:space="preserve"> where </w:t>
            </w:r>
            <w:proofErr w:type="gramStart"/>
            <w:r w:rsidR="00042703">
              <w:rPr>
                <w:rFonts w:cstheme="minorHAnsi"/>
                <w:bCs/>
              </w:rPr>
              <w:t xml:space="preserve">appropriate </w:t>
            </w:r>
            <w:r w:rsidRPr="00ED4B7D">
              <w:rPr>
                <w:rFonts w:cstheme="minorHAnsi"/>
                <w:bCs/>
              </w:rPr>
              <w:t xml:space="preserve"> pursue</w:t>
            </w:r>
            <w:proofErr w:type="gramEnd"/>
            <w:r w:rsidRPr="00ED4B7D">
              <w:rPr>
                <w:rFonts w:cstheme="minorHAnsi"/>
                <w:bCs/>
              </w:rPr>
              <w:t xml:space="preserve"> a confiscation order under POCA. The initial preparations for the confiscation order are made in tandem with the prosecution, and an Accredited Financial Investigator will carry out all the investigations into the defendant</w:t>
            </w:r>
            <w:r w:rsidRPr="00ED4B7D">
              <w:rPr>
                <w:rFonts w:cstheme="minorHAnsi" w:hint="eastAsia"/>
                <w:bCs/>
              </w:rPr>
              <w:t>’</w:t>
            </w:r>
            <w:r w:rsidRPr="00ED4B7D">
              <w:rPr>
                <w:rFonts w:cstheme="minorHAnsi"/>
                <w:bCs/>
              </w:rPr>
              <w:t xml:space="preserve">s financial situation. </w:t>
            </w:r>
            <w:r w:rsidR="00042703">
              <w:rPr>
                <w:rFonts w:cstheme="minorHAnsi"/>
                <w:bCs/>
              </w:rPr>
              <w:t>Where</w:t>
            </w:r>
            <w:r w:rsidRPr="00ED4B7D">
              <w:rPr>
                <w:rFonts w:cstheme="minorHAnsi"/>
                <w:bCs/>
              </w:rPr>
              <w:t xml:space="preserve"> a conviction is secured, the confiscation order process will </w:t>
            </w:r>
            <w:r w:rsidR="00042703">
              <w:rPr>
                <w:rFonts w:cstheme="minorHAnsi"/>
                <w:bCs/>
              </w:rPr>
              <w:t xml:space="preserve">normally </w:t>
            </w:r>
            <w:r w:rsidRPr="00ED4B7D">
              <w:rPr>
                <w:rFonts w:cstheme="minorHAnsi"/>
                <w:bCs/>
              </w:rPr>
              <w:t>commence with an application by the L</w:t>
            </w:r>
            <w:r w:rsidR="00042703">
              <w:rPr>
                <w:rFonts w:cstheme="minorHAnsi"/>
                <w:bCs/>
              </w:rPr>
              <w:t xml:space="preserve">ocal </w:t>
            </w:r>
            <w:r w:rsidRPr="00ED4B7D">
              <w:rPr>
                <w:rFonts w:cstheme="minorHAnsi"/>
                <w:bCs/>
              </w:rPr>
              <w:t>P</w:t>
            </w:r>
            <w:r w:rsidR="00042703">
              <w:rPr>
                <w:rFonts w:cstheme="minorHAnsi"/>
                <w:bCs/>
              </w:rPr>
              <w:t xml:space="preserve">lanning </w:t>
            </w:r>
            <w:r w:rsidRPr="00ED4B7D">
              <w:rPr>
                <w:rFonts w:cstheme="minorHAnsi"/>
                <w:bCs/>
              </w:rPr>
              <w:t>A</w:t>
            </w:r>
            <w:r w:rsidR="00042703">
              <w:rPr>
                <w:rFonts w:cstheme="minorHAnsi"/>
                <w:bCs/>
              </w:rPr>
              <w:t>uthority</w:t>
            </w:r>
            <w:r w:rsidRPr="00ED4B7D">
              <w:rPr>
                <w:rFonts w:cstheme="minorHAnsi"/>
                <w:bCs/>
              </w:rPr>
              <w:t>.</w:t>
            </w:r>
          </w:p>
        </w:tc>
      </w:tr>
    </w:tbl>
    <w:p w14:paraId="2AAE8DD8" w14:textId="77777777" w:rsidR="00541496" w:rsidRDefault="00541496" w:rsidP="00DC1BEE"/>
    <w:p w14:paraId="05845104" w14:textId="77777777" w:rsidR="00EC1C96" w:rsidRDefault="00EC1C96" w:rsidP="000F0947">
      <w:pPr>
        <w:pStyle w:val="Heading2"/>
        <w:numPr>
          <w:ilvl w:val="1"/>
          <w:numId w:val="17"/>
        </w:numPr>
      </w:pPr>
      <w:bookmarkStart w:id="11" w:name="_Toc518979716"/>
      <w:r>
        <w:t>Notification</w:t>
      </w:r>
      <w:bookmarkEnd w:id="11"/>
      <w:r w:rsidR="000F0947">
        <w:tab/>
      </w:r>
    </w:p>
    <w:p w14:paraId="4024CD1C" w14:textId="77777777" w:rsidR="00541496" w:rsidRDefault="00541496" w:rsidP="00541496">
      <w:r>
        <w:t xml:space="preserve">An affected party can lodge an appeal about an Enforcement Notice with the Planning Inspectorate within one month of being served the Notice.  The Planning Inspectorate will deal with the appeal and issue the decision notice. All Enforcement action is suspended while an appeal is being determined. </w:t>
      </w:r>
    </w:p>
    <w:p w14:paraId="5EDD9006" w14:textId="77777777" w:rsidR="00541496" w:rsidRDefault="00541496" w:rsidP="00541496">
      <w:r>
        <w:t xml:space="preserve">If we decide to not take any Enforcement action on a case, all parties will be informed along with our clear reasons. The Council holds a Corporate Complaints System if any persons affected by the Investigation and Enforcement process are dissatisfied with the service they have received from the Council. </w:t>
      </w:r>
    </w:p>
    <w:p w14:paraId="74EB22BF" w14:textId="77777777" w:rsidR="008C41B5" w:rsidRDefault="008C41B5">
      <w:pPr>
        <w:rPr>
          <w:rFonts w:asciiTheme="majorHAnsi" w:eastAsiaTheme="majorEastAsia" w:hAnsiTheme="majorHAnsi" w:cstheme="majorBidi"/>
          <w:color w:val="2E74B5" w:themeColor="accent1" w:themeShade="BF"/>
          <w:sz w:val="32"/>
          <w:szCs w:val="32"/>
          <w:lang w:val="en"/>
        </w:rPr>
        <w:sectPr w:rsidR="008C41B5" w:rsidSect="00C46327">
          <w:headerReference w:type="default" r:id="rId12"/>
          <w:footerReference w:type="default" r:id="rId13"/>
          <w:headerReference w:type="first" r:id="rId14"/>
          <w:pgSz w:w="11906" w:h="16838"/>
          <w:pgMar w:top="720" w:right="720" w:bottom="720" w:left="720" w:header="708" w:footer="708" w:gutter="0"/>
          <w:pgNumType w:start="0"/>
          <w:cols w:space="708"/>
          <w:titlePg/>
          <w:docGrid w:linePitch="360"/>
        </w:sectPr>
      </w:pPr>
    </w:p>
    <w:p w14:paraId="7BA10127" w14:textId="77777777" w:rsidR="007D334B" w:rsidRDefault="007D334B">
      <w:pPr>
        <w:rPr>
          <w:rFonts w:asciiTheme="majorHAnsi" w:eastAsiaTheme="majorEastAsia" w:hAnsiTheme="majorHAnsi" w:cstheme="majorBidi"/>
          <w:color w:val="2E74B5" w:themeColor="accent1" w:themeShade="BF"/>
          <w:sz w:val="32"/>
          <w:szCs w:val="32"/>
          <w:lang w:val="en"/>
        </w:rPr>
      </w:pPr>
    </w:p>
    <w:p w14:paraId="6AB63A77" w14:textId="77777777" w:rsidR="0056693D" w:rsidRDefault="000F0947" w:rsidP="000F0947">
      <w:pPr>
        <w:pStyle w:val="Heading1"/>
        <w:rPr>
          <w:lang w:val="en"/>
        </w:rPr>
      </w:pPr>
      <w:bookmarkStart w:id="12" w:name="_Toc518979717"/>
      <w:r>
        <w:rPr>
          <w:lang w:val="en"/>
        </w:rPr>
        <w:t xml:space="preserve">Appendix 1 - </w:t>
      </w:r>
      <w:r w:rsidR="007D334B">
        <w:rPr>
          <w:lang w:val="en"/>
        </w:rPr>
        <w:t>Expe</w:t>
      </w:r>
      <w:r w:rsidR="0056693D">
        <w:rPr>
          <w:lang w:val="en"/>
        </w:rPr>
        <w:t xml:space="preserve">diency </w:t>
      </w:r>
      <w:bookmarkEnd w:id="12"/>
      <w:r w:rsidR="0020184D">
        <w:rPr>
          <w:lang w:val="en"/>
        </w:rPr>
        <w:t xml:space="preserve">flowchart </w:t>
      </w:r>
    </w:p>
    <w:p w14:paraId="6BEDC676" w14:textId="77777777" w:rsidR="000C4179" w:rsidRDefault="007A3B69" w:rsidP="008C41B5">
      <w:pPr>
        <w:rPr>
          <w:lang w:val="en"/>
        </w:rPr>
      </w:pPr>
      <w:r>
        <w:rPr>
          <w:lang w:val="en"/>
        </w:rPr>
        <w:t>When considering whether to use planning enforcement powers, Council’s must consider the expediency of such action.</w:t>
      </w:r>
      <w:r w:rsidR="000C4179">
        <w:rPr>
          <w:lang w:val="en"/>
        </w:rPr>
        <w:t xml:space="preserve"> The flow chart below will help us to determine whether it is expedient to take enforcement action. </w:t>
      </w:r>
    </w:p>
    <w:p w14:paraId="0547364A" w14:textId="5DBD3E32" w:rsidR="008C41B5" w:rsidRDefault="008C41B5" w:rsidP="008C41B5">
      <w:pPr>
        <w:rPr>
          <w:rFonts w:asciiTheme="majorHAnsi" w:eastAsiaTheme="majorEastAsia" w:hAnsiTheme="majorHAnsi" w:cstheme="majorBidi"/>
          <w:color w:val="2E74B5" w:themeColor="accent1" w:themeShade="BF"/>
          <w:sz w:val="32"/>
          <w:szCs w:val="32"/>
          <w:lang w:val="en"/>
        </w:rPr>
      </w:pPr>
      <w:r>
        <w:rPr>
          <w:noProof/>
        </w:rPr>
        <w:drawing>
          <wp:inline distT="0" distB="0" distL="0" distR="0" wp14:anchorId="1D5F9058" wp14:editId="763137A3">
            <wp:extent cx="8819520" cy="5067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31012" cy="5073903"/>
                    </a:xfrm>
                    <a:prstGeom prst="rect">
                      <a:avLst/>
                    </a:prstGeom>
                  </pic:spPr>
                </pic:pic>
              </a:graphicData>
            </a:graphic>
          </wp:inline>
        </w:drawing>
      </w:r>
    </w:p>
    <w:p w14:paraId="17FA5F4C" w14:textId="77777777" w:rsidR="008C41B5" w:rsidRDefault="008C41B5">
      <w:pPr>
        <w:rPr>
          <w:rFonts w:asciiTheme="majorHAnsi" w:eastAsiaTheme="majorEastAsia" w:hAnsiTheme="majorHAnsi" w:cstheme="majorBidi"/>
          <w:color w:val="2E74B5" w:themeColor="accent1" w:themeShade="BF"/>
          <w:sz w:val="32"/>
          <w:szCs w:val="32"/>
          <w:lang w:val="en"/>
        </w:rPr>
        <w:sectPr w:rsidR="008C41B5" w:rsidSect="008C41B5">
          <w:pgSz w:w="16838" w:h="11906" w:orient="landscape"/>
          <w:pgMar w:top="720" w:right="720" w:bottom="720" w:left="720" w:header="708" w:footer="708" w:gutter="0"/>
          <w:pgNumType w:start="0"/>
          <w:cols w:space="708"/>
          <w:titlePg/>
          <w:docGrid w:linePitch="360"/>
        </w:sectPr>
      </w:pPr>
      <w:bookmarkStart w:id="13" w:name="_Toc518979718"/>
    </w:p>
    <w:p w14:paraId="7B2692BD" w14:textId="77777777" w:rsidR="008C41B5" w:rsidRDefault="008C41B5">
      <w:pPr>
        <w:rPr>
          <w:rFonts w:asciiTheme="majorHAnsi" w:eastAsiaTheme="majorEastAsia" w:hAnsiTheme="majorHAnsi" w:cstheme="majorBidi"/>
          <w:color w:val="2E74B5" w:themeColor="accent1" w:themeShade="BF"/>
          <w:sz w:val="32"/>
          <w:szCs w:val="32"/>
          <w:lang w:val="en"/>
        </w:rPr>
      </w:pPr>
    </w:p>
    <w:p w14:paraId="11D85C57" w14:textId="77777777" w:rsidR="00467BE8" w:rsidRDefault="000F0947" w:rsidP="00467BE8">
      <w:pPr>
        <w:pStyle w:val="Heading1"/>
        <w:rPr>
          <w:lang w:val="en"/>
        </w:rPr>
      </w:pPr>
      <w:r>
        <w:rPr>
          <w:lang w:val="en"/>
        </w:rPr>
        <w:t xml:space="preserve">Appendix 2 - </w:t>
      </w:r>
      <w:r w:rsidR="00467BE8">
        <w:rPr>
          <w:lang w:val="en"/>
        </w:rPr>
        <w:t>Government Guidance and Legislation</w:t>
      </w:r>
      <w:bookmarkEnd w:id="13"/>
    </w:p>
    <w:p w14:paraId="345B3CDD" w14:textId="77777777" w:rsidR="00EC1C96" w:rsidRPr="00EC1C96" w:rsidRDefault="00467BE8" w:rsidP="00EC1C96">
      <w:pPr>
        <w:rPr>
          <w:lang w:val="en"/>
        </w:rPr>
      </w:pPr>
      <w:r>
        <w:rPr>
          <w:lang w:val="en"/>
        </w:rPr>
        <w:t>Torbay Council undertakes Planning Enforcement in accordance with Local and Central Government legislation, policies and guidance including (but not necessarily restricted to):</w:t>
      </w:r>
    </w:p>
    <w:p w14:paraId="2B3ABA29" w14:textId="77777777" w:rsidR="00467BE8" w:rsidRDefault="00467BE8" w:rsidP="00EC1C96">
      <w:pPr>
        <w:pStyle w:val="ListParagraph"/>
        <w:numPr>
          <w:ilvl w:val="0"/>
          <w:numId w:val="13"/>
        </w:numPr>
        <w:spacing w:line="240" w:lineRule="auto"/>
        <w:rPr>
          <w:lang w:val="en"/>
        </w:rPr>
      </w:pPr>
      <w:r w:rsidRPr="00EC1C96">
        <w:rPr>
          <w:lang w:val="en"/>
        </w:rPr>
        <w:t>Town and Country Planning Act 1990 (as amended by the Planning and Compensation Act 1991 and The Planning and Compulsory Purchase Act 2004) as amended</w:t>
      </w:r>
    </w:p>
    <w:p w14:paraId="07048280" w14:textId="77777777" w:rsidR="00EC1C96" w:rsidRPr="00EC1C96" w:rsidRDefault="00EC1C96" w:rsidP="00EC1C96">
      <w:pPr>
        <w:pStyle w:val="ListParagraph"/>
        <w:numPr>
          <w:ilvl w:val="0"/>
          <w:numId w:val="13"/>
        </w:numPr>
        <w:spacing w:line="240" w:lineRule="auto"/>
      </w:pPr>
      <w:r w:rsidRPr="00EC1C96">
        <w:rPr>
          <w:lang w:val="en"/>
        </w:rPr>
        <w:t xml:space="preserve">National Planning Policy </w:t>
      </w:r>
      <w:r>
        <w:rPr>
          <w:lang w:val="en"/>
        </w:rPr>
        <w:t>Framework</w:t>
      </w:r>
    </w:p>
    <w:p w14:paraId="530F268A" w14:textId="77777777" w:rsidR="00EC1C96" w:rsidRPr="00EC1C96" w:rsidRDefault="00EC1C96" w:rsidP="00EC1C96">
      <w:pPr>
        <w:pStyle w:val="ListParagraph"/>
        <w:numPr>
          <w:ilvl w:val="0"/>
          <w:numId w:val="13"/>
        </w:numPr>
        <w:spacing w:line="240" w:lineRule="auto"/>
      </w:pPr>
      <w:r>
        <w:rPr>
          <w:lang w:val="en"/>
        </w:rPr>
        <w:t>Torbay Local Plan 2012 to 2030</w:t>
      </w:r>
    </w:p>
    <w:p w14:paraId="07466543" w14:textId="77777777" w:rsidR="00EC1C96" w:rsidRDefault="00EC1C96" w:rsidP="00EC1C96">
      <w:pPr>
        <w:pStyle w:val="ListParagraph"/>
        <w:numPr>
          <w:ilvl w:val="0"/>
          <w:numId w:val="13"/>
        </w:numPr>
        <w:spacing w:line="240" w:lineRule="auto"/>
      </w:pPr>
      <w:r w:rsidRPr="00EC1C96">
        <w:rPr>
          <w:lang w:val="en"/>
        </w:rPr>
        <w:t xml:space="preserve">Town and </w:t>
      </w:r>
      <w:r w:rsidRPr="00EC1C96">
        <w:t xml:space="preserve">Country Planning (Control of Advertisements) (England) Regulations 2011 </w:t>
      </w:r>
    </w:p>
    <w:p w14:paraId="32A768BF" w14:textId="77777777" w:rsidR="00EC1C96" w:rsidRDefault="00EC1C96" w:rsidP="00EC1C96">
      <w:pPr>
        <w:pStyle w:val="ListParagraph"/>
        <w:numPr>
          <w:ilvl w:val="0"/>
          <w:numId w:val="13"/>
        </w:numPr>
        <w:spacing w:line="240" w:lineRule="auto"/>
      </w:pPr>
      <w:r w:rsidRPr="00EC1C96">
        <w:t xml:space="preserve">Planning (Listed Buildings and Conservation Areas) Act 1990 </w:t>
      </w:r>
    </w:p>
    <w:p w14:paraId="5B6A4412" w14:textId="77777777" w:rsidR="00EC1C96" w:rsidRDefault="00EC1C96" w:rsidP="00EC1C96">
      <w:pPr>
        <w:pStyle w:val="ListParagraph"/>
        <w:numPr>
          <w:ilvl w:val="0"/>
          <w:numId w:val="13"/>
        </w:numPr>
        <w:spacing w:line="240" w:lineRule="auto"/>
      </w:pPr>
      <w:r w:rsidRPr="00EC1C96">
        <w:t xml:space="preserve">Anti-Social Behaviour, Crime and Policing Act 2014 </w:t>
      </w:r>
    </w:p>
    <w:p w14:paraId="16C25AD5" w14:textId="77777777" w:rsidR="00EC1C96" w:rsidRDefault="00EC1C96" w:rsidP="00EC1C96">
      <w:pPr>
        <w:pStyle w:val="ListParagraph"/>
        <w:numPr>
          <w:ilvl w:val="0"/>
          <w:numId w:val="13"/>
        </w:numPr>
        <w:spacing w:line="240" w:lineRule="auto"/>
      </w:pPr>
      <w:r w:rsidRPr="00EC1C96">
        <w:t xml:space="preserve">Town and Country Planning (Environmental Impact Assessment) Regulations 2011 </w:t>
      </w:r>
    </w:p>
    <w:p w14:paraId="39234D42" w14:textId="77777777" w:rsidR="00EC1C96" w:rsidRPr="00EC1C96" w:rsidRDefault="00EC1C96" w:rsidP="00EC1C96">
      <w:pPr>
        <w:pStyle w:val="ListParagraph"/>
        <w:numPr>
          <w:ilvl w:val="0"/>
          <w:numId w:val="13"/>
        </w:numPr>
        <w:spacing w:line="240" w:lineRule="auto"/>
      </w:pPr>
      <w:r w:rsidRPr="00EC1C96">
        <w:t xml:space="preserve">Human Rights Act 1998. </w:t>
      </w:r>
    </w:p>
    <w:p w14:paraId="1A57B971" w14:textId="77777777" w:rsidR="00EC1C96" w:rsidRDefault="00EC1C96" w:rsidP="00EC1C96">
      <w:pPr>
        <w:pStyle w:val="Default"/>
        <w:numPr>
          <w:ilvl w:val="0"/>
          <w:numId w:val="13"/>
        </w:numPr>
        <w:ind w:left="1080"/>
        <w:rPr>
          <w:sz w:val="22"/>
          <w:szCs w:val="22"/>
        </w:rPr>
      </w:pPr>
      <w:r>
        <w:rPr>
          <w:sz w:val="22"/>
          <w:szCs w:val="22"/>
        </w:rPr>
        <w:t xml:space="preserve">Article 1 of the First Protocol – protection of property </w:t>
      </w:r>
    </w:p>
    <w:p w14:paraId="3271DD13" w14:textId="77777777" w:rsidR="00EC1C96" w:rsidRDefault="00EC1C96" w:rsidP="00EC1C96">
      <w:pPr>
        <w:pStyle w:val="Default"/>
        <w:numPr>
          <w:ilvl w:val="0"/>
          <w:numId w:val="13"/>
        </w:numPr>
        <w:ind w:left="1080"/>
        <w:rPr>
          <w:sz w:val="22"/>
          <w:szCs w:val="22"/>
        </w:rPr>
      </w:pPr>
      <w:r>
        <w:rPr>
          <w:sz w:val="22"/>
          <w:szCs w:val="22"/>
        </w:rPr>
        <w:t xml:space="preserve">Article 6 - the right to a fair trial </w:t>
      </w:r>
    </w:p>
    <w:p w14:paraId="553ADE25" w14:textId="77777777" w:rsidR="00EC1C96" w:rsidRDefault="00EC1C96" w:rsidP="00EC1C96">
      <w:pPr>
        <w:pStyle w:val="Default"/>
        <w:numPr>
          <w:ilvl w:val="0"/>
          <w:numId w:val="13"/>
        </w:numPr>
        <w:ind w:left="1080"/>
        <w:rPr>
          <w:sz w:val="22"/>
          <w:szCs w:val="22"/>
        </w:rPr>
      </w:pPr>
      <w:r>
        <w:rPr>
          <w:sz w:val="22"/>
          <w:szCs w:val="22"/>
        </w:rPr>
        <w:t xml:space="preserve">Article 8 – right to respect for family life; and home </w:t>
      </w:r>
    </w:p>
    <w:p w14:paraId="4E690CC7" w14:textId="77777777" w:rsidR="00EC1C96" w:rsidRDefault="00EC1C96" w:rsidP="00EC1C96">
      <w:pPr>
        <w:pStyle w:val="Default"/>
        <w:numPr>
          <w:ilvl w:val="0"/>
          <w:numId w:val="13"/>
        </w:numPr>
        <w:ind w:left="1080"/>
        <w:rPr>
          <w:sz w:val="22"/>
          <w:szCs w:val="22"/>
        </w:rPr>
      </w:pPr>
      <w:r>
        <w:rPr>
          <w:sz w:val="22"/>
          <w:szCs w:val="22"/>
        </w:rPr>
        <w:t xml:space="preserve">Article 14 – protection from discrimination </w:t>
      </w:r>
    </w:p>
    <w:p w14:paraId="2F1C183E" w14:textId="77777777" w:rsidR="00EC1C96" w:rsidRDefault="00EC1C96" w:rsidP="00EC1C96">
      <w:pPr>
        <w:pStyle w:val="Default"/>
        <w:numPr>
          <w:ilvl w:val="0"/>
          <w:numId w:val="13"/>
        </w:numPr>
        <w:rPr>
          <w:sz w:val="22"/>
          <w:szCs w:val="22"/>
        </w:rPr>
      </w:pPr>
      <w:r>
        <w:rPr>
          <w:sz w:val="22"/>
          <w:szCs w:val="22"/>
        </w:rPr>
        <w:t xml:space="preserve">Police and Criminal Evidence Act 1984; as amended </w:t>
      </w:r>
    </w:p>
    <w:p w14:paraId="63DAD637" w14:textId="77777777" w:rsidR="00EC1C96" w:rsidRDefault="00EC1C96" w:rsidP="00EC1C96">
      <w:pPr>
        <w:pStyle w:val="Default"/>
        <w:numPr>
          <w:ilvl w:val="0"/>
          <w:numId w:val="13"/>
        </w:numPr>
        <w:rPr>
          <w:sz w:val="22"/>
          <w:szCs w:val="22"/>
        </w:rPr>
      </w:pPr>
      <w:r>
        <w:rPr>
          <w:sz w:val="22"/>
          <w:szCs w:val="22"/>
        </w:rPr>
        <w:t>Localism Act 2011</w:t>
      </w:r>
    </w:p>
    <w:p w14:paraId="1E5AC47D" w14:textId="27E9136C" w:rsidR="00042703" w:rsidRPr="00ED4B7D" w:rsidRDefault="00042703" w:rsidP="00EC1C96">
      <w:pPr>
        <w:pStyle w:val="Default"/>
        <w:numPr>
          <w:ilvl w:val="0"/>
          <w:numId w:val="13"/>
        </w:numPr>
        <w:rPr>
          <w:rFonts w:asciiTheme="minorHAnsi" w:hAnsiTheme="minorHAnsi" w:cstheme="minorHAnsi"/>
          <w:sz w:val="22"/>
          <w:szCs w:val="22"/>
        </w:rPr>
      </w:pPr>
      <w:r w:rsidRPr="00ED4B7D">
        <w:rPr>
          <w:rFonts w:asciiTheme="minorHAnsi" w:hAnsiTheme="minorHAnsi" w:cstheme="minorHAnsi"/>
          <w:b/>
          <w:bCs/>
          <w:sz w:val="22"/>
          <w:szCs w:val="22"/>
        </w:rPr>
        <w:t>Proceeds of Crime Act 2002 (POCA)</w:t>
      </w:r>
    </w:p>
    <w:p w14:paraId="5D58F80F" w14:textId="77777777" w:rsidR="00EC1C96" w:rsidRDefault="00EC1C96" w:rsidP="00EC1C96">
      <w:pPr>
        <w:pStyle w:val="Default"/>
        <w:ind w:left="720"/>
        <w:rPr>
          <w:sz w:val="22"/>
          <w:szCs w:val="22"/>
        </w:rPr>
      </w:pPr>
    </w:p>
    <w:p w14:paraId="39314FDC" w14:textId="77777777" w:rsidR="003A0B8F" w:rsidRPr="003A0B8F" w:rsidRDefault="003A0B8F" w:rsidP="003A0B8F">
      <w:pPr>
        <w:rPr>
          <w:lang w:val="en"/>
        </w:rPr>
      </w:pPr>
    </w:p>
    <w:sectPr w:rsidR="003A0B8F" w:rsidRPr="003A0B8F" w:rsidSect="00C4632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5BD0" w14:textId="77777777" w:rsidR="001F217F" w:rsidRDefault="001F217F" w:rsidP="00AA2D27">
      <w:pPr>
        <w:spacing w:after="0" w:line="240" w:lineRule="auto"/>
      </w:pPr>
      <w:r>
        <w:separator/>
      </w:r>
    </w:p>
  </w:endnote>
  <w:endnote w:type="continuationSeparator" w:id="0">
    <w:p w14:paraId="1E08AA73" w14:textId="77777777" w:rsidR="001F217F" w:rsidRDefault="001F217F" w:rsidP="00AA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01456"/>
      <w:docPartObj>
        <w:docPartGallery w:val="Page Numbers (Bottom of Page)"/>
        <w:docPartUnique/>
      </w:docPartObj>
    </w:sdtPr>
    <w:sdtEndPr/>
    <w:sdtContent>
      <w:sdt>
        <w:sdtPr>
          <w:id w:val="1728636285"/>
          <w:docPartObj>
            <w:docPartGallery w:val="Page Numbers (Top of Page)"/>
            <w:docPartUnique/>
          </w:docPartObj>
        </w:sdtPr>
        <w:sdtEndPr/>
        <w:sdtContent>
          <w:p w14:paraId="37206CF9" w14:textId="77777777" w:rsidR="00307776" w:rsidRDefault="00307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4B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B7D">
              <w:rPr>
                <w:b/>
                <w:bCs/>
                <w:noProof/>
              </w:rPr>
              <w:t>9</w:t>
            </w:r>
            <w:r>
              <w:rPr>
                <w:b/>
                <w:bCs/>
                <w:sz w:val="24"/>
                <w:szCs w:val="24"/>
              </w:rPr>
              <w:fldChar w:fldCharType="end"/>
            </w:r>
          </w:p>
        </w:sdtContent>
      </w:sdt>
    </w:sdtContent>
  </w:sdt>
  <w:p w14:paraId="72015150" w14:textId="77777777" w:rsidR="00AA2D27" w:rsidRDefault="00AA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BB80E" w14:textId="77777777" w:rsidR="001F217F" w:rsidRDefault="001F217F" w:rsidP="00AA2D27">
      <w:pPr>
        <w:spacing w:after="0" w:line="240" w:lineRule="auto"/>
      </w:pPr>
      <w:r>
        <w:separator/>
      </w:r>
    </w:p>
  </w:footnote>
  <w:footnote w:type="continuationSeparator" w:id="0">
    <w:p w14:paraId="58868B2B" w14:textId="77777777" w:rsidR="001F217F" w:rsidRDefault="001F217F" w:rsidP="00AA2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3931" w14:textId="77777777" w:rsidR="00307776" w:rsidRDefault="00307776">
    <w:pPr>
      <w:pStyle w:val="Header"/>
    </w:pPr>
    <w:r>
      <w:t>Torbay Council Planning Enforcement Policy v1</w:t>
    </w:r>
  </w:p>
  <w:p w14:paraId="4FC7D3D5" w14:textId="77777777" w:rsidR="00AA2D27" w:rsidRDefault="00AA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2950" w14:textId="09C36A3C" w:rsidR="0093154F" w:rsidRDefault="0093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31"/>
    <w:multiLevelType w:val="hybridMultilevel"/>
    <w:tmpl w:val="084A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D79"/>
    <w:multiLevelType w:val="hybridMultilevel"/>
    <w:tmpl w:val="4B5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67D7"/>
    <w:multiLevelType w:val="hybridMultilevel"/>
    <w:tmpl w:val="EDF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659D8"/>
    <w:multiLevelType w:val="hybridMultilevel"/>
    <w:tmpl w:val="FEB65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B47C9"/>
    <w:multiLevelType w:val="hybridMultilevel"/>
    <w:tmpl w:val="78D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06BD"/>
    <w:multiLevelType w:val="hybridMultilevel"/>
    <w:tmpl w:val="611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723FE"/>
    <w:multiLevelType w:val="hybridMultilevel"/>
    <w:tmpl w:val="1D12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F643D"/>
    <w:multiLevelType w:val="hybridMultilevel"/>
    <w:tmpl w:val="748C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C3427"/>
    <w:multiLevelType w:val="hybridMultilevel"/>
    <w:tmpl w:val="EA6C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C63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885874"/>
    <w:multiLevelType w:val="hybridMultilevel"/>
    <w:tmpl w:val="2B2E0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410FE"/>
    <w:multiLevelType w:val="hybridMultilevel"/>
    <w:tmpl w:val="288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A57FB"/>
    <w:multiLevelType w:val="hybridMultilevel"/>
    <w:tmpl w:val="E99A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64813"/>
    <w:multiLevelType w:val="hybridMultilevel"/>
    <w:tmpl w:val="992ED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91A8F"/>
    <w:multiLevelType w:val="hybridMultilevel"/>
    <w:tmpl w:val="430E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E197C"/>
    <w:multiLevelType w:val="hybridMultilevel"/>
    <w:tmpl w:val="A55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04F38"/>
    <w:multiLevelType w:val="hybridMultilevel"/>
    <w:tmpl w:val="992C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2"/>
  </w:num>
  <w:num w:numId="5">
    <w:abstractNumId w:val="1"/>
  </w:num>
  <w:num w:numId="6">
    <w:abstractNumId w:val="8"/>
  </w:num>
  <w:num w:numId="7">
    <w:abstractNumId w:val="14"/>
  </w:num>
  <w:num w:numId="8">
    <w:abstractNumId w:val="5"/>
  </w:num>
  <w:num w:numId="9">
    <w:abstractNumId w:val="3"/>
  </w:num>
  <w:num w:numId="10">
    <w:abstractNumId w:val="4"/>
  </w:num>
  <w:num w:numId="11">
    <w:abstractNumId w:val="15"/>
  </w:num>
  <w:num w:numId="12">
    <w:abstractNumId w:val="16"/>
  </w:num>
  <w:num w:numId="13">
    <w:abstractNumId w:val="6"/>
  </w:num>
  <w:num w:numId="14">
    <w:abstractNumId w:val="7"/>
  </w:num>
  <w:num w:numId="15">
    <w:abstractNumId w:val="1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4"/>
    <w:rsid w:val="00022F7E"/>
    <w:rsid w:val="00042703"/>
    <w:rsid w:val="00056CB4"/>
    <w:rsid w:val="000C4179"/>
    <w:rsid w:val="000E230D"/>
    <w:rsid w:val="000F0947"/>
    <w:rsid w:val="001858FF"/>
    <w:rsid w:val="001C28AC"/>
    <w:rsid w:val="001D6E23"/>
    <w:rsid w:val="001F217F"/>
    <w:rsid w:val="0020184D"/>
    <w:rsid w:val="00257AF2"/>
    <w:rsid w:val="002664B7"/>
    <w:rsid w:val="00270AF3"/>
    <w:rsid w:val="00274FBC"/>
    <w:rsid w:val="0027553E"/>
    <w:rsid w:val="002C4EC5"/>
    <w:rsid w:val="00307776"/>
    <w:rsid w:val="003416DA"/>
    <w:rsid w:val="003615F7"/>
    <w:rsid w:val="00387322"/>
    <w:rsid w:val="003A0359"/>
    <w:rsid w:val="003A0B8F"/>
    <w:rsid w:val="003C02B7"/>
    <w:rsid w:val="003D2389"/>
    <w:rsid w:val="00417404"/>
    <w:rsid w:val="004439D0"/>
    <w:rsid w:val="0046089E"/>
    <w:rsid w:val="00467BE8"/>
    <w:rsid w:val="004B4F73"/>
    <w:rsid w:val="004E74DD"/>
    <w:rsid w:val="00503E5D"/>
    <w:rsid w:val="00505D05"/>
    <w:rsid w:val="00541496"/>
    <w:rsid w:val="00564A83"/>
    <w:rsid w:val="0056693D"/>
    <w:rsid w:val="00566B9E"/>
    <w:rsid w:val="00566BEB"/>
    <w:rsid w:val="00581001"/>
    <w:rsid w:val="005851F0"/>
    <w:rsid w:val="00592D0B"/>
    <w:rsid w:val="005A0CBE"/>
    <w:rsid w:val="005D2BD1"/>
    <w:rsid w:val="00615ACF"/>
    <w:rsid w:val="006401BB"/>
    <w:rsid w:val="006D26DD"/>
    <w:rsid w:val="00754461"/>
    <w:rsid w:val="0076665D"/>
    <w:rsid w:val="007A3B69"/>
    <w:rsid w:val="007D334B"/>
    <w:rsid w:val="007F124B"/>
    <w:rsid w:val="008331F1"/>
    <w:rsid w:val="0086038B"/>
    <w:rsid w:val="00867571"/>
    <w:rsid w:val="008A0ADE"/>
    <w:rsid w:val="008B59EC"/>
    <w:rsid w:val="008C41B5"/>
    <w:rsid w:val="008E572B"/>
    <w:rsid w:val="008E5B3E"/>
    <w:rsid w:val="0093154F"/>
    <w:rsid w:val="00946674"/>
    <w:rsid w:val="00950EA3"/>
    <w:rsid w:val="00A120C0"/>
    <w:rsid w:val="00A35ED6"/>
    <w:rsid w:val="00A3636F"/>
    <w:rsid w:val="00A41650"/>
    <w:rsid w:val="00A635DD"/>
    <w:rsid w:val="00AA2D27"/>
    <w:rsid w:val="00AA6787"/>
    <w:rsid w:val="00B50846"/>
    <w:rsid w:val="00B6518C"/>
    <w:rsid w:val="00B710CB"/>
    <w:rsid w:val="00BE061C"/>
    <w:rsid w:val="00BE16C4"/>
    <w:rsid w:val="00BF6E69"/>
    <w:rsid w:val="00C05302"/>
    <w:rsid w:val="00C12D35"/>
    <w:rsid w:val="00C21FEA"/>
    <w:rsid w:val="00C4463E"/>
    <w:rsid w:val="00C46327"/>
    <w:rsid w:val="00C473A3"/>
    <w:rsid w:val="00C80CD9"/>
    <w:rsid w:val="00CE190B"/>
    <w:rsid w:val="00D04749"/>
    <w:rsid w:val="00D543E3"/>
    <w:rsid w:val="00D77948"/>
    <w:rsid w:val="00D81B6C"/>
    <w:rsid w:val="00D84907"/>
    <w:rsid w:val="00DC1BEE"/>
    <w:rsid w:val="00DD5CFB"/>
    <w:rsid w:val="00E701F4"/>
    <w:rsid w:val="00EC1C96"/>
    <w:rsid w:val="00ED4B7D"/>
    <w:rsid w:val="00FA0DE9"/>
    <w:rsid w:val="00FA5D62"/>
    <w:rsid w:val="00FE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C8CB5"/>
  <w15:chartTrackingRefBased/>
  <w15:docId w15:val="{16408D2B-3BED-4361-BB9A-010FF9F1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D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C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C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6CB4"/>
    <w:pPr>
      <w:ind w:left="720"/>
      <w:contextualSpacing/>
    </w:pPr>
  </w:style>
  <w:style w:type="character" w:styleId="Hyperlink">
    <w:name w:val="Hyperlink"/>
    <w:basedOn w:val="DefaultParagraphFont"/>
    <w:uiPriority w:val="99"/>
    <w:unhideWhenUsed/>
    <w:rsid w:val="00056CB4"/>
    <w:rPr>
      <w:color w:val="0563C1" w:themeColor="hyperlink"/>
      <w:u w:val="single"/>
    </w:rPr>
  </w:style>
  <w:style w:type="character" w:customStyle="1" w:styleId="Heading2Char">
    <w:name w:val="Heading 2 Char"/>
    <w:basedOn w:val="DefaultParagraphFont"/>
    <w:link w:val="Heading2"/>
    <w:uiPriority w:val="9"/>
    <w:rsid w:val="00056C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D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D27"/>
  </w:style>
  <w:style w:type="paragraph" w:styleId="Footer">
    <w:name w:val="footer"/>
    <w:basedOn w:val="Normal"/>
    <w:link w:val="FooterChar"/>
    <w:uiPriority w:val="99"/>
    <w:unhideWhenUsed/>
    <w:rsid w:val="00AA2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D27"/>
  </w:style>
  <w:style w:type="paragraph" w:customStyle="1" w:styleId="Default">
    <w:name w:val="Default"/>
    <w:rsid w:val="00CE190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05D05"/>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6327"/>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C46327"/>
    <w:rPr>
      <w:rFonts w:eastAsiaTheme="minorEastAsia"/>
      <w:lang w:val="en-US" w:eastAsia="en-US"/>
    </w:rPr>
  </w:style>
  <w:style w:type="paragraph" w:styleId="TOCHeading">
    <w:name w:val="TOC Heading"/>
    <w:basedOn w:val="Heading1"/>
    <w:next w:val="Normal"/>
    <w:uiPriority w:val="39"/>
    <w:unhideWhenUsed/>
    <w:qFormat/>
    <w:rsid w:val="00B710CB"/>
    <w:pPr>
      <w:outlineLvl w:val="9"/>
    </w:pPr>
    <w:rPr>
      <w:lang w:val="en-US" w:eastAsia="en-US"/>
    </w:rPr>
  </w:style>
  <w:style w:type="paragraph" w:styleId="TOC1">
    <w:name w:val="toc 1"/>
    <w:basedOn w:val="Normal"/>
    <w:next w:val="Normal"/>
    <w:autoRedefine/>
    <w:uiPriority w:val="39"/>
    <w:unhideWhenUsed/>
    <w:rsid w:val="000F0947"/>
    <w:pPr>
      <w:tabs>
        <w:tab w:val="left" w:pos="440"/>
        <w:tab w:val="right" w:leader="dot" w:pos="10456"/>
      </w:tabs>
      <w:spacing w:after="100"/>
    </w:pPr>
  </w:style>
  <w:style w:type="paragraph" w:styleId="TOC2">
    <w:name w:val="toc 2"/>
    <w:basedOn w:val="Normal"/>
    <w:next w:val="Normal"/>
    <w:autoRedefine/>
    <w:uiPriority w:val="39"/>
    <w:unhideWhenUsed/>
    <w:rsid w:val="00B710CB"/>
    <w:pPr>
      <w:spacing w:after="100"/>
      <w:ind w:left="220"/>
    </w:pPr>
  </w:style>
  <w:style w:type="paragraph" w:styleId="TOC3">
    <w:name w:val="toc 3"/>
    <w:basedOn w:val="Normal"/>
    <w:next w:val="Normal"/>
    <w:autoRedefine/>
    <w:uiPriority w:val="39"/>
    <w:unhideWhenUsed/>
    <w:rsid w:val="00B710CB"/>
    <w:pPr>
      <w:spacing w:after="100"/>
      <w:ind w:left="440"/>
    </w:pPr>
  </w:style>
  <w:style w:type="paragraph" w:styleId="NormalWeb">
    <w:name w:val="Normal (Web)"/>
    <w:basedOn w:val="Normal"/>
    <w:uiPriority w:val="99"/>
    <w:semiHidden/>
    <w:unhideWhenUsed/>
    <w:rsid w:val="008C41B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416DA"/>
    <w:rPr>
      <w:sz w:val="16"/>
      <w:szCs w:val="16"/>
    </w:rPr>
  </w:style>
  <w:style w:type="paragraph" w:styleId="CommentText">
    <w:name w:val="annotation text"/>
    <w:basedOn w:val="Normal"/>
    <w:link w:val="CommentTextChar"/>
    <w:uiPriority w:val="99"/>
    <w:semiHidden/>
    <w:unhideWhenUsed/>
    <w:rsid w:val="003416DA"/>
    <w:pPr>
      <w:spacing w:line="240" w:lineRule="auto"/>
    </w:pPr>
    <w:rPr>
      <w:sz w:val="20"/>
      <w:szCs w:val="20"/>
    </w:rPr>
  </w:style>
  <w:style w:type="character" w:customStyle="1" w:styleId="CommentTextChar">
    <w:name w:val="Comment Text Char"/>
    <w:basedOn w:val="DefaultParagraphFont"/>
    <w:link w:val="CommentText"/>
    <w:uiPriority w:val="99"/>
    <w:semiHidden/>
    <w:rsid w:val="003416DA"/>
    <w:rPr>
      <w:sz w:val="20"/>
      <w:szCs w:val="20"/>
    </w:rPr>
  </w:style>
  <w:style w:type="paragraph" w:styleId="CommentSubject">
    <w:name w:val="annotation subject"/>
    <w:basedOn w:val="CommentText"/>
    <w:next w:val="CommentText"/>
    <w:link w:val="CommentSubjectChar"/>
    <w:uiPriority w:val="99"/>
    <w:semiHidden/>
    <w:unhideWhenUsed/>
    <w:rsid w:val="003416DA"/>
    <w:rPr>
      <w:b/>
      <w:bCs/>
    </w:rPr>
  </w:style>
  <w:style w:type="character" w:customStyle="1" w:styleId="CommentSubjectChar">
    <w:name w:val="Comment Subject Char"/>
    <w:basedOn w:val="CommentTextChar"/>
    <w:link w:val="CommentSubject"/>
    <w:uiPriority w:val="99"/>
    <w:semiHidden/>
    <w:rsid w:val="003416DA"/>
    <w:rPr>
      <w:b/>
      <w:bCs/>
      <w:sz w:val="20"/>
      <w:szCs w:val="20"/>
    </w:rPr>
  </w:style>
  <w:style w:type="paragraph" w:styleId="BalloonText">
    <w:name w:val="Balloon Text"/>
    <w:basedOn w:val="Normal"/>
    <w:link w:val="BalloonTextChar"/>
    <w:uiPriority w:val="99"/>
    <w:semiHidden/>
    <w:unhideWhenUsed/>
    <w:rsid w:val="0034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highway-maintenanc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torbay.gov.uk/council/policies/planning-policies/local-plan/new-local-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D641-753E-4308-A6AF-D06247D7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Spatial Planning Enforcement Policy</vt:lpstr>
    </vt:vector>
  </TitlesOfParts>
  <Company>Torbay Council</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Planning Enforcement Policy</dc:title>
  <dc:subject>Torbay Council</dc:subject>
  <dc:creator>Jones, Darryl</dc:creator>
  <cp:keywords/>
  <dc:description/>
  <cp:lastModifiedBy>Jones, Darryl</cp:lastModifiedBy>
  <cp:revision>4</cp:revision>
  <dcterms:created xsi:type="dcterms:W3CDTF">2019-01-04T09:50:00Z</dcterms:created>
  <dcterms:modified xsi:type="dcterms:W3CDTF">2019-06-27T10:25:00Z</dcterms:modified>
</cp:coreProperties>
</file>