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B33821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344B69">
              <w:rPr>
                <w:rFonts w:ascii="Arial" w:hAnsi="Arial" w:cs="Arial"/>
                <w:b/>
              </w:rPr>
              <w:t>Boys’ Grammar School</w:t>
            </w:r>
          </w:p>
        </w:tc>
        <w:tc>
          <w:tcPr>
            <w:tcW w:w="3203" w:type="dxa"/>
          </w:tcPr>
          <w:p w:rsidR="00462F97" w:rsidRDefault="002A3E5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75418D">
              <w:rPr>
                <w:rFonts w:ascii="Arial" w:hAnsi="Arial" w:cs="Arial"/>
              </w:rPr>
              <w:t>168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DE48CA">
              <w:rPr>
                <w:rFonts w:ascii="Arial" w:hAnsi="Arial" w:cs="Arial"/>
              </w:rPr>
              <w:t xml:space="preserve"> (82%)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E48CA">
              <w:rPr>
                <w:rFonts w:ascii="Arial" w:hAnsi="Arial" w:cs="Arial"/>
              </w:rPr>
              <w:t xml:space="preserve"> (9%)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 w:rsidR="00F9348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7291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48CA">
              <w:rPr>
                <w:rFonts w:ascii="Arial" w:hAnsi="Arial" w:cs="Arial"/>
              </w:rPr>
              <w:t xml:space="preserve"> (7%)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2A3E5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3C54B8">
        <w:tc>
          <w:tcPr>
            <w:tcW w:w="7311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2A3E5E" w:rsidRPr="002A3E5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3C54B8">
        <w:tc>
          <w:tcPr>
            <w:tcW w:w="7311" w:type="dxa"/>
          </w:tcPr>
          <w:p w:rsidR="00BA5423" w:rsidRPr="00C94FB8" w:rsidRDefault="00123043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3C54B8">
              <w:rPr>
                <w:rFonts w:ascii="Arial" w:hAnsi="Arial" w:cs="Arial"/>
              </w:rPr>
              <w:t>boy who is eligible for admission and</w:t>
            </w:r>
            <w:r>
              <w:rPr>
                <w:rFonts w:ascii="Arial" w:hAnsi="Arial" w:cs="Arial"/>
              </w:rPr>
              <w:t xml:space="preserve"> whose Education, Health and Care Plan or Statement of Special Educational Needs names the school.</w:t>
            </w:r>
          </w:p>
        </w:tc>
        <w:tc>
          <w:tcPr>
            <w:tcW w:w="3145" w:type="dxa"/>
          </w:tcPr>
          <w:p w:rsidR="00BA5423" w:rsidRDefault="009055C0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3C54B8">
        <w:tc>
          <w:tcPr>
            <w:tcW w:w="7311" w:type="dxa"/>
          </w:tcPr>
          <w:p w:rsidR="00462F97" w:rsidRPr="00602592" w:rsidRDefault="003C54B8" w:rsidP="00123043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</w:t>
            </w:r>
            <w:r w:rsidR="00123043">
              <w:rPr>
                <w:rFonts w:ascii="Arial" w:hAnsi="Arial" w:cs="Arial"/>
              </w:rPr>
              <w:t>in Care or who were in Care but ceased to be in Care</w:t>
            </w:r>
            <w:r w:rsidR="00144FA0">
              <w:rPr>
                <w:rFonts w:ascii="Arial" w:hAnsi="Arial" w:cs="Arial"/>
              </w:rPr>
              <w:t xml:space="preserve"> because they were adopted or made the subject of a child arrangements order or special guardianship order </w:t>
            </w:r>
            <w:r w:rsidR="00AB5E5D" w:rsidRPr="00F95AF8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145" w:type="dxa"/>
          </w:tcPr>
          <w:p w:rsidR="00462F97" w:rsidRDefault="009055C0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4FA0" w:rsidTr="003C54B8">
        <w:tc>
          <w:tcPr>
            <w:tcW w:w="7311" w:type="dxa"/>
          </w:tcPr>
          <w:p w:rsidR="00144FA0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eligible for the pupil premium. </w:t>
            </w:r>
          </w:p>
        </w:tc>
        <w:tc>
          <w:tcPr>
            <w:tcW w:w="3145" w:type="dxa"/>
          </w:tcPr>
          <w:p w:rsidR="00144FA0" w:rsidRDefault="009055C0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3C54B8">
        <w:tc>
          <w:tcPr>
            <w:tcW w:w="7311" w:type="dxa"/>
          </w:tcPr>
          <w:p w:rsidR="00462F97" w:rsidRPr="003D384A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145" w:type="dxa"/>
          </w:tcPr>
          <w:p w:rsidR="00462F97" w:rsidRDefault="009055C0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462F97" w:rsidTr="003C54B8">
        <w:tc>
          <w:tcPr>
            <w:tcW w:w="7311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:rsidR="00462F97" w:rsidRPr="0090197D" w:rsidRDefault="009055C0" w:rsidP="009019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2A3E5E" w:rsidRPr="002A3E5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9055C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203" w:type="dxa"/>
          </w:tcPr>
          <w:p w:rsidR="00462F97" w:rsidRPr="0090197D" w:rsidRDefault="009055C0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D7485" w:rsidP="007C4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2F95"/>
    <w:rsid w:val="00123043"/>
    <w:rsid w:val="00144FA0"/>
    <w:rsid w:val="002112DA"/>
    <w:rsid w:val="002355C1"/>
    <w:rsid w:val="002A0087"/>
    <w:rsid w:val="002A3E5E"/>
    <w:rsid w:val="00344B69"/>
    <w:rsid w:val="00372918"/>
    <w:rsid w:val="003921EF"/>
    <w:rsid w:val="003C54B8"/>
    <w:rsid w:val="003D384A"/>
    <w:rsid w:val="003D7D7E"/>
    <w:rsid w:val="00417B30"/>
    <w:rsid w:val="00462F97"/>
    <w:rsid w:val="00511303"/>
    <w:rsid w:val="005919F4"/>
    <w:rsid w:val="00602592"/>
    <w:rsid w:val="006465FE"/>
    <w:rsid w:val="006529B1"/>
    <w:rsid w:val="006A3964"/>
    <w:rsid w:val="006D6A8D"/>
    <w:rsid w:val="0075418D"/>
    <w:rsid w:val="007B12BC"/>
    <w:rsid w:val="007C465F"/>
    <w:rsid w:val="0084376E"/>
    <w:rsid w:val="00864BFA"/>
    <w:rsid w:val="008D092B"/>
    <w:rsid w:val="0090197D"/>
    <w:rsid w:val="009055C0"/>
    <w:rsid w:val="009409A1"/>
    <w:rsid w:val="00945049"/>
    <w:rsid w:val="009612D7"/>
    <w:rsid w:val="00961804"/>
    <w:rsid w:val="00962FCA"/>
    <w:rsid w:val="009F135D"/>
    <w:rsid w:val="00A00CBB"/>
    <w:rsid w:val="00AB5E5D"/>
    <w:rsid w:val="00AD7485"/>
    <w:rsid w:val="00B33821"/>
    <w:rsid w:val="00B67378"/>
    <w:rsid w:val="00BA5423"/>
    <w:rsid w:val="00C2662F"/>
    <w:rsid w:val="00C560F9"/>
    <w:rsid w:val="00C920BF"/>
    <w:rsid w:val="00CA29AD"/>
    <w:rsid w:val="00CF2F3B"/>
    <w:rsid w:val="00D40EC2"/>
    <w:rsid w:val="00DE48CA"/>
    <w:rsid w:val="00E35E88"/>
    <w:rsid w:val="00EA4271"/>
    <w:rsid w:val="00ED1B40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15B67-651D-40AF-8634-DD689F7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Weymouth, Maria</cp:lastModifiedBy>
  <cp:revision>2</cp:revision>
  <dcterms:created xsi:type="dcterms:W3CDTF">2019-03-01T09:47:00Z</dcterms:created>
  <dcterms:modified xsi:type="dcterms:W3CDTF">2019-03-01T09:47:00Z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-368829037</vt:i4>
  </property>
  <property fmtid="{D5CDD505-2E9C-101B-9397-08002B2CF9AE}" pid="3" name="_NewReviewCycle">
    <vt:lpwstr/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  <property fmtid="{D5CDD505-2E9C-101B-9397-08002B2CF9AE}" pid="7" name="_ReviewingToolsShownOnce">
    <vt:lpwstr/>
  </property>
</Properties>
</file>