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bookmarkStart w:id="0" w:name="_GoBack"/>
      <w:bookmarkEnd w:id="0"/>
    </w:p>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9C50B2">
        <w:rPr>
          <w:rFonts w:ascii="Arial" w:hAnsi="Arial" w:cs="Arial"/>
          <w:b/>
        </w:rPr>
        <w:t xml:space="preserve"> school in September 2019</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Pr="00462F97" w:rsidRDefault="003D384A" w:rsidP="00AB5E5D">
            <w:pPr>
              <w:jc w:val="center"/>
              <w:rPr>
                <w:rFonts w:ascii="Arial" w:hAnsi="Arial" w:cs="Arial"/>
                <w:b/>
              </w:rPr>
            </w:pPr>
            <w:r>
              <w:rPr>
                <w:rFonts w:ascii="Arial" w:hAnsi="Arial" w:cs="Arial"/>
                <w:b/>
              </w:rPr>
              <w:t xml:space="preserve">Brixham </w:t>
            </w:r>
            <w:r w:rsidR="00AB5E5D">
              <w:rPr>
                <w:rFonts w:ascii="Arial" w:hAnsi="Arial" w:cs="Arial"/>
                <w:b/>
              </w:rPr>
              <w:t>College</w:t>
            </w:r>
          </w:p>
        </w:tc>
        <w:tc>
          <w:tcPr>
            <w:tcW w:w="3203" w:type="dxa"/>
          </w:tcPr>
          <w:p w:rsidR="00462F97" w:rsidRDefault="00ED1B40" w:rsidP="00462F97">
            <w:pPr>
              <w:rPr>
                <w:rFonts w:ascii="Arial" w:hAnsi="Arial" w:cs="Arial"/>
              </w:rPr>
            </w:pPr>
            <w:r>
              <w:rPr>
                <w:rFonts w:ascii="Arial" w:hAnsi="Arial" w:cs="Arial"/>
              </w:rPr>
              <w:t xml:space="preserve">Admission number: </w:t>
            </w:r>
            <w:r w:rsidR="00AB5E5D">
              <w:rPr>
                <w:rFonts w:ascii="Arial" w:hAnsi="Arial" w:cs="Arial"/>
              </w:rPr>
              <w:t>210</w:t>
            </w:r>
            <w:r w:rsidR="00F57CA9">
              <w:rPr>
                <w:rFonts w:ascii="Arial" w:hAnsi="Arial" w:cs="Arial"/>
              </w:rPr>
              <w:t xml:space="preserve"> + 3 spaces in Autistic Unit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Total number of preferences for places</w:t>
            </w:r>
          </w:p>
        </w:tc>
        <w:tc>
          <w:tcPr>
            <w:tcW w:w="3203" w:type="dxa"/>
          </w:tcPr>
          <w:p w:rsidR="005F3121" w:rsidRDefault="00D948BE" w:rsidP="005F3121">
            <w:pPr>
              <w:jc w:val="center"/>
              <w:rPr>
                <w:rFonts w:ascii="Arial" w:hAnsi="Arial" w:cs="Arial"/>
              </w:rPr>
            </w:pPr>
            <w:r>
              <w:rPr>
                <w:rFonts w:ascii="Arial" w:hAnsi="Arial" w:cs="Arial"/>
              </w:rPr>
              <w:t>335</w:t>
            </w:r>
          </w:p>
        </w:tc>
      </w:tr>
      <w:tr w:rsidR="005F3121" w:rsidTr="00462F97">
        <w:tc>
          <w:tcPr>
            <w:tcW w:w="7479" w:type="dxa"/>
          </w:tcPr>
          <w:p w:rsidR="005F3121" w:rsidRDefault="005F3121" w:rsidP="006D6A8D">
            <w:pPr>
              <w:spacing w:after="120"/>
              <w:rPr>
                <w:rFonts w:ascii="Arial" w:hAnsi="Arial" w:cs="Arial"/>
              </w:rPr>
            </w:pPr>
            <w:r>
              <w:rPr>
                <w:rFonts w:ascii="Arial" w:hAnsi="Arial" w:cs="Arial"/>
              </w:rPr>
              <w:t>First preferences considered</w:t>
            </w:r>
          </w:p>
        </w:tc>
        <w:tc>
          <w:tcPr>
            <w:tcW w:w="3203" w:type="dxa"/>
          </w:tcPr>
          <w:p w:rsidR="005F3121" w:rsidRDefault="00D948BE" w:rsidP="005F3121">
            <w:pPr>
              <w:jc w:val="center"/>
              <w:rPr>
                <w:rFonts w:ascii="Arial" w:hAnsi="Arial" w:cs="Arial"/>
              </w:rPr>
            </w:pPr>
            <w:r>
              <w:rPr>
                <w:rFonts w:ascii="Arial" w:hAnsi="Arial" w:cs="Arial"/>
              </w:rPr>
              <w:t>174</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First preferences offered (percentage offered)</w:t>
            </w:r>
          </w:p>
        </w:tc>
        <w:tc>
          <w:tcPr>
            <w:tcW w:w="3203" w:type="dxa"/>
          </w:tcPr>
          <w:p w:rsidR="005F3121" w:rsidRDefault="00D948BE" w:rsidP="005F3121">
            <w:pPr>
              <w:jc w:val="center"/>
              <w:rPr>
                <w:rFonts w:ascii="Arial" w:hAnsi="Arial" w:cs="Arial"/>
              </w:rPr>
            </w:pPr>
            <w:r>
              <w:rPr>
                <w:rFonts w:ascii="Arial" w:hAnsi="Arial" w:cs="Arial"/>
              </w:rPr>
              <w:t>173</w:t>
            </w:r>
            <w:r w:rsidR="006A2BF0">
              <w:rPr>
                <w:rFonts w:ascii="Arial" w:hAnsi="Arial" w:cs="Arial"/>
              </w:rPr>
              <w:t xml:space="preserve"> (99%)</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considered</w:t>
            </w:r>
          </w:p>
        </w:tc>
        <w:tc>
          <w:tcPr>
            <w:tcW w:w="3203" w:type="dxa"/>
          </w:tcPr>
          <w:p w:rsidR="005F3121" w:rsidRDefault="00D948BE" w:rsidP="00234E21">
            <w:pPr>
              <w:jc w:val="center"/>
              <w:rPr>
                <w:rFonts w:ascii="Arial" w:hAnsi="Arial" w:cs="Arial"/>
              </w:rPr>
            </w:pPr>
            <w:r>
              <w:rPr>
                <w:rFonts w:ascii="Arial" w:hAnsi="Arial" w:cs="Arial"/>
              </w:rPr>
              <w:t>94</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offered (percentage offered)</w:t>
            </w:r>
          </w:p>
        </w:tc>
        <w:tc>
          <w:tcPr>
            <w:tcW w:w="3203" w:type="dxa"/>
          </w:tcPr>
          <w:p w:rsidR="005F3121" w:rsidRDefault="00D948BE" w:rsidP="005F3121">
            <w:pPr>
              <w:jc w:val="center"/>
              <w:rPr>
                <w:rFonts w:ascii="Arial" w:hAnsi="Arial" w:cs="Arial"/>
              </w:rPr>
            </w:pPr>
            <w:r>
              <w:rPr>
                <w:rFonts w:ascii="Arial" w:hAnsi="Arial" w:cs="Arial"/>
              </w:rPr>
              <w:t>23</w:t>
            </w:r>
            <w:r w:rsidR="006A2BF0">
              <w:rPr>
                <w:rFonts w:ascii="Arial" w:hAnsi="Arial" w:cs="Arial"/>
              </w:rPr>
              <w:t xml:space="preserve"> (24%)</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 xml:space="preserve">Third preferences considered </w:t>
            </w:r>
          </w:p>
        </w:tc>
        <w:tc>
          <w:tcPr>
            <w:tcW w:w="3203" w:type="dxa"/>
          </w:tcPr>
          <w:p w:rsidR="005F3121" w:rsidRDefault="00D948BE" w:rsidP="005F3121">
            <w:pPr>
              <w:jc w:val="center"/>
              <w:rPr>
                <w:rFonts w:ascii="Arial" w:hAnsi="Arial" w:cs="Arial"/>
              </w:rPr>
            </w:pPr>
            <w:r>
              <w:rPr>
                <w:rFonts w:ascii="Arial" w:hAnsi="Arial" w:cs="Arial"/>
              </w:rPr>
              <w:t>67</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Third preferences offered (percentage offered)</w:t>
            </w:r>
          </w:p>
        </w:tc>
        <w:tc>
          <w:tcPr>
            <w:tcW w:w="3203" w:type="dxa"/>
          </w:tcPr>
          <w:p w:rsidR="005F3121" w:rsidRDefault="00D948BE" w:rsidP="005F3121">
            <w:pPr>
              <w:jc w:val="center"/>
              <w:rPr>
                <w:rFonts w:ascii="Arial" w:hAnsi="Arial" w:cs="Arial"/>
              </w:rPr>
            </w:pPr>
            <w:r>
              <w:rPr>
                <w:rFonts w:ascii="Arial" w:hAnsi="Arial" w:cs="Arial"/>
              </w:rPr>
              <w:t>4</w:t>
            </w:r>
            <w:r w:rsidR="006A2BF0">
              <w:rPr>
                <w:rFonts w:ascii="Arial" w:hAnsi="Arial" w:cs="Arial"/>
              </w:rPr>
              <w:t xml:space="preserve"> (6%)</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13"/>
        <w:gridCol w:w="3143"/>
      </w:tblGrid>
      <w:tr w:rsidR="00462F97" w:rsidTr="00F57CA9">
        <w:tc>
          <w:tcPr>
            <w:tcW w:w="7313" w:type="dxa"/>
          </w:tcPr>
          <w:p w:rsidR="00462F97" w:rsidRPr="00462F97" w:rsidRDefault="00462F97" w:rsidP="00462F97">
            <w:pPr>
              <w:jc w:val="center"/>
              <w:rPr>
                <w:rFonts w:ascii="Arial" w:hAnsi="Arial" w:cs="Arial"/>
                <w:b/>
              </w:rPr>
            </w:pPr>
            <w:r>
              <w:rPr>
                <w:rFonts w:ascii="Arial" w:hAnsi="Arial" w:cs="Arial"/>
                <w:b/>
              </w:rPr>
              <w:t>Criterion</w:t>
            </w:r>
          </w:p>
        </w:tc>
        <w:tc>
          <w:tcPr>
            <w:tcW w:w="3143" w:type="dxa"/>
          </w:tcPr>
          <w:p w:rsidR="00462F97" w:rsidRPr="00462F97" w:rsidRDefault="00462F97" w:rsidP="005F3121">
            <w:pPr>
              <w:jc w:val="center"/>
              <w:rPr>
                <w:rFonts w:ascii="Arial" w:hAnsi="Arial" w:cs="Arial"/>
                <w:b/>
              </w:rPr>
            </w:pPr>
            <w:r w:rsidRPr="00462F97">
              <w:rPr>
                <w:rFonts w:ascii="Arial" w:hAnsi="Arial" w:cs="Arial"/>
                <w:b/>
              </w:rPr>
              <w:t>Number of places offered</w:t>
            </w:r>
          </w:p>
        </w:tc>
      </w:tr>
      <w:tr w:rsidR="00BA5423" w:rsidTr="00F57CA9">
        <w:tc>
          <w:tcPr>
            <w:tcW w:w="7313" w:type="dxa"/>
          </w:tcPr>
          <w:p w:rsidR="00BA5423" w:rsidRPr="00C94FB8" w:rsidRDefault="00BA5423" w:rsidP="00E35E88">
            <w:pPr>
              <w:spacing w:after="120"/>
              <w:rPr>
                <w:rFonts w:ascii="Arial" w:hAnsi="Arial" w:cs="Arial"/>
              </w:rPr>
            </w:pPr>
            <w:r>
              <w:rPr>
                <w:rFonts w:ascii="Arial" w:hAnsi="Arial" w:cs="Arial"/>
              </w:rPr>
              <w:t>Children with a Statement of Special Educational Needs or an Education, Health and Care Plan that names the school.</w:t>
            </w:r>
          </w:p>
        </w:tc>
        <w:tc>
          <w:tcPr>
            <w:tcW w:w="3143" w:type="dxa"/>
          </w:tcPr>
          <w:p w:rsidR="00BA5423" w:rsidRDefault="00BA5423" w:rsidP="005F3121">
            <w:pPr>
              <w:jc w:val="center"/>
              <w:rPr>
                <w:rFonts w:ascii="Arial" w:hAnsi="Arial" w:cs="Arial"/>
              </w:rPr>
            </w:pPr>
          </w:p>
          <w:p w:rsidR="00B7555A" w:rsidRDefault="00151FB5" w:rsidP="005F3121">
            <w:pPr>
              <w:jc w:val="center"/>
              <w:rPr>
                <w:rFonts w:ascii="Arial" w:hAnsi="Arial" w:cs="Arial"/>
              </w:rPr>
            </w:pPr>
            <w:r>
              <w:rPr>
                <w:rFonts w:ascii="Arial" w:hAnsi="Arial" w:cs="Arial"/>
              </w:rPr>
              <w:t>7</w:t>
            </w:r>
          </w:p>
        </w:tc>
      </w:tr>
      <w:tr w:rsidR="00462F97" w:rsidTr="00F57CA9">
        <w:tc>
          <w:tcPr>
            <w:tcW w:w="7313" w:type="dxa"/>
          </w:tcPr>
          <w:p w:rsidR="00AB5E5D" w:rsidRPr="00F95AF8" w:rsidRDefault="00AB5E5D" w:rsidP="00E35E88">
            <w:pPr>
              <w:rPr>
                <w:rFonts w:ascii="Arial" w:eastAsia="Times New Roman" w:hAnsi="Arial" w:cs="Arial"/>
              </w:rPr>
            </w:pPr>
            <w:r>
              <w:rPr>
                <w:rFonts w:ascii="Arial" w:hAnsi="Arial" w:cs="Arial"/>
              </w:rPr>
              <w:t xml:space="preserve">A looked after child, or </w:t>
            </w:r>
            <w:r w:rsidRPr="00F95AF8">
              <w:rPr>
                <w:rFonts w:ascii="Arial" w:eastAsia="Times New Roman" w:hAnsi="Arial" w:cs="Arial"/>
              </w:rPr>
              <w:t>a child who was previously looked after but immediately after being looked after became sub</w:t>
            </w:r>
            <w:r w:rsidR="00994AA2">
              <w:rPr>
                <w:rFonts w:ascii="Arial" w:eastAsia="Times New Roman" w:hAnsi="Arial" w:cs="Arial"/>
              </w:rPr>
              <w:t>ject of an adoption, child arrangements</w:t>
            </w:r>
            <w:r w:rsidRPr="00F95AF8">
              <w:rPr>
                <w:rFonts w:ascii="Arial" w:eastAsia="Times New Roman" w:hAnsi="Arial" w:cs="Arial"/>
              </w:rPr>
              <w:t xml:space="preserve"> or special guardianship order.  </w:t>
            </w:r>
          </w:p>
          <w:p w:rsidR="00462F97" w:rsidRPr="003D384A" w:rsidRDefault="003D384A" w:rsidP="00E35E88">
            <w:pPr>
              <w:spacing w:after="120"/>
              <w:rPr>
                <w:rFonts w:ascii="Arial" w:hAnsi="Arial" w:cs="Arial"/>
              </w:rPr>
            </w:pPr>
            <w:r w:rsidRPr="00C94FB8">
              <w:rPr>
                <w:rFonts w:ascii="Arial" w:hAnsi="Arial" w:cs="Arial"/>
              </w:rPr>
              <w:t xml:space="preserve">  </w:t>
            </w:r>
          </w:p>
        </w:tc>
        <w:tc>
          <w:tcPr>
            <w:tcW w:w="3143" w:type="dxa"/>
          </w:tcPr>
          <w:p w:rsidR="00462F97" w:rsidRDefault="00462F97" w:rsidP="00B7555A">
            <w:pPr>
              <w:jc w:val="center"/>
              <w:rPr>
                <w:rFonts w:ascii="Arial" w:hAnsi="Arial" w:cs="Arial"/>
              </w:rPr>
            </w:pPr>
          </w:p>
          <w:p w:rsidR="00B7555A" w:rsidRDefault="00B7555A"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5</w:t>
            </w: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003D384A" w:rsidRPr="00C94FB8">
              <w:rPr>
                <w:rFonts w:ascii="Arial" w:hAnsi="Arial" w:cs="Arial"/>
              </w:rPr>
              <w:t xml:space="preserve"> have a sibling </w:t>
            </w:r>
            <w:r>
              <w:rPr>
                <w:rFonts w:ascii="Arial" w:hAnsi="Arial" w:cs="Arial"/>
              </w:rPr>
              <w:t xml:space="preserve">on roll </w:t>
            </w:r>
            <w:r w:rsidR="003D384A"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34</w:t>
            </w:r>
          </w:p>
        </w:tc>
      </w:tr>
      <w:tr w:rsidR="00462F97" w:rsidTr="00F57CA9">
        <w:tc>
          <w:tcPr>
            <w:tcW w:w="7313" w:type="dxa"/>
          </w:tcPr>
          <w:p w:rsidR="00462F97" w:rsidRPr="003D384A" w:rsidRDefault="00AB5E5D" w:rsidP="00E35E88">
            <w:pPr>
              <w:spacing w:after="120"/>
              <w:rPr>
                <w:rFonts w:ascii="Arial" w:hAnsi="Arial" w:cs="Arial"/>
              </w:rPr>
            </w:pPr>
            <w:r>
              <w:rPr>
                <w:rFonts w:ascii="Arial" w:eastAsia="Times New Roman" w:hAnsi="Arial" w:cs="Arial"/>
              </w:rPr>
              <w:t>Those who live inside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462F97" w:rsidRDefault="00462F97" w:rsidP="00B7555A">
            <w:pPr>
              <w:jc w:val="center"/>
              <w:rPr>
                <w:rFonts w:ascii="Arial" w:hAnsi="Arial" w:cs="Arial"/>
              </w:rPr>
            </w:pPr>
          </w:p>
          <w:p w:rsidR="00B7555A" w:rsidRDefault="00B7555A"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0</w:t>
            </w: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78</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32</w:t>
            </w:r>
          </w:p>
        </w:tc>
      </w:tr>
      <w:tr w:rsidR="00AB5E5D" w:rsidTr="00F57CA9">
        <w:tc>
          <w:tcPr>
            <w:tcW w:w="7313" w:type="dxa"/>
          </w:tcPr>
          <w:p w:rsidR="00AB5E5D" w:rsidRDefault="00E35E88" w:rsidP="00E35E88">
            <w:pPr>
              <w:spacing w:after="120"/>
              <w:rPr>
                <w:rFonts w:ascii="Arial" w:hAnsi="Arial" w:cs="Arial"/>
              </w:rPr>
            </w:pPr>
            <w:r>
              <w:rPr>
                <w:rFonts w:ascii="Arial" w:eastAsia="Times New Roman" w:hAnsi="Arial" w:cs="Arial"/>
              </w:rPr>
              <w:t>Those who live outside of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AB5E5D" w:rsidRDefault="00AB5E5D" w:rsidP="00B7555A">
            <w:pPr>
              <w:jc w:val="center"/>
              <w:rPr>
                <w:rFonts w:ascii="Arial" w:hAnsi="Arial" w:cs="Arial"/>
              </w:rPr>
            </w:pPr>
          </w:p>
          <w:p w:rsidR="00B7555A" w:rsidRDefault="00151FB5" w:rsidP="00B7555A">
            <w:pPr>
              <w:jc w:val="center"/>
              <w:rPr>
                <w:rFonts w:ascii="Arial" w:hAnsi="Arial" w:cs="Arial"/>
              </w:rPr>
            </w:pPr>
            <w:r>
              <w:rPr>
                <w:rFonts w:ascii="Arial" w:hAnsi="Arial" w:cs="Arial"/>
              </w:rPr>
              <w:t>1</w:t>
            </w:r>
          </w:p>
          <w:p w:rsidR="00B7555A" w:rsidRDefault="00B7555A" w:rsidP="00B7555A">
            <w:pPr>
              <w:jc w:val="center"/>
              <w:rPr>
                <w:rFonts w:ascii="Arial" w:hAnsi="Arial" w:cs="Arial"/>
              </w:rPr>
            </w:pP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151FB5" w:rsidP="00B7555A">
            <w:pPr>
              <w:jc w:val="center"/>
              <w:rPr>
                <w:rFonts w:ascii="Arial" w:hAnsi="Arial" w:cs="Arial"/>
              </w:rPr>
            </w:pPr>
            <w:r>
              <w:rPr>
                <w:rFonts w:ascii="Arial" w:hAnsi="Arial" w:cs="Arial"/>
              </w:rPr>
              <w:t>43</w:t>
            </w:r>
          </w:p>
          <w:p w:rsidR="00B7555A" w:rsidRDefault="00B7555A" w:rsidP="00B7555A">
            <w:pPr>
              <w:jc w:val="center"/>
              <w:rPr>
                <w:rFonts w:ascii="Arial" w:hAnsi="Arial" w:cs="Arial"/>
              </w:rPr>
            </w:pPr>
          </w:p>
        </w:tc>
      </w:tr>
      <w:tr w:rsidR="00190ECF" w:rsidTr="00F57CA9">
        <w:tc>
          <w:tcPr>
            <w:tcW w:w="7313" w:type="dxa"/>
          </w:tcPr>
          <w:p w:rsidR="00190ECF" w:rsidRDefault="00190ECF" w:rsidP="00E35E88">
            <w:pPr>
              <w:spacing w:after="120"/>
              <w:rPr>
                <w:rFonts w:ascii="Arial" w:hAnsi="Arial" w:cs="Arial"/>
              </w:rPr>
            </w:pPr>
            <w:r>
              <w:rPr>
                <w:rFonts w:ascii="Arial" w:hAnsi="Arial" w:cs="Arial"/>
              </w:rPr>
              <w:t>Those allocated because the school is the closest suitable school to the home address with a space available.</w:t>
            </w:r>
          </w:p>
        </w:tc>
        <w:tc>
          <w:tcPr>
            <w:tcW w:w="3143" w:type="dxa"/>
          </w:tcPr>
          <w:p w:rsidR="00190ECF" w:rsidRDefault="00EA55FA" w:rsidP="00B7555A">
            <w:pPr>
              <w:jc w:val="center"/>
              <w:rPr>
                <w:rFonts w:ascii="Arial" w:hAnsi="Arial" w:cs="Arial"/>
              </w:rPr>
            </w:pPr>
            <w:r>
              <w:rPr>
                <w:rFonts w:ascii="Arial" w:hAnsi="Arial" w:cs="Arial"/>
              </w:rPr>
              <w:t>0</w:t>
            </w:r>
          </w:p>
        </w:tc>
      </w:tr>
      <w:tr w:rsidR="00462F97" w:rsidTr="00F57CA9">
        <w:tc>
          <w:tcPr>
            <w:tcW w:w="7313" w:type="dxa"/>
          </w:tcPr>
          <w:p w:rsidR="00462F97" w:rsidRPr="00462F97" w:rsidRDefault="00462F97" w:rsidP="00BA5423">
            <w:pPr>
              <w:spacing w:after="120"/>
              <w:rPr>
                <w:rFonts w:ascii="Arial" w:hAnsi="Arial" w:cs="Arial"/>
                <w:b/>
              </w:rPr>
            </w:pPr>
            <w:r>
              <w:rPr>
                <w:rFonts w:ascii="Arial" w:hAnsi="Arial" w:cs="Arial"/>
                <w:b/>
              </w:rPr>
              <w:t>TOTAL</w:t>
            </w:r>
          </w:p>
        </w:tc>
        <w:tc>
          <w:tcPr>
            <w:tcW w:w="3143" w:type="dxa"/>
          </w:tcPr>
          <w:p w:rsidR="00462F97" w:rsidRPr="005F3121" w:rsidRDefault="00151FB5" w:rsidP="00B7555A">
            <w:pPr>
              <w:jc w:val="center"/>
              <w:rPr>
                <w:rFonts w:ascii="Arial" w:hAnsi="Arial" w:cs="Arial"/>
                <w:b/>
              </w:rPr>
            </w:pPr>
            <w:r>
              <w:rPr>
                <w:rFonts w:ascii="Arial" w:hAnsi="Arial" w:cs="Arial"/>
                <w:b/>
              </w:rPr>
              <w:t>200</w:t>
            </w:r>
          </w:p>
        </w:tc>
      </w:tr>
    </w:tbl>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10"/>
        <w:gridCol w:w="3146"/>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151FB5" w:rsidP="00BA5423">
            <w:pPr>
              <w:spacing w:after="120"/>
              <w:rPr>
                <w:rFonts w:ascii="Arial" w:hAnsi="Arial" w:cs="Arial"/>
                <w:b/>
              </w:rPr>
            </w:pPr>
            <w:r>
              <w:rPr>
                <w:rFonts w:ascii="Arial" w:hAnsi="Arial" w:cs="Arial"/>
              </w:rPr>
              <w:lastRenderedPageBreak/>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203" w:type="dxa"/>
          </w:tcPr>
          <w:p w:rsidR="00462F97" w:rsidRPr="005F3121" w:rsidRDefault="00151FB5" w:rsidP="005F3121">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Pr="005B49D0" w:rsidRDefault="00EA55FA" w:rsidP="00B7555A">
            <w:pPr>
              <w:jc w:val="center"/>
              <w:rPr>
                <w:rFonts w:ascii="Arial" w:hAnsi="Arial" w:cs="Arial"/>
                <w:b/>
              </w:rPr>
            </w:pPr>
            <w:r>
              <w:rPr>
                <w:rFonts w:ascii="Arial" w:hAnsi="Arial" w:cs="Arial"/>
                <w:b/>
              </w:rPr>
              <w:t>13</w:t>
            </w:r>
          </w:p>
        </w:tc>
      </w:tr>
    </w:tbl>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4"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151FB5"/>
    <w:rsid w:val="0018047F"/>
    <w:rsid w:val="00190ECF"/>
    <w:rsid w:val="001A04EF"/>
    <w:rsid w:val="00234E21"/>
    <w:rsid w:val="003222B9"/>
    <w:rsid w:val="00397001"/>
    <w:rsid w:val="003C773A"/>
    <w:rsid w:val="003D384A"/>
    <w:rsid w:val="003E1F23"/>
    <w:rsid w:val="00404F71"/>
    <w:rsid w:val="00462F97"/>
    <w:rsid w:val="00511303"/>
    <w:rsid w:val="005919F4"/>
    <w:rsid w:val="005A3EC0"/>
    <w:rsid w:val="005B49D0"/>
    <w:rsid w:val="005F3121"/>
    <w:rsid w:val="006A2BF0"/>
    <w:rsid w:val="006D6A8D"/>
    <w:rsid w:val="006E6161"/>
    <w:rsid w:val="007A32F0"/>
    <w:rsid w:val="007B12BC"/>
    <w:rsid w:val="0084376E"/>
    <w:rsid w:val="00843B79"/>
    <w:rsid w:val="008D092B"/>
    <w:rsid w:val="009409A1"/>
    <w:rsid w:val="00961804"/>
    <w:rsid w:val="00962FCA"/>
    <w:rsid w:val="00994AA2"/>
    <w:rsid w:val="009C50B2"/>
    <w:rsid w:val="00A00CBB"/>
    <w:rsid w:val="00AB5E5D"/>
    <w:rsid w:val="00B37D5F"/>
    <w:rsid w:val="00B622E6"/>
    <w:rsid w:val="00B7555A"/>
    <w:rsid w:val="00B80899"/>
    <w:rsid w:val="00BA0EA3"/>
    <w:rsid w:val="00BA5423"/>
    <w:rsid w:val="00C560F9"/>
    <w:rsid w:val="00C920BF"/>
    <w:rsid w:val="00CB7652"/>
    <w:rsid w:val="00CC740A"/>
    <w:rsid w:val="00CD1C22"/>
    <w:rsid w:val="00D46674"/>
    <w:rsid w:val="00D948BE"/>
    <w:rsid w:val="00E35E88"/>
    <w:rsid w:val="00E662D9"/>
    <w:rsid w:val="00EA55FA"/>
    <w:rsid w:val="00ED1B40"/>
    <w:rsid w:val="00F5222A"/>
    <w:rsid w:val="00F57CA9"/>
    <w:rsid w:val="00FC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1951-FEB2-40E3-AC05-FBCC41A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Weymouth, Maria</cp:lastModifiedBy>
  <cp:revision>2</cp:revision>
  <dcterms:created xsi:type="dcterms:W3CDTF">2019-03-01T09:42:00Z</dcterms:created>
  <dcterms:modified xsi:type="dcterms:W3CDTF">2019-03-01T09:42:00Z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-616843363</vt:i4>
  </property>
  <property fmtid="{D5CDD505-2E9C-101B-9397-08002B2CF9AE}" pid="4" name="_EmailSubject">
    <vt:lpwstr>Webpage updates</vt:lpwstr>
  </property>
  <property fmtid="{D5CDD505-2E9C-101B-9397-08002B2CF9AE}" pid="5" name="_AuthorEmail">
    <vt:lpwstr>Elizabeth.Smale@torbay.gov.uk</vt:lpwstr>
  </property>
  <property fmtid="{D5CDD505-2E9C-101B-9397-08002B2CF9AE}" pid="6" name="_AuthorEmailDisplayName">
    <vt:lpwstr>Smale, Elizabeth</vt:lpwstr>
  </property>
  <property fmtid="{D5CDD505-2E9C-101B-9397-08002B2CF9AE}" pid="7" name="_ReviewingToolsShownOnce">
    <vt:lpwstr/>
  </property>
</Properties>
</file>