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77" w:rsidRPr="00C56277" w:rsidRDefault="00C56277">
      <w:pPr>
        <w:rPr>
          <w:b/>
        </w:rPr>
      </w:pPr>
      <w:r w:rsidRPr="00C56277">
        <w:rPr>
          <w:b/>
        </w:rPr>
        <w:t>T</w:t>
      </w:r>
      <w:bookmarkStart w:id="0" w:name="_GoBack"/>
      <w:bookmarkEnd w:id="0"/>
      <w:r w:rsidRPr="00C56277">
        <w:rPr>
          <w:b/>
        </w:rPr>
        <w:t xml:space="preserve">orbay’s Population Growth over the </w:t>
      </w:r>
      <w:r w:rsidR="001269CA">
        <w:rPr>
          <w:b/>
        </w:rPr>
        <w:t>n</w:t>
      </w:r>
      <w:r w:rsidRPr="00C56277">
        <w:rPr>
          <w:b/>
        </w:rPr>
        <w:t xml:space="preserve">ext 5-10 years. </w:t>
      </w:r>
    </w:p>
    <w:tbl>
      <w:tblPr>
        <w:tblStyle w:val="TableGrid"/>
        <w:tblW w:w="14395" w:type="dxa"/>
        <w:tblLayout w:type="fixed"/>
        <w:tblLook w:val="04A0" w:firstRow="1" w:lastRow="0" w:firstColumn="1" w:lastColumn="0" w:noHBand="0" w:noVBand="1"/>
      </w:tblPr>
      <w:tblGrid>
        <w:gridCol w:w="2965"/>
        <w:gridCol w:w="1620"/>
        <w:gridCol w:w="1800"/>
        <w:gridCol w:w="1440"/>
        <w:gridCol w:w="6570"/>
      </w:tblGrid>
      <w:tr w:rsidR="008A72E5" w:rsidRPr="00AA134A" w:rsidTr="001971DA">
        <w:trPr>
          <w:trHeight w:val="281"/>
          <w:tblHeader/>
        </w:trPr>
        <w:tc>
          <w:tcPr>
            <w:tcW w:w="14395" w:type="dxa"/>
            <w:gridSpan w:val="5"/>
            <w:shd w:val="clear" w:color="auto" w:fill="F2F2F2" w:themeFill="background1" w:themeFillShade="F2"/>
          </w:tcPr>
          <w:p w:rsidR="008A72E5" w:rsidRPr="00AA134A" w:rsidRDefault="008A72E5" w:rsidP="00856D0D">
            <w:r>
              <w:br w:type="page"/>
            </w:r>
            <w:r>
              <w:rPr>
                <w:b/>
                <w:bCs/>
              </w:rPr>
              <w:t xml:space="preserve">Number of New Dwellings and population expected in Torbay over the next five years. </w:t>
            </w:r>
          </w:p>
        </w:tc>
      </w:tr>
      <w:tr w:rsidR="008A72E5" w:rsidRPr="00AA134A" w:rsidTr="008A72E5">
        <w:trPr>
          <w:trHeight w:val="728"/>
          <w:tblHeader/>
        </w:trPr>
        <w:tc>
          <w:tcPr>
            <w:tcW w:w="2965" w:type="dxa"/>
            <w:shd w:val="clear" w:color="auto" w:fill="F2F2F2" w:themeFill="background1" w:themeFillShade="F2"/>
          </w:tcPr>
          <w:p w:rsidR="008A72E5" w:rsidRDefault="008A72E5" w:rsidP="008A72E5">
            <w:pPr>
              <w:tabs>
                <w:tab w:val="left" w:pos="12067"/>
                <w:tab w:val="left" w:pos="12847"/>
              </w:tabs>
              <w:rPr>
                <w:b/>
                <w:bCs/>
              </w:rPr>
            </w:pPr>
            <w:r>
              <w:rPr>
                <w:b/>
                <w:bCs/>
              </w:rPr>
              <w:t>Ward</w:t>
            </w:r>
          </w:p>
        </w:tc>
        <w:tc>
          <w:tcPr>
            <w:tcW w:w="1620" w:type="dxa"/>
            <w:shd w:val="clear" w:color="auto" w:fill="F2F2F2" w:themeFill="background1" w:themeFillShade="F2"/>
            <w:hideMark/>
          </w:tcPr>
          <w:p w:rsidR="008A72E5" w:rsidRDefault="008A72E5">
            <w:pPr>
              <w:rPr>
                <w:b/>
                <w:bCs/>
              </w:rPr>
            </w:pPr>
            <w:r>
              <w:rPr>
                <w:b/>
                <w:bCs/>
              </w:rPr>
              <w:t xml:space="preserve">Number of registered electors as at </w:t>
            </w:r>
          </w:p>
          <w:p w:rsidR="008A72E5" w:rsidRPr="00AA134A" w:rsidRDefault="008A72E5">
            <w:pPr>
              <w:rPr>
                <w:b/>
                <w:bCs/>
              </w:rPr>
            </w:pPr>
            <w:r>
              <w:rPr>
                <w:b/>
                <w:bCs/>
              </w:rPr>
              <w:t>1 February 2019</w:t>
            </w:r>
          </w:p>
        </w:tc>
        <w:tc>
          <w:tcPr>
            <w:tcW w:w="1800" w:type="dxa"/>
            <w:shd w:val="clear" w:color="auto" w:fill="F2F2F2" w:themeFill="background1" w:themeFillShade="F2"/>
            <w:hideMark/>
          </w:tcPr>
          <w:p w:rsidR="008A72E5" w:rsidRPr="00AA134A" w:rsidRDefault="008A72E5" w:rsidP="00751D05">
            <w:pPr>
              <w:rPr>
                <w:b/>
                <w:bCs/>
              </w:rPr>
            </w:pPr>
            <w:r>
              <w:rPr>
                <w:b/>
                <w:bCs/>
              </w:rPr>
              <w:t>Number of new homes likely to be built by 2024/5 (5yrs)</w:t>
            </w:r>
          </w:p>
        </w:tc>
        <w:tc>
          <w:tcPr>
            <w:tcW w:w="1440" w:type="dxa"/>
            <w:shd w:val="clear" w:color="auto" w:fill="F2F2F2" w:themeFill="background1" w:themeFillShade="F2"/>
          </w:tcPr>
          <w:p w:rsidR="008A72E5" w:rsidRPr="00AA134A" w:rsidRDefault="008A72E5" w:rsidP="00AA134A">
            <w:pPr>
              <w:rPr>
                <w:b/>
                <w:bCs/>
              </w:rPr>
            </w:pPr>
            <w:r>
              <w:rPr>
                <w:b/>
                <w:bCs/>
              </w:rPr>
              <w:t xml:space="preserve">Hypothetical number of People* </w:t>
            </w:r>
          </w:p>
        </w:tc>
        <w:tc>
          <w:tcPr>
            <w:tcW w:w="6570" w:type="dxa"/>
            <w:shd w:val="clear" w:color="auto" w:fill="F2F2F2" w:themeFill="background1" w:themeFillShade="F2"/>
            <w:hideMark/>
          </w:tcPr>
          <w:p w:rsidR="008A72E5" w:rsidRPr="00AA134A" w:rsidRDefault="008A72E5" w:rsidP="00AA134A">
            <w:pPr>
              <w:rPr>
                <w:b/>
                <w:bCs/>
              </w:rPr>
            </w:pPr>
            <w:r w:rsidRPr="00AA134A">
              <w:rPr>
                <w:b/>
                <w:bCs/>
              </w:rPr>
              <w:t> </w:t>
            </w:r>
            <w:r>
              <w:rPr>
                <w:b/>
                <w:bCs/>
              </w:rPr>
              <w:t xml:space="preserve">Notes </w:t>
            </w:r>
          </w:p>
        </w:tc>
      </w:tr>
      <w:tr w:rsidR="008A72E5" w:rsidRPr="00AA134A" w:rsidTr="00100E6E">
        <w:trPr>
          <w:trHeight w:val="440"/>
        </w:trPr>
        <w:tc>
          <w:tcPr>
            <w:tcW w:w="14395" w:type="dxa"/>
            <w:gridSpan w:val="5"/>
            <w:shd w:val="clear" w:color="auto" w:fill="BFBFBF" w:themeFill="background1" w:themeFillShade="BF"/>
          </w:tcPr>
          <w:p w:rsidR="008A72E5" w:rsidRPr="00AA134A" w:rsidRDefault="008A72E5" w:rsidP="008A72E5">
            <w:pPr>
              <w:rPr>
                <w:b/>
                <w:bCs/>
              </w:rPr>
            </w:pPr>
            <w:r w:rsidRPr="00AA134A">
              <w:rPr>
                <w:b/>
                <w:bCs/>
              </w:rPr>
              <w:t>TORQUAY</w:t>
            </w:r>
          </w:p>
        </w:tc>
      </w:tr>
      <w:tr w:rsidR="008A72E5" w:rsidRPr="00AA134A" w:rsidTr="008A72E5">
        <w:trPr>
          <w:trHeight w:val="402"/>
        </w:trPr>
        <w:tc>
          <w:tcPr>
            <w:tcW w:w="2965" w:type="dxa"/>
          </w:tcPr>
          <w:p w:rsidR="008A72E5" w:rsidRDefault="008A72E5" w:rsidP="008A72E5">
            <w:pPr>
              <w:rPr>
                <w:b/>
                <w:bCs/>
              </w:rPr>
            </w:pPr>
            <w:r>
              <w:rPr>
                <w:b/>
                <w:bCs/>
              </w:rPr>
              <w:t xml:space="preserve">Barton with Watcombe </w:t>
            </w:r>
          </w:p>
        </w:tc>
        <w:tc>
          <w:tcPr>
            <w:tcW w:w="1620" w:type="dxa"/>
          </w:tcPr>
          <w:p w:rsidR="008A72E5" w:rsidRPr="00803484" w:rsidRDefault="00803484" w:rsidP="008A72E5">
            <w:pPr>
              <w:rPr>
                <w:bCs/>
              </w:rPr>
            </w:pPr>
            <w:r w:rsidRPr="00803484">
              <w:rPr>
                <w:bCs/>
              </w:rPr>
              <w:t>8,426</w:t>
            </w:r>
          </w:p>
        </w:tc>
        <w:tc>
          <w:tcPr>
            <w:tcW w:w="1800" w:type="dxa"/>
          </w:tcPr>
          <w:p w:rsidR="008A72E5" w:rsidRPr="00235AA7" w:rsidRDefault="008A72E5" w:rsidP="008A72E5">
            <w:pPr>
              <w:rPr>
                <w:bCs/>
              </w:rPr>
            </w:pPr>
            <w:r>
              <w:rPr>
                <w:bCs/>
              </w:rPr>
              <w:t>150</w:t>
            </w:r>
          </w:p>
        </w:tc>
        <w:tc>
          <w:tcPr>
            <w:tcW w:w="1440" w:type="dxa"/>
          </w:tcPr>
          <w:p w:rsidR="008A72E5" w:rsidRPr="00A16429" w:rsidRDefault="008A72E5" w:rsidP="008A72E5">
            <w:pPr>
              <w:rPr>
                <w:bCs/>
              </w:rPr>
            </w:pPr>
            <w:r w:rsidRPr="00A16429">
              <w:rPr>
                <w:bCs/>
              </w:rPr>
              <w:t>320</w:t>
            </w:r>
          </w:p>
        </w:tc>
        <w:tc>
          <w:tcPr>
            <w:tcW w:w="6570" w:type="dxa"/>
          </w:tcPr>
          <w:p w:rsidR="008A72E5" w:rsidRPr="00235AA7" w:rsidRDefault="008A72E5" w:rsidP="008A72E5">
            <w:pPr>
              <w:rPr>
                <w:bCs/>
              </w:rPr>
            </w:pPr>
            <w:r w:rsidRPr="00235AA7">
              <w:rPr>
                <w:bCs/>
              </w:rPr>
              <w:t>This contains “Barton New Town”/Scotts Bridge Barton/ The Willows</w:t>
            </w:r>
            <w:r>
              <w:rPr>
                <w:bCs/>
              </w:rPr>
              <w:t xml:space="preserve">. The area is largely built out.  However Scotts Meadow currently being built and possible further development of Hatchcombe Lane in next 5 years.  There is likely to be limited further growth post-2024 as part of Torquay Gateway. </w:t>
            </w:r>
          </w:p>
        </w:tc>
      </w:tr>
      <w:tr w:rsidR="008A72E5" w:rsidRPr="00AA134A" w:rsidTr="008A72E5">
        <w:trPr>
          <w:trHeight w:val="402"/>
        </w:trPr>
        <w:tc>
          <w:tcPr>
            <w:tcW w:w="2965" w:type="dxa"/>
          </w:tcPr>
          <w:p w:rsidR="008A72E5" w:rsidRPr="00AA134A" w:rsidRDefault="008A72E5" w:rsidP="008A72E5">
            <w:pPr>
              <w:rPr>
                <w:b/>
                <w:bCs/>
              </w:rPr>
            </w:pPr>
            <w:r>
              <w:rPr>
                <w:b/>
                <w:bCs/>
              </w:rPr>
              <w:t xml:space="preserve">Cockington with Chelston </w:t>
            </w:r>
          </w:p>
        </w:tc>
        <w:tc>
          <w:tcPr>
            <w:tcW w:w="1620" w:type="dxa"/>
          </w:tcPr>
          <w:p w:rsidR="008A72E5" w:rsidRPr="00803484" w:rsidRDefault="00803484" w:rsidP="008A72E5">
            <w:pPr>
              <w:rPr>
                <w:bCs/>
              </w:rPr>
            </w:pPr>
            <w:r w:rsidRPr="00803484">
              <w:rPr>
                <w:bCs/>
              </w:rPr>
              <w:t>6,013</w:t>
            </w:r>
          </w:p>
        </w:tc>
        <w:tc>
          <w:tcPr>
            <w:tcW w:w="1800" w:type="dxa"/>
            <w:hideMark/>
          </w:tcPr>
          <w:p w:rsidR="008A72E5" w:rsidRPr="006D05B7" w:rsidRDefault="008A72E5" w:rsidP="008A72E5">
            <w:pPr>
              <w:rPr>
                <w:bCs/>
              </w:rPr>
            </w:pPr>
            <w:r w:rsidRPr="006D05B7">
              <w:rPr>
                <w:bCs/>
              </w:rPr>
              <w:t> 1</w:t>
            </w:r>
            <w:r>
              <w:rPr>
                <w:bCs/>
              </w:rPr>
              <w:t>30</w:t>
            </w:r>
          </w:p>
        </w:tc>
        <w:tc>
          <w:tcPr>
            <w:tcW w:w="1440" w:type="dxa"/>
          </w:tcPr>
          <w:p w:rsidR="008A72E5" w:rsidRPr="00A16429" w:rsidRDefault="008A72E5" w:rsidP="008A72E5">
            <w:pPr>
              <w:rPr>
                <w:bCs/>
              </w:rPr>
            </w:pPr>
            <w:r w:rsidRPr="00A16429">
              <w:rPr>
                <w:bCs/>
              </w:rPr>
              <w:t>277</w:t>
            </w:r>
          </w:p>
        </w:tc>
        <w:tc>
          <w:tcPr>
            <w:tcW w:w="6570" w:type="dxa"/>
            <w:hideMark/>
          </w:tcPr>
          <w:p w:rsidR="008A72E5" w:rsidRPr="006D05B7" w:rsidRDefault="008A72E5" w:rsidP="008A72E5">
            <w:pPr>
              <w:rPr>
                <w:bCs/>
              </w:rPr>
            </w:pPr>
            <w:r w:rsidRPr="006D05B7">
              <w:rPr>
                <w:bCs/>
              </w:rPr>
              <w:t xml:space="preserve">The largest growth area is the former Hollicombe gas works. Site remediation has taken place. </w:t>
            </w:r>
            <w:r>
              <w:rPr>
                <w:bCs/>
              </w:rPr>
              <w:t xml:space="preserve">But growth will be lower if Hollicombe in not built in the next five years. </w:t>
            </w:r>
          </w:p>
        </w:tc>
      </w:tr>
      <w:tr w:rsidR="008A72E5" w:rsidRPr="00AA134A" w:rsidTr="008A72E5">
        <w:trPr>
          <w:trHeight w:val="465"/>
        </w:trPr>
        <w:tc>
          <w:tcPr>
            <w:tcW w:w="2965" w:type="dxa"/>
          </w:tcPr>
          <w:p w:rsidR="008A72E5" w:rsidRPr="00AA134A" w:rsidRDefault="008A72E5" w:rsidP="008A72E5">
            <w:r w:rsidRPr="00AA134A">
              <w:rPr>
                <w:b/>
                <w:bCs/>
              </w:rPr>
              <w:t xml:space="preserve">Ellacombe </w:t>
            </w:r>
          </w:p>
        </w:tc>
        <w:tc>
          <w:tcPr>
            <w:tcW w:w="1620" w:type="dxa"/>
          </w:tcPr>
          <w:p w:rsidR="008A72E5" w:rsidRPr="00AA134A" w:rsidRDefault="00803484" w:rsidP="008A72E5">
            <w:r>
              <w:t>5,558</w:t>
            </w:r>
          </w:p>
        </w:tc>
        <w:tc>
          <w:tcPr>
            <w:tcW w:w="1800" w:type="dxa"/>
            <w:noWrap/>
          </w:tcPr>
          <w:p w:rsidR="008A72E5" w:rsidRPr="00AA134A" w:rsidRDefault="008A72E5" w:rsidP="008A72E5">
            <w:r>
              <w:t>50</w:t>
            </w:r>
          </w:p>
        </w:tc>
        <w:tc>
          <w:tcPr>
            <w:tcW w:w="1440" w:type="dxa"/>
          </w:tcPr>
          <w:p w:rsidR="008A72E5" w:rsidRPr="00A16429" w:rsidRDefault="008A72E5" w:rsidP="008A72E5">
            <w:r>
              <w:t>107</w:t>
            </w:r>
          </w:p>
        </w:tc>
        <w:tc>
          <w:tcPr>
            <w:tcW w:w="6570" w:type="dxa"/>
            <w:noWrap/>
          </w:tcPr>
          <w:p w:rsidR="008A72E5" w:rsidRPr="00AA134A" w:rsidRDefault="008A72E5" w:rsidP="008A72E5">
            <w:r>
              <w:t xml:space="preserve">Largely developed high density Victorian area. Limited opportunities for new housing, although some brownfield development/conversions likely.  </w:t>
            </w:r>
          </w:p>
        </w:tc>
      </w:tr>
      <w:tr w:rsidR="008A72E5" w:rsidRPr="00AA134A" w:rsidTr="008A72E5">
        <w:trPr>
          <w:trHeight w:val="255"/>
        </w:trPr>
        <w:tc>
          <w:tcPr>
            <w:tcW w:w="2965" w:type="dxa"/>
          </w:tcPr>
          <w:p w:rsidR="008A72E5" w:rsidRPr="00281AFA" w:rsidRDefault="008A72E5" w:rsidP="008A72E5">
            <w:pPr>
              <w:rPr>
                <w:b/>
              </w:rPr>
            </w:pPr>
            <w:r w:rsidRPr="00281AFA">
              <w:rPr>
                <w:b/>
              </w:rPr>
              <w:t>Shiphay</w:t>
            </w:r>
          </w:p>
        </w:tc>
        <w:tc>
          <w:tcPr>
            <w:tcW w:w="1620" w:type="dxa"/>
          </w:tcPr>
          <w:p w:rsidR="008A72E5" w:rsidRPr="00803484" w:rsidRDefault="00803484" w:rsidP="008A72E5">
            <w:r>
              <w:t>6,027</w:t>
            </w:r>
          </w:p>
        </w:tc>
        <w:tc>
          <w:tcPr>
            <w:tcW w:w="1800" w:type="dxa"/>
            <w:noWrap/>
            <w:hideMark/>
          </w:tcPr>
          <w:p w:rsidR="008A72E5" w:rsidRPr="00AA134A" w:rsidRDefault="008A72E5" w:rsidP="008A72E5">
            <w:r>
              <w:t>50</w:t>
            </w:r>
          </w:p>
        </w:tc>
        <w:tc>
          <w:tcPr>
            <w:tcW w:w="1440" w:type="dxa"/>
          </w:tcPr>
          <w:p w:rsidR="008A72E5" w:rsidRPr="00A16429" w:rsidRDefault="008A72E5" w:rsidP="008A72E5">
            <w:pPr>
              <w:rPr>
                <w:bCs/>
              </w:rPr>
            </w:pPr>
            <w:r>
              <w:rPr>
                <w:bCs/>
              </w:rPr>
              <w:t>107</w:t>
            </w:r>
          </w:p>
        </w:tc>
        <w:tc>
          <w:tcPr>
            <w:tcW w:w="6570" w:type="dxa"/>
            <w:noWrap/>
            <w:hideMark/>
          </w:tcPr>
          <w:p w:rsidR="008A72E5" w:rsidRPr="00D41D6B" w:rsidRDefault="008A72E5" w:rsidP="008A72E5">
            <w:pPr>
              <w:rPr>
                <w:bCs/>
              </w:rPr>
            </w:pPr>
            <w:r w:rsidRPr="00D41D6B">
              <w:rPr>
                <w:bCs/>
              </w:rPr>
              <w:t>Limited growth in next 5 years but significant growth (@</w:t>
            </w:r>
            <w:r>
              <w:rPr>
                <w:bCs/>
              </w:rPr>
              <w:t>550</w:t>
            </w:r>
            <w:r w:rsidRPr="00D41D6B">
              <w:rPr>
                <w:bCs/>
              </w:rPr>
              <w:t>) after year 5</w:t>
            </w:r>
            <w:r>
              <w:rPr>
                <w:bCs/>
              </w:rPr>
              <w:t xml:space="preserve">-15 years </w:t>
            </w:r>
            <w:r w:rsidRPr="00D41D6B">
              <w:rPr>
                <w:bCs/>
              </w:rPr>
              <w:t xml:space="preserve">as part of Torquay Gateway. </w:t>
            </w:r>
          </w:p>
        </w:tc>
      </w:tr>
      <w:tr w:rsidR="008A72E5" w:rsidRPr="00AA134A" w:rsidTr="008A72E5">
        <w:trPr>
          <w:trHeight w:val="480"/>
        </w:trPr>
        <w:tc>
          <w:tcPr>
            <w:tcW w:w="2965" w:type="dxa"/>
          </w:tcPr>
          <w:p w:rsidR="008A72E5" w:rsidRPr="00AA134A" w:rsidRDefault="008A72E5" w:rsidP="008A72E5">
            <w:r w:rsidRPr="00AA134A">
              <w:rPr>
                <w:b/>
                <w:bCs/>
              </w:rPr>
              <w:t xml:space="preserve">St Marychurch </w:t>
            </w:r>
          </w:p>
        </w:tc>
        <w:tc>
          <w:tcPr>
            <w:tcW w:w="1620" w:type="dxa"/>
          </w:tcPr>
          <w:p w:rsidR="008A72E5" w:rsidRPr="00803484" w:rsidRDefault="00803484" w:rsidP="008A72E5">
            <w:r w:rsidRPr="00803484">
              <w:t>8,891</w:t>
            </w:r>
          </w:p>
        </w:tc>
        <w:tc>
          <w:tcPr>
            <w:tcW w:w="1800" w:type="dxa"/>
            <w:noWrap/>
            <w:hideMark/>
          </w:tcPr>
          <w:p w:rsidR="008A72E5" w:rsidRPr="00AA134A" w:rsidRDefault="008A72E5" w:rsidP="008A72E5">
            <w:r>
              <w:t>120</w:t>
            </w:r>
          </w:p>
        </w:tc>
        <w:tc>
          <w:tcPr>
            <w:tcW w:w="1440" w:type="dxa"/>
          </w:tcPr>
          <w:p w:rsidR="008A72E5" w:rsidRPr="00A16429" w:rsidRDefault="008A72E5" w:rsidP="008A72E5">
            <w:pPr>
              <w:rPr>
                <w:bCs/>
              </w:rPr>
            </w:pPr>
            <w:r>
              <w:rPr>
                <w:bCs/>
              </w:rPr>
              <w:t>256</w:t>
            </w:r>
          </w:p>
        </w:tc>
        <w:tc>
          <w:tcPr>
            <w:tcW w:w="6570" w:type="dxa"/>
            <w:noWrap/>
            <w:hideMark/>
          </w:tcPr>
          <w:p w:rsidR="008A72E5" w:rsidRPr="00FC7AFB" w:rsidRDefault="008A72E5" w:rsidP="008A72E5">
            <w:pPr>
              <w:rPr>
                <w:bCs/>
              </w:rPr>
            </w:pPr>
            <w:r w:rsidRPr="00FC7AFB">
              <w:rPr>
                <w:bCs/>
              </w:rPr>
              <w:t xml:space="preserve">Several small sites have planning permission likely to deliver about 100 new dwellings in next 5 years. </w:t>
            </w:r>
          </w:p>
        </w:tc>
      </w:tr>
      <w:tr w:rsidR="008A72E5" w:rsidRPr="00AA134A" w:rsidTr="008A72E5">
        <w:trPr>
          <w:trHeight w:val="1043"/>
        </w:trPr>
        <w:tc>
          <w:tcPr>
            <w:tcW w:w="2965" w:type="dxa"/>
          </w:tcPr>
          <w:p w:rsidR="008A72E5" w:rsidRPr="00AA134A" w:rsidRDefault="008A72E5" w:rsidP="008A72E5">
            <w:pPr>
              <w:rPr>
                <w:b/>
                <w:bCs/>
              </w:rPr>
            </w:pPr>
            <w:r w:rsidRPr="00AA134A">
              <w:rPr>
                <w:b/>
                <w:bCs/>
              </w:rPr>
              <w:t xml:space="preserve">Tormohum </w:t>
            </w:r>
          </w:p>
        </w:tc>
        <w:tc>
          <w:tcPr>
            <w:tcW w:w="1620" w:type="dxa"/>
          </w:tcPr>
          <w:p w:rsidR="008A72E5" w:rsidRPr="00803484" w:rsidRDefault="00803484" w:rsidP="008A72E5">
            <w:pPr>
              <w:rPr>
                <w:bCs/>
              </w:rPr>
            </w:pPr>
            <w:r w:rsidRPr="00803484">
              <w:rPr>
                <w:bCs/>
              </w:rPr>
              <w:t>8,384</w:t>
            </w:r>
          </w:p>
        </w:tc>
        <w:tc>
          <w:tcPr>
            <w:tcW w:w="1800" w:type="dxa"/>
            <w:noWrap/>
            <w:hideMark/>
          </w:tcPr>
          <w:p w:rsidR="008A72E5" w:rsidRPr="00FC7AFB" w:rsidRDefault="008A72E5" w:rsidP="008A72E5">
            <w:pPr>
              <w:rPr>
                <w:bCs/>
              </w:rPr>
            </w:pPr>
            <w:r w:rsidRPr="00FC7AFB">
              <w:rPr>
                <w:bCs/>
              </w:rPr>
              <w:t>500</w:t>
            </w:r>
          </w:p>
        </w:tc>
        <w:tc>
          <w:tcPr>
            <w:tcW w:w="1440" w:type="dxa"/>
          </w:tcPr>
          <w:p w:rsidR="008A72E5" w:rsidRPr="00A16429" w:rsidRDefault="008A72E5" w:rsidP="008A72E5">
            <w:pPr>
              <w:rPr>
                <w:bCs/>
              </w:rPr>
            </w:pPr>
            <w:r>
              <w:rPr>
                <w:bCs/>
              </w:rPr>
              <w:t>1065</w:t>
            </w:r>
          </w:p>
        </w:tc>
        <w:tc>
          <w:tcPr>
            <w:tcW w:w="6570" w:type="dxa"/>
            <w:noWrap/>
            <w:hideMark/>
          </w:tcPr>
          <w:p w:rsidR="008A72E5" w:rsidRPr="00AA134A" w:rsidRDefault="008A72E5" w:rsidP="008A72E5">
            <w:pPr>
              <w:rPr>
                <w:b/>
                <w:bCs/>
              </w:rPr>
            </w:pPr>
            <w:r w:rsidRPr="00FC7AFB">
              <w:rPr>
                <w:bCs/>
              </w:rPr>
              <w:t>Tormohun is a largely built</w:t>
            </w:r>
            <w:r>
              <w:rPr>
                <w:bCs/>
              </w:rPr>
              <w:t>-</w:t>
            </w:r>
            <w:r w:rsidRPr="00FC7AFB">
              <w:rPr>
                <w:bCs/>
              </w:rPr>
              <w:t xml:space="preserve">up </w:t>
            </w:r>
            <w:r>
              <w:rPr>
                <w:bCs/>
              </w:rPr>
              <w:t>W</w:t>
            </w:r>
            <w:r w:rsidRPr="00FC7AFB">
              <w:rPr>
                <w:bCs/>
              </w:rPr>
              <w:t>ard but contains the largest area of “urban capacity” in Torquay in terms of brownfield sites, including some former hotels and town centre regeneration sites</w:t>
            </w:r>
            <w:r w:rsidRPr="00A20214">
              <w:rPr>
                <w:bCs/>
              </w:rPr>
              <w:t>.  Development of similar numbers likely to continue into the post 5 year period as urban regeneration projects continue.</w:t>
            </w:r>
            <w:r>
              <w:rPr>
                <w:b/>
                <w:bCs/>
              </w:rPr>
              <w:t xml:space="preserve"> </w:t>
            </w:r>
          </w:p>
        </w:tc>
      </w:tr>
      <w:tr w:rsidR="008A72E5" w:rsidRPr="00AA134A" w:rsidTr="00925AD0">
        <w:trPr>
          <w:trHeight w:val="480"/>
        </w:trPr>
        <w:tc>
          <w:tcPr>
            <w:tcW w:w="2965" w:type="dxa"/>
            <w:tcBorders>
              <w:bottom w:val="single" w:sz="4" w:space="0" w:color="auto"/>
            </w:tcBorders>
          </w:tcPr>
          <w:p w:rsidR="008A72E5" w:rsidRPr="00A20214" w:rsidRDefault="008A72E5" w:rsidP="008A72E5">
            <w:pPr>
              <w:rPr>
                <w:b/>
              </w:rPr>
            </w:pPr>
            <w:r w:rsidRPr="00A20214">
              <w:rPr>
                <w:b/>
              </w:rPr>
              <w:t xml:space="preserve">Wellswood </w:t>
            </w:r>
          </w:p>
        </w:tc>
        <w:tc>
          <w:tcPr>
            <w:tcW w:w="1620" w:type="dxa"/>
            <w:tcBorders>
              <w:bottom w:val="single" w:sz="4" w:space="0" w:color="auto"/>
            </w:tcBorders>
          </w:tcPr>
          <w:p w:rsidR="008A72E5" w:rsidRPr="00803484" w:rsidRDefault="00803484" w:rsidP="008A72E5">
            <w:r>
              <w:t>5,632</w:t>
            </w:r>
          </w:p>
        </w:tc>
        <w:tc>
          <w:tcPr>
            <w:tcW w:w="1800" w:type="dxa"/>
            <w:tcBorders>
              <w:bottom w:val="single" w:sz="4" w:space="0" w:color="auto"/>
            </w:tcBorders>
            <w:noWrap/>
          </w:tcPr>
          <w:p w:rsidR="008A72E5" w:rsidRPr="00AA134A" w:rsidRDefault="008A72E5" w:rsidP="008A72E5">
            <w:r>
              <w:t>80</w:t>
            </w:r>
          </w:p>
        </w:tc>
        <w:tc>
          <w:tcPr>
            <w:tcW w:w="1440" w:type="dxa"/>
            <w:tcBorders>
              <w:bottom w:val="single" w:sz="4" w:space="0" w:color="auto"/>
            </w:tcBorders>
          </w:tcPr>
          <w:p w:rsidR="008A72E5" w:rsidRPr="00A16429" w:rsidRDefault="008A72E5" w:rsidP="008A72E5">
            <w:r>
              <w:t>170</w:t>
            </w:r>
          </w:p>
        </w:tc>
        <w:tc>
          <w:tcPr>
            <w:tcW w:w="6570" w:type="dxa"/>
            <w:tcBorders>
              <w:bottom w:val="single" w:sz="4" w:space="0" w:color="auto"/>
            </w:tcBorders>
            <w:noWrap/>
          </w:tcPr>
          <w:p w:rsidR="008A72E5" w:rsidRPr="00AA134A" w:rsidRDefault="008A72E5" w:rsidP="008A72E5">
            <w:r>
              <w:t xml:space="preserve">Much of Wellswood is Conservation Area. However there are several medium size redevelopment proposals likely to be completed in next five years.  A similar rate of growth is likely to continue post year 5. </w:t>
            </w:r>
          </w:p>
        </w:tc>
      </w:tr>
      <w:tr w:rsidR="008A72E5" w:rsidRPr="00E02BEA" w:rsidTr="00925AD0">
        <w:trPr>
          <w:trHeight w:val="480"/>
        </w:trPr>
        <w:tc>
          <w:tcPr>
            <w:tcW w:w="2965" w:type="dxa"/>
            <w:tcBorders>
              <w:bottom w:val="single" w:sz="4" w:space="0" w:color="auto"/>
            </w:tcBorders>
          </w:tcPr>
          <w:p w:rsidR="008A72E5" w:rsidRPr="00E02BEA" w:rsidRDefault="008A72E5" w:rsidP="008A72E5">
            <w:pPr>
              <w:rPr>
                <w:b/>
              </w:rPr>
            </w:pPr>
            <w:r w:rsidRPr="00E02BEA">
              <w:rPr>
                <w:b/>
              </w:rPr>
              <w:t xml:space="preserve">Torquay Sub Total </w:t>
            </w:r>
          </w:p>
        </w:tc>
        <w:tc>
          <w:tcPr>
            <w:tcW w:w="1620" w:type="dxa"/>
            <w:tcBorders>
              <w:bottom w:val="single" w:sz="4" w:space="0" w:color="auto"/>
            </w:tcBorders>
          </w:tcPr>
          <w:p w:rsidR="008A72E5" w:rsidRPr="00E02BEA" w:rsidRDefault="00E02BEA" w:rsidP="008A72E5">
            <w:pPr>
              <w:rPr>
                <w:b/>
              </w:rPr>
            </w:pPr>
            <w:r w:rsidRPr="00E02BEA">
              <w:rPr>
                <w:b/>
              </w:rPr>
              <w:t>48,931</w:t>
            </w:r>
          </w:p>
        </w:tc>
        <w:tc>
          <w:tcPr>
            <w:tcW w:w="1800" w:type="dxa"/>
            <w:tcBorders>
              <w:bottom w:val="single" w:sz="4" w:space="0" w:color="auto"/>
            </w:tcBorders>
            <w:noWrap/>
          </w:tcPr>
          <w:p w:rsidR="008A72E5" w:rsidRPr="00E02BEA" w:rsidRDefault="008A72E5" w:rsidP="008A72E5">
            <w:pPr>
              <w:rPr>
                <w:b/>
              </w:rPr>
            </w:pPr>
            <w:r w:rsidRPr="00E02BEA">
              <w:rPr>
                <w:b/>
              </w:rPr>
              <w:t>1,080</w:t>
            </w:r>
          </w:p>
        </w:tc>
        <w:tc>
          <w:tcPr>
            <w:tcW w:w="1440" w:type="dxa"/>
            <w:tcBorders>
              <w:bottom w:val="single" w:sz="4" w:space="0" w:color="auto"/>
            </w:tcBorders>
          </w:tcPr>
          <w:p w:rsidR="008A72E5" w:rsidRPr="00E02BEA" w:rsidRDefault="008A72E5" w:rsidP="008A72E5">
            <w:pPr>
              <w:rPr>
                <w:b/>
              </w:rPr>
            </w:pPr>
            <w:r w:rsidRPr="00E02BEA">
              <w:rPr>
                <w:b/>
              </w:rPr>
              <w:t>2,300</w:t>
            </w:r>
          </w:p>
        </w:tc>
        <w:tc>
          <w:tcPr>
            <w:tcW w:w="6570" w:type="dxa"/>
            <w:tcBorders>
              <w:bottom w:val="single" w:sz="4" w:space="0" w:color="auto"/>
            </w:tcBorders>
            <w:noWrap/>
          </w:tcPr>
          <w:p w:rsidR="008A72E5" w:rsidRPr="00E02BEA" w:rsidRDefault="008A72E5" w:rsidP="008A72E5">
            <w:pPr>
              <w:rPr>
                <w:b/>
              </w:rPr>
            </w:pPr>
          </w:p>
        </w:tc>
      </w:tr>
      <w:tr w:rsidR="000365F5" w:rsidRPr="00E02BEA" w:rsidTr="00925AD0">
        <w:trPr>
          <w:trHeight w:val="480"/>
        </w:trPr>
        <w:tc>
          <w:tcPr>
            <w:tcW w:w="2965" w:type="dxa"/>
            <w:tcBorders>
              <w:top w:val="single" w:sz="4" w:space="0" w:color="auto"/>
              <w:left w:val="nil"/>
              <w:bottom w:val="nil"/>
              <w:right w:val="nil"/>
            </w:tcBorders>
          </w:tcPr>
          <w:p w:rsidR="000365F5" w:rsidRDefault="000365F5" w:rsidP="008A72E5">
            <w:pPr>
              <w:rPr>
                <w:b/>
              </w:rPr>
            </w:pPr>
          </w:p>
          <w:p w:rsidR="00925AD0" w:rsidRPr="00E02BEA" w:rsidRDefault="00925AD0" w:rsidP="008A72E5">
            <w:pPr>
              <w:rPr>
                <w:b/>
              </w:rPr>
            </w:pPr>
          </w:p>
        </w:tc>
        <w:tc>
          <w:tcPr>
            <w:tcW w:w="1620" w:type="dxa"/>
            <w:tcBorders>
              <w:top w:val="single" w:sz="4" w:space="0" w:color="auto"/>
              <w:left w:val="nil"/>
              <w:bottom w:val="nil"/>
              <w:right w:val="nil"/>
            </w:tcBorders>
          </w:tcPr>
          <w:p w:rsidR="000365F5" w:rsidRPr="00E02BEA" w:rsidRDefault="000365F5" w:rsidP="008A72E5">
            <w:pPr>
              <w:rPr>
                <w:b/>
              </w:rPr>
            </w:pPr>
          </w:p>
        </w:tc>
        <w:tc>
          <w:tcPr>
            <w:tcW w:w="1800" w:type="dxa"/>
            <w:tcBorders>
              <w:top w:val="single" w:sz="4" w:space="0" w:color="auto"/>
              <w:left w:val="nil"/>
              <w:bottom w:val="nil"/>
              <w:right w:val="nil"/>
            </w:tcBorders>
            <w:noWrap/>
          </w:tcPr>
          <w:p w:rsidR="000365F5" w:rsidRPr="00E02BEA" w:rsidRDefault="000365F5" w:rsidP="008A72E5">
            <w:pPr>
              <w:rPr>
                <w:b/>
              </w:rPr>
            </w:pPr>
          </w:p>
        </w:tc>
        <w:tc>
          <w:tcPr>
            <w:tcW w:w="1440" w:type="dxa"/>
            <w:tcBorders>
              <w:top w:val="single" w:sz="4" w:space="0" w:color="auto"/>
              <w:left w:val="nil"/>
              <w:bottom w:val="nil"/>
              <w:right w:val="nil"/>
            </w:tcBorders>
          </w:tcPr>
          <w:p w:rsidR="000365F5" w:rsidRPr="00E02BEA" w:rsidRDefault="000365F5" w:rsidP="008A72E5">
            <w:pPr>
              <w:rPr>
                <w:b/>
              </w:rPr>
            </w:pPr>
          </w:p>
        </w:tc>
        <w:tc>
          <w:tcPr>
            <w:tcW w:w="6570" w:type="dxa"/>
            <w:tcBorders>
              <w:top w:val="single" w:sz="4" w:space="0" w:color="auto"/>
              <w:left w:val="nil"/>
              <w:bottom w:val="nil"/>
              <w:right w:val="nil"/>
            </w:tcBorders>
            <w:noWrap/>
          </w:tcPr>
          <w:p w:rsidR="000365F5" w:rsidRPr="00E02BEA" w:rsidRDefault="000365F5" w:rsidP="008A72E5">
            <w:pPr>
              <w:rPr>
                <w:b/>
              </w:rPr>
            </w:pPr>
          </w:p>
        </w:tc>
      </w:tr>
      <w:tr w:rsidR="000365F5" w:rsidRPr="00E02BEA" w:rsidTr="00925AD0">
        <w:trPr>
          <w:trHeight w:val="480"/>
        </w:trPr>
        <w:tc>
          <w:tcPr>
            <w:tcW w:w="2965" w:type="dxa"/>
            <w:tcBorders>
              <w:top w:val="nil"/>
              <w:left w:val="nil"/>
              <w:bottom w:val="nil"/>
              <w:right w:val="nil"/>
            </w:tcBorders>
          </w:tcPr>
          <w:p w:rsidR="000365F5" w:rsidRPr="00E02BEA" w:rsidRDefault="000365F5" w:rsidP="008A72E5">
            <w:pPr>
              <w:rPr>
                <w:b/>
              </w:rPr>
            </w:pPr>
          </w:p>
        </w:tc>
        <w:tc>
          <w:tcPr>
            <w:tcW w:w="1620" w:type="dxa"/>
            <w:tcBorders>
              <w:top w:val="nil"/>
              <w:left w:val="nil"/>
              <w:bottom w:val="nil"/>
              <w:right w:val="nil"/>
            </w:tcBorders>
          </w:tcPr>
          <w:p w:rsidR="000365F5" w:rsidRPr="00E02BEA" w:rsidRDefault="000365F5" w:rsidP="008A72E5">
            <w:pPr>
              <w:rPr>
                <w:b/>
              </w:rPr>
            </w:pPr>
          </w:p>
        </w:tc>
        <w:tc>
          <w:tcPr>
            <w:tcW w:w="1800" w:type="dxa"/>
            <w:tcBorders>
              <w:top w:val="nil"/>
              <w:left w:val="nil"/>
              <w:bottom w:val="nil"/>
              <w:right w:val="nil"/>
            </w:tcBorders>
            <w:noWrap/>
          </w:tcPr>
          <w:p w:rsidR="000365F5" w:rsidRPr="00E02BEA" w:rsidRDefault="000365F5" w:rsidP="008A72E5">
            <w:pPr>
              <w:rPr>
                <w:b/>
              </w:rPr>
            </w:pPr>
          </w:p>
        </w:tc>
        <w:tc>
          <w:tcPr>
            <w:tcW w:w="1440" w:type="dxa"/>
            <w:tcBorders>
              <w:top w:val="nil"/>
              <w:left w:val="nil"/>
              <w:bottom w:val="nil"/>
              <w:right w:val="nil"/>
            </w:tcBorders>
          </w:tcPr>
          <w:p w:rsidR="000365F5" w:rsidRPr="00E02BEA" w:rsidRDefault="000365F5" w:rsidP="008A72E5">
            <w:pPr>
              <w:rPr>
                <w:b/>
              </w:rPr>
            </w:pPr>
          </w:p>
        </w:tc>
        <w:tc>
          <w:tcPr>
            <w:tcW w:w="6570" w:type="dxa"/>
            <w:tcBorders>
              <w:top w:val="nil"/>
              <w:left w:val="nil"/>
              <w:bottom w:val="nil"/>
              <w:right w:val="nil"/>
            </w:tcBorders>
            <w:noWrap/>
          </w:tcPr>
          <w:p w:rsidR="000365F5" w:rsidRPr="00E02BEA" w:rsidRDefault="000365F5" w:rsidP="008A72E5">
            <w:pPr>
              <w:rPr>
                <w:b/>
              </w:rPr>
            </w:pPr>
          </w:p>
        </w:tc>
      </w:tr>
      <w:tr w:rsidR="008A72E5" w:rsidRPr="00AA134A" w:rsidTr="00925AD0">
        <w:trPr>
          <w:trHeight w:val="452"/>
        </w:trPr>
        <w:tc>
          <w:tcPr>
            <w:tcW w:w="14395" w:type="dxa"/>
            <w:gridSpan w:val="5"/>
            <w:tcBorders>
              <w:top w:val="nil"/>
            </w:tcBorders>
            <w:shd w:val="clear" w:color="auto" w:fill="BFBFBF" w:themeFill="background1" w:themeFillShade="BF"/>
          </w:tcPr>
          <w:p w:rsidR="008A72E5" w:rsidRPr="00AA134A" w:rsidRDefault="008A72E5" w:rsidP="008A72E5">
            <w:r>
              <w:rPr>
                <w:b/>
              </w:rPr>
              <w:lastRenderedPageBreak/>
              <w:t>PAIGNTON</w:t>
            </w:r>
          </w:p>
        </w:tc>
      </w:tr>
      <w:tr w:rsidR="008A72E5" w:rsidRPr="00AA134A" w:rsidTr="008A72E5">
        <w:trPr>
          <w:trHeight w:val="480"/>
        </w:trPr>
        <w:tc>
          <w:tcPr>
            <w:tcW w:w="2965" w:type="dxa"/>
          </w:tcPr>
          <w:p w:rsidR="008A72E5" w:rsidRPr="006C4223" w:rsidRDefault="008A72E5" w:rsidP="008A72E5">
            <w:pPr>
              <w:rPr>
                <w:b/>
              </w:rPr>
            </w:pPr>
            <w:r w:rsidRPr="006C4223">
              <w:rPr>
                <w:b/>
              </w:rPr>
              <w:t>Clifton with Maidenway</w:t>
            </w:r>
          </w:p>
        </w:tc>
        <w:tc>
          <w:tcPr>
            <w:tcW w:w="1620" w:type="dxa"/>
          </w:tcPr>
          <w:p w:rsidR="008A72E5" w:rsidRPr="00803484" w:rsidRDefault="00803484" w:rsidP="008A72E5">
            <w:r w:rsidRPr="00803484">
              <w:t>6,002</w:t>
            </w:r>
          </w:p>
        </w:tc>
        <w:tc>
          <w:tcPr>
            <w:tcW w:w="1800" w:type="dxa"/>
            <w:noWrap/>
          </w:tcPr>
          <w:p w:rsidR="008A72E5" w:rsidRPr="00AA134A" w:rsidRDefault="008A72E5" w:rsidP="008A72E5">
            <w:r>
              <w:t>30</w:t>
            </w:r>
          </w:p>
        </w:tc>
        <w:tc>
          <w:tcPr>
            <w:tcW w:w="1440" w:type="dxa"/>
          </w:tcPr>
          <w:p w:rsidR="008A72E5" w:rsidRPr="00AA134A" w:rsidRDefault="008A72E5" w:rsidP="008A72E5">
            <w:r>
              <w:t>64</w:t>
            </w:r>
          </w:p>
        </w:tc>
        <w:tc>
          <w:tcPr>
            <w:tcW w:w="6570" w:type="dxa"/>
            <w:noWrap/>
          </w:tcPr>
          <w:p w:rsidR="008A72E5" w:rsidRPr="00AA134A" w:rsidRDefault="008A72E5" w:rsidP="008A72E5">
            <w:r>
              <w:t xml:space="preserve">Area is largely developed with limited development proposals likely to be built out in the next 5 years.  </w:t>
            </w:r>
          </w:p>
        </w:tc>
      </w:tr>
      <w:tr w:rsidR="008A72E5" w:rsidRPr="00AA134A" w:rsidTr="008A72E5">
        <w:trPr>
          <w:trHeight w:val="1266"/>
        </w:trPr>
        <w:tc>
          <w:tcPr>
            <w:tcW w:w="2965" w:type="dxa"/>
          </w:tcPr>
          <w:p w:rsidR="008A72E5" w:rsidRPr="006C4223" w:rsidRDefault="008A72E5" w:rsidP="008A72E5">
            <w:pPr>
              <w:rPr>
                <w:b/>
              </w:rPr>
            </w:pPr>
            <w:r w:rsidRPr="006C4223">
              <w:rPr>
                <w:b/>
              </w:rPr>
              <w:t xml:space="preserve">Collaton St Mary </w:t>
            </w:r>
          </w:p>
        </w:tc>
        <w:tc>
          <w:tcPr>
            <w:tcW w:w="1620" w:type="dxa"/>
          </w:tcPr>
          <w:p w:rsidR="00803484" w:rsidRPr="00803484" w:rsidRDefault="00803484" w:rsidP="008A72E5">
            <w:r w:rsidRPr="00803484">
              <w:t>2</w:t>
            </w:r>
            <w:r w:rsidR="0005521E">
              <w:t>,</w:t>
            </w:r>
            <w:r w:rsidRPr="00803484">
              <w:t>099</w:t>
            </w:r>
          </w:p>
        </w:tc>
        <w:tc>
          <w:tcPr>
            <w:tcW w:w="1800" w:type="dxa"/>
            <w:noWrap/>
          </w:tcPr>
          <w:p w:rsidR="008A72E5" w:rsidRPr="00AA134A" w:rsidRDefault="008A72E5" w:rsidP="008A72E5">
            <w:r>
              <w:t>400</w:t>
            </w:r>
          </w:p>
        </w:tc>
        <w:tc>
          <w:tcPr>
            <w:tcW w:w="1440" w:type="dxa"/>
          </w:tcPr>
          <w:p w:rsidR="008A72E5" w:rsidRPr="00AA134A" w:rsidRDefault="008A72E5" w:rsidP="008A72E5">
            <w:r>
              <w:t>852</w:t>
            </w:r>
          </w:p>
        </w:tc>
        <w:tc>
          <w:tcPr>
            <w:tcW w:w="6570" w:type="dxa"/>
            <w:noWrap/>
          </w:tcPr>
          <w:p w:rsidR="008A72E5" w:rsidRPr="00AA134A" w:rsidRDefault="008A72E5" w:rsidP="008A72E5">
            <w:r>
              <w:t xml:space="preserve">This Ward contains several areas allocated as Future Growth Areas in the Torbay Local Plan, including Yannons Farm/Yalberton Road which is currently being built out.  Later phases of development here, and development at Collaton St Mary likely to carry on into years 6-15 (circa 500 further additional dwellings post 2024).  </w:t>
            </w:r>
          </w:p>
        </w:tc>
      </w:tr>
      <w:tr w:rsidR="008A72E5" w:rsidRPr="00AA134A" w:rsidTr="008A72E5">
        <w:trPr>
          <w:trHeight w:val="683"/>
        </w:trPr>
        <w:tc>
          <w:tcPr>
            <w:tcW w:w="2965" w:type="dxa"/>
          </w:tcPr>
          <w:p w:rsidR="008A72E5" w:rsidRPr="00D243F8" w:rsidRDefault="008A72E5" w:rsidP="008A72E5">
            <w:pPr>
              <w:rPr>
                <w:b/>
              </w:rPr>
            </w:pPr>
            <w:r>
              <w:rPr>
                <w:b/>
              </w:rPr>
              <w:t xml:space="preserve">Goodrington with Roselands </w:t>
            </w:r>
          </w:p>
        </w:tc>
        <w:tc>
          <w:tcPr>
            <w:tcW w:w="1620" w:type="dxa"/>
          </w:tcPr>
          <w:p w:rsidR="008A72E5" w:rsidRPr="00803484" w:rsidRDefault="00803484" w:rsidP="008A72E5">
            <w:r w:rsidRPr="00803484">
              <w:t>5,908</w:t>
            </w:r>
          </w:p>
        </w:tc>
        <w:tc>
          <w:tcPr>
            <w:tcW w:w="1800" w:type="dxa"/>
            <w:noWrap/>
          </w:tcPr>
          <w:p w:rsidR="008A72E5" w:rsidRDefault="008A72E5" w:rsidP="008A72E5">
            <w:r>
              <w:t>20</w:t>
            </w:r>
          </w:p>
        </w:tc>
        <w:tc>
          <w:tcPr>
            <w:tcW w:w="1440" w:type="dxa"/>
          </w:tcPr>
          <w:p w:rsidR="008A72E5" w:rsidRDefault="008A72E5" w:rsidP="008A72E5">
            <w:r>
              <w:t>43</w:t>
            </w:r>
          </w:p>
        </w:tc>
        <w:tc>
          <w:tcPr>
            <w:tcW w:w="6570" w:type="dxa"/>
          </w:tcPr>
          <w:p w:rsidR="008A72E5" w:rsidRDefault="008A72E5" w:rsidP="008A72E5">
            <w:r>
              <w:t>No significant permissions for new housing are outstanding. Some new homes may arise from smaller sites.</w:t>
            </w:r>
          </w:p>
        </w:tc>
      </w:tr>
      <w:tr w:rsidR="008A72E5" w:rsidRPr="00AA134A" w:rsidTr="008A72E5">
        <w:trPr>
          <w:trHeight w:val="480"/>
        </w:trPr>
        <w:tc>
          <w:tcPr>
            <w:tcW w:w="2965" w:type="dxa"/>
          </w:tcPr>
          <w:p w:rsidR="008A72E5" w:rsidRPr="00D243F8" w:rsidRDefault="008A72E5" w:rsidP="008A72E5">
            <w:pPr>
              <w:rPr>
                <w:b/>
              </w:rPr>
            </w:pPr>
            <w:r w:rsidRPr="00D243F8">
              <w:rPr>
                <w:b/>
              </w:rPr>
              <w:t>Kings Ash</w:t>
            </w:r>
          </w:p>
        </w:tc>
        <w:tc>
          <w:tcPr>
            <w:tcW w:w="1620" w:type="dxa"/>
          </w:tcPr>
          <w:p w:rsidR="008A72E5" w:rsidRPr="00803484" w:rsidRDefault="00803484" w:rsidP="008A72E5">
            <w:r w:rsidRPr="00803484">
              <w:t>5,286</w:t>
            </w:r>
          </w:p>
        </w:tc>
        <w:tc>
          <w:tcPr>
            <w:tcW w:w="1800" w:type="dxa"/>
            <w:noWrap/>
          </w:tcPr>
          <w:p w:rsidR="008A72E5" w:rsidRPr="00AA134A" w:rsidRDefault="008A72E5" w:rsidP="008A72E5">
            <w:r>
              <w:t>120</w:t>
            </w:r>
          </w:p>
        </w:tc>
        <w:tc>
          <w:tcPr>
            <w:tcW w:w="1440" w:type="dxa"/>
          </w:tcPr>
          <w:p w:rsidR="008A72E5" w:rsidRPr="00AA134A" w:rsidRDefault="008A72E5" w:rsidP="008A72E5">
            <w:r>
              <w:t>256</w:t>
            </w:r>
          </w:p>
        </w:tc>
        <w:tc>
          <w:tcPr>
            <w:tcW w:w="6570" w:type="dxa"/>
          </w:tcPr>
          <w:p w:rsidR="008A72E5" w:rsidRPr="00AA134A" w:rsidRDefault="008A72E5" w:rsidP="00803484">
            <w:r>
              <w:t xml:space="preserve">The main growth in this Ward will be continued development of Great Parks Phase 2, with a similar level of further development post 2024. </w:t>
            </w:r>
          </w:p>
        </w:tc>
      </w:tr>
      <w:tr w:rsidR="008A72E5" w:rsidRPr="00AA134A" w:rsidTr="008A72E5">
        <w:trPr>
          <w:trHeight w:val="1430"/>
        </w:trPr>
        <w:tc>
          <w:tcPr>
            <w:tcW w:w="2965" w:type="dxa"/>
          </w:tcPr>
          <w:p w:rsidR="008A72E5" w:rsidRPr="00AA134A" w:rsidRDefault="008A72E5" w:rsidP="008A72E5">
            <w:r w:rsidRPr="00AA134A">
              <w:rPr>
                <w:b/>
                <w:bCs/>
              </w:rPr>
              <w:t>Roundham with Hyde</w:t>
            </w:r>
          </w:p>
        </w:tc>
        <w:tc>
          <w:tcPr>
            <w:tcW w:w="1620" w:type="dxa"/>
          </w:tcPr>
          <w:p w:rsidR="008A72E5" w:rsidRPr="00803484" w:rsidRDefault="00803484" w:rsidP="008A72E5">
            <w:r w:rsidRPr="00803484">
              <w:t>5,977</w:t>
            </w:r>
          </w:p>
        </w:tc>
        <w:tc>
          <w:tcPr>
            <w:tcW w:w="1800" w:type="dxa"/>
            <w:noWrap/>
          </w:tcPr>
          <w:p w:rsidR="008A72E5" w:rsidRPr="00AA134A" w:rsidRDefault="008A72E5" w:rsidP="008A72E5">
            <w:r>
              <w:t>150</w:t>
            </w:r>
          </w:p>
        </w:tc>
        <w:tc>
          <w:tcPr>
            <w:tcW w:w="1440" w:type="dxa"/>
          </w:tcPr>
          <w:p w:rsidR="008A72E5" w:rsidRPr="00AA134A" w:rsidRDefault="008A72E5" w:rsidP="008A72E5">
            <w:r>
              <w:t>320</w:t>
            </w:r>
          </w:p>
        </w:tc>
        <w:tc>
          <w:tcPr>
            <w:tcW w:w="6570" w:type="dxa"/>
            <w:noWrap/>
          </w:tcPr>
          <w:p w:rsidR="008A72E5" w:rsidRDefault="008A72E5" w:rsidP="008A72E5">
            <w:r>
              <w:t xml:space="preserve">Roundham with Hyde contains Paignton Town Centre. Whilst flooding issues are likely to constrain development particularly eastwards of the railway line, there are significant regeneration sites and redevelopment opportunities. </w:t>
            </w:r>
          </w:p>
          <w:p w:rsidR="008A72E5" w:rsidRDefault="008A72E5" w:rsidP="008A72E5">
            <w:r>
              <w:t xml:space="preserve">In the next 5 years there is likely to be relatively limited development, but the regeneration sites that are likely to boost numbers post 2024.  </w:t>
            </w:r>
          </w:p>
        </w:tc>
      </w:tr>
      <w:tr w:rsidR="008A72E5" w:rsidRPr="00AA134A" w:rsidTr="008A72E5">
        <w:trPr>
          <w:trHeight w:val="600"/>
        </w:trPr>
        <w:tc>
          <w:tcPr>
            <w:tcW w:w="2965" w:type="dxa"/>
          </w:tcPr>
          <w:p w:rsidR="008A72E5" w:rsidRPr="00C8597D" w:rsidRDefault="008A72E5" w:rsidP="008A72E5">
            <w:pPr>
              <w:rPr>
                <w:b/>
              </w:rPr>
            </w:pPr>
            <w:r w:rsidRPr="00C8597D">
              <w:rPr>
                <w:b/>
              </w:rPr>
              <w:t xml:space="preserve">Preston </w:t>
            </w:r>
          </w:p>
        </w:tc>
        <w:tc>
          <w:tcPr>
            <w:tcW w:w="1620" w:type="dxa"/>
          </w:tcPr>
          <w:p w:rsidR="008A72E5" w:rsidRPr="00803484" w:rsidRDefault="00803484" w:rsidP="008A72E5">
            <w:r w:rsidRPr="00803484">
              <w:t>8,110</w:t>
            </w:r>
          </w:p>
        </w:tc>
        <w:tc>
          <w:tcPr>
            <w:tcW w:w="1800" w:type="dxa"/>
            <w:noWrap/>
          </w:tcPr>
          <w:p w:rsidR="008A72E5" w:rsidRPr="00AA134A" w:rsidRDefault="008A72E5" w:rsidP="008A72E5">
            <w:r>
              <w:t>110</w:t>
            </w:r>
          </w:p>
        </w:tc>
        <w:tc>
          <w:tcPr>
            <w:tcW w:w="1440" w:type="dxa"/>
          </w:tcPr>
          <w:p w:rsidR="008A72E5" w:rsidRPr="00AA134A" w:rsidRDefault="008A72E5" w:rsidP="008A72E5">
            <w:r>
              <w:t>234</w:t>
            </w:r>
          </w:p>
        </w:tc>
        <w:tc>
          <w:tcPr>
            <w:tcW w:w="6570" w:type="dxa"/>
            <w:noWrap/>
          </w:tcPr>
          <w:p w:rsidR="008A72E5" w:rsidRPr="00AA134A" w:rsidRDefault="008A72E5" w:rsidP="008A72E5">
            <w:r>
              <w:t xml:space="preserve">The largest development in Preston over the next five years is likely to be the former Police Station (46 apartments) There is likely to be further limited development of circa 100-150 homes in the 5-10 year period. </w:t>
            </w:r>
          </w:p>
        </w:tc>
      </w:tr>
      <w:tr w:rsidR="008A72E5" w:rsidRPr="00C8597D" w:rsidTr="008A72E5">
        <w:trPr>
          <w:trHeight w:val="402"/>
        </w:trPr>
        <w:tc>
          <w:tcPr>
            <w:tcW w:w="2965" w:type="dxa"/>
          </w:tcPr>
          <w:p w:rsidR="008A72E5" w:rsidRPr="00F041F8" w:rsidRDefault="008A72E5" w:rsidP="008A72E5">
            <w:pPr>
              <w:rPr>
                <w:bCs/>
              </w:rPr>
            </w:pPr>
            <w:r>
              <w:rPr>
                <w:b/>
                <w:bCs/>
              </w:rPr>
              <w:t>Churston with Galmpton</w:t>
            </w:r>
            <w:r>
              <w:rPr>
                <w:bCs/>
              </w:rPr>
              <w:t xml:space="preserve"> </w:t>
            </w:r>
          </w:p>
        </w:tc>
        <w:tc>
          <w:tcPr>
            <w:tcW w:w="1620" w:type="dxa"/>
          </w:tcPr>
          <w:p w:rsidR="008A72E5" w:rsidRPr="00803484" w:rsidRDefault="00803484" w:rsidP="008A72E5">
            <w:pPr>
              <w:rPr>
                <w:bCs/>
              </w:rPr>
            </w:pPr>
            <w:r w:rsidRPr="00803484">
              <w:rPr>
                <w:bCs/>
              </w:rPr>
              <w:t>5,616</w:t>
            </w:r>
          </w:p>
        </w:tc>
        <w:tc>
          <w:tcPr>
            <w:tcW w:w="1800" w:type="dxa"/>
            <w:hideMark/>
          </w:tcPr>
          <w:p w:rsidR="008A72E5" w:rsidRPr="008C14A6" w:rsidRDefault="008A72E5" w:rsidP="008A72E5">
            <w:pPr>
              <w:rPr>
                <w:bCs/>
              </w:rPr>
            </w:pPr>
            <w:r w:rsidRPr="008C14A6">
              <w:rPr>
                <w:bCs/>
              </w:rPr>
              <w:t>200</w:t>
            </w:r>
          </w:p>
        </w:tc>
        <w:tc>
          <w:tcPr>
            <w:tcW w:w="1440" w:type="dxa"/>
          </w:tcPr>
          <w:p w:rsidR="008A72E5" w:rsidRPr="00296453" w:rsidRDefault="008A72E5" w:rsidP="008A72E5">
            <w:pPr>
              <w:rPr>
                <w:bCs/>
              </w:rPr>
            </w:pPr>
            <w:r w:rsidRPr="00296453">
              <w:rPr>
                <w:bCs/>
              </w:rPr>
              <w:t>426</w:t>
            </w:r>
          </w:p>
        </w:tc>
        <w:tc>
          <w:tcPr>
            <w:tcW w:w="6570" w:type="dxa"/>
            <w:hideMark/>
          </w:tcPr>
          <w:p w:rsidR="008A72E5" w:rsidRDefault="008A72E5" w:rsidP="008A72E5">
            <w:pPr>
              <w:rPr>
                <w:bCs/>
              </w:rPr>
            </w:pPr>
            <w:r w:rsidRPr="00C8597D">
              <w:rPr>
                <w:bCs/>
              </w:rPr>
              <w:t> </w:t>
            </w:r>
            <w:r w:rsidRPr="00F041F8">
              <w:rPr>
                <w:bCs/>
              </w:rPr>
              <w:t xml:space="preserve">Note that the south and east of this Ward abuts Brixham, and </w:t>
            </w:r>
            <w:r>
              <w:rPr>
                <w:bCs/>
              </w:rPr>
              <w:t>part of the existing  (pre-2019) Ward is within the Brixham Peninsula Neighbourhood Plan</w:t>
            </w:r>
          </w:p>
          <w:p w:rsidR="008A72E5" w:rsidRDefault="008A72E5" w:rsidP="008A72E5">
            <w:pPr>
              <w:rPr>
                <w:bCs/>
              </w:rPr>
            </w:pPr>
            <w:r w:rsidRPr="00C8597D">
              <w:rPr>
                <w:bCs/>
              </w:rPr>
              <w:t xml:space="preserve">Churston with Galmpton </w:t>
            </w:r>
            <w:r>
              <w:rPr>
                <w:bCs/>
              </w:rPr>
              <w:t xml:space="preserve">covers the White Rock Future development Area, which is currently being built out and will be where most new growth in the Ward takes place over the next 5 years.   This area relates functionally to Paignton (and is included in Paignton’s housing target in the Adopted Local Plan). </w:t>
            </w:r>
          </w:p>
          <w:p w:rsidR="008A72E5" w:rsidRPr="00C8597D" w:rsidRDefault="008A72E5" w:rsidP="008A72E5">
            <w:pPr>
              <w:rPr>
                <w:bCs/>
              </w:rPr>
            </w:pPr>
            <w:r>
              <w:rPr>
                <w:bCs/>
              </w:rPr>
              <w:t xml:space="preserve">The South of the Ward is much more rural and there is unlikely to be significant growth in the next 5 years, although smaller scale </w:t>
            </w:r>
            <w:r>
              <w:rPr>
                <w:bCs/>
              </w:rPr>
              <w:lastRenderedPageBreak/>
              <w:t xml:space="preserve">development opportunities may arise.  Longer term growth will need to be considered through the Local Plan Review, but development will need to overcome landscape and ecological constraints. </w:t>
            </w:r>
          </w:p>
        </w:tc>
      </w:tr>
      <w:tr w:rsidR="008A72E5" w:rsidRPr="00AA134A" w:rsidTr="008A72E5">
        <w:trPr>
          <w:trHeight w:val="480"/>
        </w:trPr>
        <w:tc>
          <w:tcPr>
            <w:tcW w:w="2965" w:type="dxa"/>
          </w:tcPr>
          <w:p w:rsidR="008A72E5" w:rsidRPr="00AA134A" w:rsidRDefault="008A72E5" w:rsidP="008A72E5">
            <w:pPr>
              <w:tabs>
                <w:tab w:val="left" w:pos="12067"/>
                <w:tab w:val="left" w:pos="12847"/>
              </w:tabs>
              <w:rPr>
                <w:b/>
                <w:bCs/>
              </w:rPr>
            </w:pPr>
            <w:r w:rsidRPr="00AA134A">
              <w:rPr>
                <w:b/>
                <w:bCs/>
              </w:rPr>
              <w:lastRenderedPageBreak/>
              <w:t xml:space="preserve">Paignton </w:t>
            </w:r>
            <w:r>
              <w:rPr>
                <w:b/>
                <w:bCs/>
              </w:rPr>
              <w:t xml:space="preserve">Sub </w:t>
            </w:r>
            <w:r w:rsidRPr="00AA134A">
              <w:rPr>
                <w:b/>
                <w:bCs/>
              </w:rPr>
              <w:t>Total</w:t>
            </w:r>
          </w:p>
        </w:tc>
        <w:tc>
          <w:tcPr>
            <w:tcW w:w="1620" w:type="dxa"/>
            <w:hideMark/>
          </w:tcPr>
          <w:p w:rsidR="008A72E5" w:rsidRPr="00AA134A" w:rsidRDefault="000365F5" w:rsidP="008A72E5">
            <w:pPr>
              <w:rPr>
                <w:b/>
                <w:bCs/>
              </w:rPr>
            </w:pPr>
            <w:r>
              <w:rPr>
                <w:b/>
                <w:bCs/>
              </w:rPr>
              <w:t>38,998</w:t>
            </w:r>
          </w:p>
        </w:tc>
        <w:tc>
          <w:tcPr>
            <w:tcW w:w="1800" w:type="dxa"/>
            <w:noWrap/>
            <w:hideMark/>
          </w:tcPr>
          <w:p w:rsidR="008A72E5" w:rsidRPr="00D61911" w:rsidRDefault="008A72E5" w:rsidP="008A72E5">
            <w:pPr>
              <w:rPr>
                <w:b/>
                <w:bCs/>
              </w:rPr>
            </w:pPr>
            <w:r w:rsidRPr="00D61911">
              <w:rPr>
                <w:b/>
                <w:bCs/>
              </w:rPr>
              <w:t>10</w:t>
            </w:r>
            <w:r>
              <w:rPr>
                <w:b/>
                <w:bCs/>
              </w:rPr>
              <w:t>30</w:t>
            </w:r>
          </w:p>
        </w:tc>
        <w:tc>
          <w:tcPr>
            <w:tcW w:w="1440" w:type="dxa"/>
          </w:tcPr>
          <w:p w:rsidR="008A72E5" w:rsidRPr="00AA134A" w:rsidRDefault="008A72E5" w:rsidP="008A72E5">
            <w:pPr>
              <w:rPr>
                <w:b/>
                <w:bCs/>
              </w:rPr>
            </w:pPr>
            <w:r>
              <w:rPr>
                <w:b/>
                <w:bCs/>
              </w:rPr>
              <w:t>2195</w:t>
            </w:r>
          </w:p>
        </w:tc>
        <w:tc>
          <w:tcPr>
            <w:tcW w:w="6570" w:type="dxa"/>
            <w:noWrap/>
            <w:hideMark/>
          </w:tcPr>
          <w:p w:rsidR="008A72E5" w:rsidRPr="00D61911" w:rsidRDefault="008A72E5" w:rsidP="008A72E5">
            <w:pPr>
              <w:rPr>
                <w:bCs/>
              </w:rPr>
            </w:pPr>
            <w:r w:rsidRPr="00D61911">
              <w:rPr>
                <w:bCs/>
              </w:rPr>
              <w:t xml:space="preserve">Note that this area includes Churston with Galmpton.  The </w:t>
            </w:r>
            <w:r>
              <w:rPr>
                <w:bCs/>
              </w:rPr>
              <w:t>main areas with planning permission for housing are in the North of the Ward, which re</w:t>
            </w:r>
            <w:r w:rsidR="00803484">
              <w:rPr>
                <w:bCs/>
              </w:rPr>
              <w:t xml:space="preserve">late more closely to Paignton. </w:t>
            </w:r>
            <w:r>
              <w:rPr>
                <w:bCs/>
              </w:rPr>
              <w:t xml:space="preserve"> The south of the proposed Ward is within the Brixham Peninsula Neighbourhood Plan Area. </w:t>
            </w:r>
          </w:p>
        </w:tc>
      </w:tr>
      <w:tr w:rsidR="008A72E5" w:rsidRPr="00AA134A" w:rsidTr="00C866B5">
        <w:trPr>
          <w:trHeight w:val="402"/>
        </w:trPr>
        <w:tc>
          <w:tcPr>
            <w:tcW w:w="14395" w:type="dxa"/>
            <w:gridSpan w:val="5"/>
            <w:shd w:val="clear" w:color="auto" w:fill="BFBFBF" w:themeFill="background1" w:themeFillShade="BF"/>
          </w:tcPr>
          <w:p w:rsidR="008A72E5" w:rsidRPr="00C8597D" w:rsidRDefault="008A72E5" w:rsidP="008A72E5">
            <w:pPr>
              <w:jc w:val="both"/>
              <w:rPr>
                <w:bCs/>
              </w:rPr>
            </w:pPr>
            <w:r>
              <w:rPr>
                <w:b/>
                <w:bCs/>
              </w:rPr>
              <w:t>BRIXHAM</w:t>
            </w:r>
          </w:p>
        </w:tc>
      </w:tr>
      <w:tr w:rsidR="008A72E5" w:rsidRPr="00AA134A" w:rsidTr="008A72E5">
        <w:trPr>
          <w:trHeight w:val="600"/>
        </w:trPr>
        <w:tc>
          <w:tcPr>
            <w:tcW w:w="2965" w:type="dxa"/>
          </w:tcPr>
          <w:p w:rsidR="008A72E5" w:rsidRPr="00942D6B" w:rsidRDefault="008A72E5" w:rsidP="008A72E5">
            <w:pPr>
              <w:rPr>
                <w:b/>
              </w:rPr>
            </w:pPr>
            <w:r w:rsidRPr="00942D6B">
              <w:rPr>
                <w:b/>
              </w:rPr>
              <w:t xml:space="preserve">Furzeham with Summercombe </w:t>
            </w:r>
          </w:p>
        </w:tc>
        <w:tc>
          <w:tcPr>
            <w:tcW w:w="1620" w:type="dxa"/>
          </w:tcPr>
          <w:p w:rsidR="008A72E5" w:rsidRPr="00803484" w:rsidRDefault="00803484" w:rsidP="008A72E5">
            <w:r w:rsidRPr="00803484">
              <w:t>8,078</w:t>
            </w:r>
          </w:p>
        </w:tc>
        <w:tc>
          <w:tcPr>
            <w:tcW w:w="1800" w:type="dxa"/>
            <w:noWrap/>
          </w:tcPr>
          <w:p w:rsidR="008A72E5" w:rsidRPr="00AA134A" w:rsidRDefault="008A72E5" w:rsidP="008A72E5">
            <w:r>
              <w:t>30</w:t>
            </w:r>
          </w:p>
        </w:tc>
        <w:tc>
          <w:tcPr>
            <w:tcW w:w="1440" w:type="dxa"/>
          </w:tcPr>
          <w:p w:rsidR="008A72E5" w:rsidRPr="00AA134A" w:rsidRDefault="008A72E5" w:rsidP="008A72E5">
            <w:r>
              <w:t>64</w:t>
            </w:r>
          </w:p>
        </w:tc>
        <w:tc>
          <w:tcPr>
            <w:tcW w:w="6570" w:type="dxa"/>
            <w:noWrap/>
          </w:tcPr>
          <w:p w:rsidR="008A72E5" w:rsidRPr="00AA134A" w:rsidRDefault="008A72E5" w:rsidP="008A72E5">
            <w:r>
              <w:t xml:space="preserve">Furzeham with Summercombe is largely built up although there are some limited redevelopment and infilling opportunities. </w:t>
            </w:r>
          </w:p>
        </w:tc>
      </w:tr>
      <w:tr w:rsidR="008A72E5" w:rsidRPr="00AA134A" w:rsidTr="008A72E5">
        <w:trPr>
          <w:trHeight w:val="600"/>
        </w:trPr>
        <w:tc>
          <w:tcPr>
            <w:tcW w:w="2965" w:type="dxa"/>
          </w:tcPr>
          <w:p w:rsidR="008A72E5" w:rsidRPr="00AA134A" w:rsidRDefault="008A72E5" w:rsidP="008A72E5">
            <w:r w:rsidRPr="00AA134A">
              <w:rPr>
                <w:b/>
                <w:bCs/>
              </w:rPr>
              <w:t>St Peters with St Marys</w:t>
            </w:r>
          </w:p>
        </w:tc>
        <w:tc>
          <w:tcPr>
            <w:tcW w:w="1620" w:type="dxa"/>
          </w:tcPr>
          <w:p w:rsidR="00803484" w:rsidRDefault="00803484" w:rsidP="008A72E5">
            <w:r>
              <w:t>5,216</w:t>
            </w:r>
          </w:p>
          <w:p w:rsidR="008A72E5" w:rsidRPr="00803484" w:rsidRDefault="008A72E5" w:rsidP="00803484">
            <w:pPr>
              <w:jc w:val="center"/>
            </w:pPr>
          </w:p>
        </w:tc>
        <w:tc>
          <w:tcPr>
            <w:tcW w:w="1800" w:type="dxa"/>
            <w:noWrap/>
          </w:tcPr>
          <w:p w:rsidR="008A72E5" w:rsidRPr="00AA134A" w:rsidRDefault="008A72E5" w:rsidP="008A72E5">
            <w:r>
              <w:t>90</w:t>
            </w:r>
          </w:p>
        </w:tc>
        <w:tc>
          <w:tcPr>
            <w:tcW w:w="1440" w:type="dxa"/>
          </w:tcPr>
          <w:p w:rsidR="008A72E5" w:rsidRPr="00AA134A" w:rsidRDefault="008A72E5" w:rsidP="008A72E5">
            <w:r>
              <w:t>192</w:t>
            </w:r>
          </w:p>
        </w:tc>
        <w:tc>
          <w:tcPr>
            <w:tcW w:w="6570" w:type="dxa"/>
            <w:noWrap/>
          </w:tcPr>
          <w:p w:rsidR="008A72E5" w:rsidRPr="00AA134A" w:rsidRDefault="008A72E5" w:rsidP="008A72E5">
            <w:r>
              <w:t xml:space="preserve">The largest development areas are the completion of Wall Park and Sharkham Village.  In the longer term there is scape for limited additional housing through urban regeneration of the town centre. However the remaining green areas have a high level of landscape and biodiversity protection. </w:t>
            </w:r>
          </w:p>
        </w:tc>
      </w:tr>
      <w:tr w:rsidR="008A72E5" w:rsidRPr="00AA134A" w:rsidTr="008A72E5">
        <w:trPr>
          <w:trHeight w:val="512"/>
        </w:trPr>
        <w:tc>
          <w:tcPr>
            <w:tcW w:w="2965" w:type="dxa"/>
          </w:tcPr>
          <w:p w:rsidR="008A72E5" w:rsidRPr="00AA134A" w:rsidRDefault="008A72E5" w:rsidP="008A72E5">
            <w:pPr>
              <w:rPr>
                <w:b/>
                <w:bCs/>
              </w:rPr>
            </w:pPr>
            <w:r>
              <w:rPr>
                <w:b/>
                <w:bCs/>
              </w:rPr>
              <w:t xml:space="preserve">Brixham Sub Total </w:t>
            </w:r>
          </w:p>
        </w:tc>
        <w:tc>
          <w:tcPr>
            <w:tcW w:w="1620" w:type="dxa"/>
          </w:tcPr>
          <w:p w:rsidR="0005521E" w:rsidRPr="00AA134A" w:rsidRDefault="0005521E" w:rsidP="008A72E5">
            <w:pPr>
              <w:rPr>
                <w:b/>
                <w:bCs/>
              </w:rPr>
            </w:pPr>
            <w:r>
              <w:rPr>
                <w:b/>
                <w:bCs/>
              </w:rPr>
              <w:t>13,294</w:t>
            </w:r>
          </w:p>
        </w:tc>
        <w:tc>
          <w:tcPr>
            <w:tcW w:w="1800" w:type="dxa"/>
            <w:noWrap/>
            <w:hideMark/>
          </w:tcPr>
          <w:p w:rsidR="008A72E5" w:rsidRPr="00AA134A" w:rsidRDefault="008A72E5" w:rsidP="008A72E5">
            <w:pPr>
              <w:rPr>
                <w:b/>
                <w:bCs/>
              </w:rPr>
            </w:pPr>
            <w:r>
              <w:rPr>
                <w:b/>
                <w:bCs/>
              </w:rPr>
              <w:t>120</w:t>
            </w:r>
          </w:p>
        </w:tc>
        <w:tc>
          <w:tcPr>
            <w:tcW w:w="1440" w:type="dxa"/>
          </w:tcPr>
          <w:p w:rsidR="008A72E5" w:rsidRPr="00AA134A" w:rsidRDefault="008A72E5" w:rsidP="008A72E5">
            <w:pPr>
              <w:rPr>
                <w:b/>
                <w:bCs/>
              </w:rPr>
            </w:pPr>
            <w:r>
              <w:rPr>
                <w:b/>
                <w:bCs/>
              </w:rPr>
              <w:t>256</w:t>
            </w:r>
          </w:p>
        </w:tc>
        <w:tc>
          <w:tcPr>
            <w:tcW w:w="6570" w:type="dxa"/>
            <w:noWrap/>
            <w:hideMark/>
          </w:tcPr>
          <w:p w:rsidR="008A72E5" w:rsidRPr="00AA134A" w:rsidRDefault="008A72E5" w:rsidP="008A72E5">
            <w:pPr>
              <w:rPr>
                <w:b/>
                <w:bCs/>
              </w:rPr>
            </w:pPr>
          </w:p>
        </w:tc>
      </w:tr>
      <w:tr w:rsidR="008A72E5" w:rsidRPr="00AA134A" w:rsidTr="008A72E5">
        <w:trPr>
          <w:trHeight w:val="512"/>
        </w:trPr>
        <w:tc>
          <w:tcPr>
            <w:tcW w:w="2965" w:type="dxa"/>
          </w:tcPr>
          <w:p w:rsidR="008A72E5" w:rsidRPr="00AA134A" w:rsidRDefault="008A72E5" w:rsidP="008A72E5">
            <w:pPr>
              <w:rPr>
                <w:b/>
                <w:bCs/>
              </w:rPr>
            </w:pPr>
            <w:r>
              <w:rPr>
                <w:b/>
                <w:bCs/>
              </w:rPr>
              <w:t xml:space="preserve">Torbay Total </w:t>
            </w:r>
          </w:p>
        </w:tc>
        <w:tc>
          <w:tcPr>
            <w:tcW w:w="1620" w:type="dxa"/>
          </w:tcPr>
          <w:p w:rsidR="008A72E5" w:rsidRPr="00AA134A" w:rsidRDefault="00E02BEA" w:rsidP="008A72E5">
            <w:pPr>
              <w:rPr>
                <w:b/>
                <w:bCs/>
              </w:rPr>
            </w:pPr>
            <w:r>
              <w:rPr>
                <w:b/>
                <w:bCs/>
              </w:rPr>
              <w:t>101,223</w:t>
            </w:r>
          </w:p>
        </w:tc>
        <w:tc>
          <w:tcPr>
            <w:tcW w:w="1800" w:type="dxa"/>
            <w:noWrap/>
          </w:tcPr>
          <w:p w:rsidR="008A72E5" w:rsidRDefault="008A72E5" w:rsidP="008A72E5">
            <w:pPr>
              <w:rPr>
                <w:b/>
                <w:bCs/>
              </w:rPr>
            </w:pPr>
            <w:r>
              <w:rPr>
                <w:b/>
                <w:bCs/>
              </w:rPr>
              <w:t>2,230</w:t>
            </w:r>
          </w:p>
        </w:tc>
        <w:tc>
          <w:tcPr>
            <w:tcW w:w="1440" w:type="dxa"/>
          </w:tcPr>
          <w:p w:rsidR="008A72E5" w:rsidRPr="00AA134A" w:rsidRDefault="008A72E5" w:rsidP="008A72E5">
            <w:pPr>
              <w:rPr>
                <w:b/>
                <w:bCs/>
              </w:rPr>
            </w:pPr>
            <w:r>
              <w:rPr>
                <w:b/>
                <w:bCs/>
              </w:rPr>
              <w:t>4,753</w:t>
            </w:r>
          </w:p>
        </w:tc>
        <w:tc>
          <w:tcPr>
            <w:tcW w:w="6570" w:type="dxa"/>
            <w:noWrap/>
          </w:tcPr>
          <w:p w:rsidR="008A72E5" w:rsidRPr="008B21E9" w:rsidRDefault="008A72E5" w:rsidP="008A72E5">
            <w:pPr>
              <w:rPr>
                <w:bCs/>
              </w:rPr>
            </w:pPr>
            <w:r w:rsidRPr="008B21E9">
              <w:rPr>
                <w:bCs/>
              </w:rPr>
              <w:t xml:space="preserve">Please see the caveats above. It is noted that this figure is slightly higher than the 2016 based population projections. </w:t>
            </w:r>
          </w:p>
        </w:tc>
      </w:tr>
    </w:tbl>
    <w:p w:rsidR="0009117E" w:rsidRDefault="00A16429" w:rsidP="00A16429">
      <w:r>
        <w:t>*For simplicity the number of homes is multiplied by the projected average household size of 2.13 persons. This does not take into accou</w:t>
      </w:r>
      <w:r w:rsidR="008B21E9">
        <w:t xml:space="preserve">nt institutional population or </w:t>
      </w:r>
      <w:r>
        <w:t xml:space="preserve">differences between household sizes in different areas.  </w:t>
      </w:r>
      <w:r w:rsidR="00075D5C">
        <w:t xml:space="preserve"> Numbers may not add up due to rounding. </w:t>
      </w:r>
    </w:p>
    <w:p w:rsidR="00EA4712" w:rsidRDefault="00E8469D" w:rsidP="00A16429">
      <w:r>
        <w:t>February 2019</w:t>
      </w:r>
    </w:p>
    <w:sectPr w:rsidR="00EA4712" w:rsidSect="0093315C">
      <w:footerReference w:type="default" r:id="rId8"/>
      <w:pgSz w:w="15840" w:h="12240" w:orient="landscape"/>
      <w:pgMar w:top="720" w:right="720" w:bottom="720" w:left="720" w:header="720" w:footer="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00" w:rsidRDefault="00E36200" w:rsidP="006C3B50">
      <w:pPr>
        <w:spacing w:after="0" w:line="240" w:lineRule="auto"/>
      </w:pPr>
      <w:r>
        <w:separator/>
      </w:r>
    </w:p>
  </w:endnote>
  <w:endnote w:type="continuationSeparator" w:id="0">
    <w:p w:rsidR="00E36200" w:rsidRDefault="00E36200" w:rsidP="006C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9D" w:rsidRPr="00E8469D" w:rsidRDefault="00E8469D">
    <w:pPr>
      <w:pStyle w:val="Footer"/>
      <w:pBdr>
        <w:top w:val="thinThickSmallGap" w:sz="24" w:space="1" w:color="622423" w:themeColor="accent2" w:themeShade="7F"/>
      </w:pBdr>
      <w:rPr>
        <w:rFonts w:ascii="Arial" w:hAnsi="Arial" w:cs="Arial"/>
        <w:sz w:val="18"/>
        <w:szCs w:val="18"/>
      </w:rPr>
    </w:pPr>
    <w:r w:rsidRPr="00E8469D">
      <w:rPr>
        <w:rFonts w:ascii="Arial" w:hAnsi="Arial" w:cs="Arial"/>
        <w:sz w:val="18"/>
        <w:szCs w:val="18"/>
      </w:rPr>
      <w:t>Torbay’s Likely Population Growth 2019-24</w:t>
    </w:r>
    <w:r w:rsidRPr="00E8469D">
      <w:rPr>
        <w:rFonts w:ascii="Arial" w:hAnsi="Arial" w:cs="Arial"/>
        <w:sz w:val="18"/>
        <w:szCs w:val="18"/>
      </w:rPr>
      <w:ptab w:relativeTo="margin" w:alignment="right" w:leader="none"/>
    </w:r>
    <w:r w:rsidRPr="00E8469D">
      <w:rPr>
        <w:rFonts w:ascii="Arial" w:hAnsi="Arial" w:cs="Arial"/>
        <w:sz w:val="18"/>
        <w:szCs w:val="18"/>
      </w:rPr>
      <w:t xml:space="preserve">Page </w:t>
    </w:r>
    <w:r w:rsidRPr="00E8469D">
      <w:rPr>
        <w:rFonts w:ascii="Arial" w:hAnsi="Arial" w:cs="Arial"/>
        <w:sz w:val="18"/>
        <w:szCs w:val="18"/>
      </w:rPr>
      <w:fldChar w:fldCharType="begin"/>
    </w:r>
    <w:r w:rsidRPr="00E8469D">
      <w:rPr>
        <w:rFonts w:ascii="Arial" w:hAnsi="Arial" w:cs="Arial"/>
        <w:sz w:val="18"/>
        <w:szCs w:val="18"/>
      </w:rPr>
      <w:instrText xml:space="preserve"> PAGE   \* MERGEFORMAT </w:instrText>
    </w:r>
    <w:r w:rsidRPr="00E8469D">
      <w:rPr>
        <w:rFonts w:ascii="Arial" w:hAnsi="Arial" w:cs="Arial"/>
        <w:sz w:val="18"/>
        <w:szCs w:val="18"/>
      </w:rPr>
      <w:fldChar w:fldCharType="separate"/>
    </w:r>
    <w:r w:rsidR="00ED25C2">
      <w:rPr>
        <w:rFonts w:ascii="Arial" w:hAnsi="Arial" w:cs="Arial"/>
        <w:noProof/>
        <w:sz w:val="18"/>
        <w:szCs w:val="18"/>
      </w:rPr>
      <w:t>1</w:t>
    </w:r>
    <w:r w:rsidRPr="00E8469D">
      <w:rPr>
        <w:rFonts w:ascii="Arial" w:hAnsi="Arial" w:cs="Arial"/>
        <w:noProof/>
        <w:sz w:val="18"/>
        <w:szCs w:val="18"/>
      </w:rPr>
      <w:fldChar w:fldCharType="end"/>
    </w:r>
  </w:p>
  <w:p w:rsidR="00FA74E7" w:rsidRPr="00E8469D" w:rsidRDefault="00FA74E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00" w:rsidRDefault="00E36200" w:rsidP="006C3B50">
      <w:pPr>
        <w:spacing w:after="0" w:line="240" w:lineRule="auto"/>
      </w:pPr>
      <w:r>
        <w:separator/>
      </w:r>
    </w:p>
  </w:footnote>
  <w:footnote w:type="continuationSeparator" w:id="0">
    <w:p w:rsidR="00E36200" w:rsidRDefault="00E36200" w:rsidP="006C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6375"/>
    <w:multiLevelType w:val="hybridMultilevel"/>
    <w:tmpl w:val="D28AAD5E"/>
    <w:lvl w:ilvl="0" w:tplc="C17663B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64B7E"/>
    <w:multiLevelType w:val="hybridMultilevel"/>
    <w:tmpl w:val="7F9879DC"/>
    <w:lvl w:ilvl="0" w:tplc="12F0C6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D0BFF"/>
    <w:multiLevelType w:val="hybridMultilevel"/>
    <w:tmpl w:val="72D01AA4"/>
    <w:lvl w:ilvl="0" w:tplc="FC18E0F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27"/>
    <w:rsid w:val="00025F09"/>
    <w:rsid w:val="000365F5"/>
    <w:rsid w:val="0005521E"/>
    <w:rsid w:val="000554F6"/>
    <w:rsid w:val="00075D5C"/>
    <w:rsid w:val="0008640C"/>
    <w:rsid w:val="0009117E"/>
    <w:rsid w:val="000F50B0"/>
    <w:rsid w:val="0012114C"/>
    <w:rsid w:val="001269CA"/>
    <w:rsid w:val="00157993"/>
    <w:rsid w:val="00173E38"/>
    <w:rsid w:val="00183DB8"/>
    <w:rsid w:val="001A040E"/>
    <w:rsid w:val="001C66F0"/>
    <w:rsid w:val="001C7307"/>
    <w:rsid w:val="001D6BF9"/>
    <w:rsid w:val="00235AA7"/>
    <w:rsid w:val="00281AFA"/>
    <w:rsid w:val="00290299"/>
    <w:rsid w:val="00296453"/>
    <w:rsid w:val="00301145"/>
    <w:rsid w:val="00302677"/>
    <w:rsid w:val="00340A87"/>
    <w:rsid w:val="00367E80"/>
    <w:rsid w:val="00380426"/>
    <w:rsid w:val="003952E9"/>
    <w:rsid w:val="003B63BB"/>
    <w:rsid w:val="003C10F9"/>
    <w:rsid w:val="00417C4B"/>
    <w:rsid w:val="004313B9"/>
    <w:rsid w:val="00474132"/>
    <w:rsid w:val="004935FA"/>
    <w:rsid w:val="00525ACC"/>
    <w:rsid w:val="00615C41"/>
    <w:rsid w:val="0062155D"/>
    <w:rsid w:val="006636DA"/>
    <w:rsid w:val="006831CD"/>
    <w:rsid w:val="00686DAF"/>
    <w:rsid w:val="006B126B"/>
    <w:rsid w:val="006C3B50"/>
    <w:rsid w:val="006C4223"/>
    <w:rsid w:val="006D05B7"/>
    <w:rsid w:val="00751D05"/>
    <w:rsid w:val="007D3C37"/>
    <w:rsid w:val="007D6C53"/>
    <w:rsid w:val="007F37D1"/>
    <w:rsid w:val="00803484"/>
    <w:rsid w:val="00847D6D"/>
    <w:rsid w:val="0085170B"/>
    <w:rsid w:val="00856D0D"/>
    <w:rsid w:val="008A0593"/>
    <w:rsid w:val="008A0C65"/>
    <w:rsid w:val="008A4DF4"/>
    <w:rsid w:val="008A72E5"/>
    <w:rsid w:val="008B21E9"/>
    <w:rsid w:val="008C012A"/>
    <w:rsid w:val="008C14A6"/>
    <w:rsid w:val="008C2E9F"/>
    <w:rsid w:val="008D25A6"/>
    <w:rsid w:val="008F5166"/>
    <w:rsid w:val="00925AD0"/>
    <w:rsid w:val="0093315C"/>
    <w:rsid w:val="00942D6B"/>
    <w:rsid w:val="00953125"/>
    <w:rsid w:val="00954913"/>
    <w:rsid w:val="009A478F"/>
    <w:rsid w:val="009E2591"/>
    <w:rsid w:val="009F76BE"/>
    <w:rsid w:val="00A16429"/>
    <w:rsid w:val="00A20214"/>
    <w:rsid w:val="00A617FA"/>
    <w:rsid w:val="00A71D1A"/>
    <w:rsid w:val="00AA134A"/>
    <w:rsid w:val="00AD1E89"/>
    <w:rsid w:val="00AE5C9E"/>
    <w:rsid w:val="00AF52FD"/>
    <w:rsid w:val="00B158DC"/>
    <w:rsid w:val="00B747BB"/>
    <w:rsid w:val="00C01200"/>
    <w:rsid w:val="00C05DCB"/>
    <w:rsid w:val="00C56277"/>
    <w:rsid w:val="00C62FFF"/>
    <w:rsid w:val="00C7746A"/>
    <w:rsid w:val="00C8597D"/>
    <w:rsid w:val="00CA1DD2"/>
    <w:rsid w:val="00CB1CC7"/>
    <w:rsid w:val="00CB7AE3"/>
    <w:rsid w:val="00D243F8"/>
    <w:rsid w:val="00D41D6B"/>
    <w:rsid w:val="00D61911"/>
    <w:rsid w:val="00DF192E"/>
    <w:rsid w:val="00E02BEA"/>
    <w:rsid w:val="00E0436D"/>
    <w:rsid w:val="00E36200"/>
    <w:rsid w:val="00E417F7"/>
    <w:rsid w:val="00E7439E"/>
    <w:rsid w:val="00E77F4D"/>
    <w:rsid w:val="00E8469D"/>
    <w:rsid w:val="00EA4712"/>
    <w:rsid w:val="00ED1A25"/>
    <w:rsid w:val="00ED25C2"/>
    <w:rsid w:val="00ED3D31"/>
    <w:rsid w:val="00ED756E"/>
    <w:rsid w:val="00F041F8"/>
    <w:rsid w:val="00F20380"/>
    <w:rsid w:val="00F501E1"/>
    <w:rsid w:val="00F561D7"/>
    <w:rsid w:val="00FA74E7"/>
    <w:rsid w:val="00FB7F27"/>
    <w:rsid w:val="00FC7AFB"/>
    <w:rsid w:val="00FD278B"/>
    <w:rsid w:val="00FE40A0"/>
    <w:rsid w:val="00FE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42820-D758-4E7D-A72E-BE013F38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34A"/>
    <w:rPr>
      <w:color w:val="0563C1"/>
      <w:u w:val="single"/>
    </w:rPr>
  </w:style>
  <w:style w:type="character" w:styleId="FollowedHyperlink">
    <w:name w:val="FollowedHyperlink"/>
    <w:basedOn w:val="DefaultParagraphFont"/>
    <w:uiPriority w:val="99"/>
    <w:semiHidden/>
    <w:unhideWhenUsed/>
    <w:rsid w:val="00AA134A"/>
    <w:rPr>
      <w:color w:val="954F72"/>
      <w:u w:val="single"/>
    </w:rPr>
  </w:style>
  <w:style w:type="paragraph" w:customStyle="1" w:styleId="xl67">
    <w:name w:val="xl67"/>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68">
    <w:name w:val="xl68"/>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9">
    <w:name w:val="xl69"/>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0">
    <w:name w:val="xl70"/>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1">
    <w:name w:val="xl71"/>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2">
    <w:name w:val="xl72"/>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3">
    <w:name w:val="xl73"/>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4">
    <w:name w:val="xl74"/>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808080"/>
      <w:sz w:val="20"/>
      <w:szCs w:val="20"/>
      <w:lang w:val="en-US"/>
    </w:rPr>
  </w:style>
  <w:style w:type="paragraph" w:customStyle="1" w:styleId="xl75">
    <w:name w:val="xl75"/>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76">
    <w:name w:val="xl76"/>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7">
    <w:name w:val="xl77"/>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78">
    <w:name w:val="xl78"/>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9">
    <w:name w:val="xl79"/>
    <w:basedOn w:val="Normal"/>
    <w:rsid w:val="00AA1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0">
    <w:name w:val="xl80"/>
    <w:basedOn w:val="Normal"/>
    <w:rsid w:val="00AA134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1">
    <w:name w:val="xl81"/>
    <w:basedOn w:val="Normal"/>
    <w:rsid w:val="00AA1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2">
    <w:name w:val="xl82"/>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83">
    <w:name w:val="xl83"/>
    <w:basedOn w:val="Normal"/>
    <w:rsid w:val="00AA1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84">
    <w:name w:val="xl84"/>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5">
    <w:name w:val="xl85"/>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86">
    <w:name w:val="xl86"/>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87">
    <w:name w:val="xl87"/>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8">
    <w:name w:val="xl88"/>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89">
    <w:name w:val="xl89"/>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90">
    <w:name w:val="xl90"/>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91">
    <w:name w:val="xl91"/>
    <w:basedOn w:val="Normal"/>
    <w:rsid w:val="00AA13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92">
    <w:name w:val="xl92"/>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93">
    <w:name w:val="xl93"/>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94">
    <w:name w:val="xl94"/>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95">
    <w:name w:val="xl95"/>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96">
    <w:name w:val="xl96"/>
    <w:basedOn w:val="Normal"/>
    <w:rsid w:val="00AA1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color w:val="808080"/>
      <w:sz w:val="20"/>
      <w:szCs w:val="20"/>
      <w:lang w:val="en-US"/>
    </w:rPr>
  </w:style>
  <w:style w:type="paragraph" w:customStyle="1" w:styleId="xl97">
    <w:name w:val="xl97"/>
    <w:basedOn w:val="Normal"/>
    <w:rsid w:val="00AA1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C00000"/>
      <w:sz w:val="20"/>
      <w:szCs w:val="20"/>
      <w:lang w:val="en-US"/>
    </w:rPr>
  </w:style>
  <w:style w:type="paragraph" w:customStyle="1" w:styleId="xl98">
    <w:name w:val="xl98"/>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99">
    <w:name w:val="xl99"/>
    <w:basedOn w:val="Normal"/>
    <w:rsid w:val="00AA134A"/>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pPr>
    <w:rPr>
      <w:rFonts w:ascii="Arial" w:eastAsia="Times New Roman" w:hAnsi="Arial" w:cs="Arial"/>
      <w:b/>
      <w:bCs/>
      <w:sz w:val="20"/>
      <w:szCs w:val="20"/>
      <w:lang w:val="en-US"/>
    </w:rPr>
  </w:style>
  <w:style w:type="paragraph" w:customStyle="1" w:styleId="xl100">
    <w:name w:val="xl100"/>
    <w:basedOn w:val="Normal"/>
    <w:rsid w:val="00AA134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01">
    <w:name w:val="xl101"/>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2">
    <w:name w:val="xl102"/>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800080"/>
      <w:sz w:val="20"/>
      <w:szCs w:val="20"/>
      <w:lang w:val="en-US"/>
    </w:rPr>
  </w:style>
  <w:style w:type="paragraph" w:customStyle="1" w:styleId="xl103">
    <w:name w:val="xl103"/>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04">
    <w:name w:val="xl104"/>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C00000"/>
      <w:sz w:val="20"/>
      <w:szCs w:val="20"/>
      <w:lang w:val="en-US"/>
    </w:rPr>
  </w:style>
  <w:style w:type="paragraph" w:customStyle="1" w:styleId="xl105">
    <w:name w:val="xl105"/>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06">
    <w:name w:val="xl106"/>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20"/>
      <w:szCs w:val="20"/>
      <w:lang w:val="en-US"/>
    </w:rPr>
  </w:style>
  <w:style w:type="paragraph" w:customStyle="1" w:styleId="xl107">
    <w:name w:val="xl107"/>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08">
    <w:name w:val="xl108"/>
    <w:basedOn w:val="Normal"/>
    <w:rsid w:val="00AA134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09">
    <w:name w:val="xl109"/>
    <w:basedOn w:val="Normal"/>
    <w:rsid w:val="00AA134A"/>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10">
    <w:name w:val="xl110"/>
    <w:basedOn w:val="Normal"/>
    <w:rsid w:val="00AA134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11">
    <w:name w:val="xl111"/>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12">
    <w:name w:val="xl112"/>
    <w:basedOn w:val="Normal"/>
    <w:rsid w:val="00AA134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C00000"/>
      <w:sz w:val="20"/>
      <w:szCs w:val="20"/>
      <w:lang w:val="en-US"/>
    </w:rPr>
  </w:style>
  <w:style w:type="paragraph" w:customStyle="1" w:styleId="xl113">
    <w:name w:val="xl113"/>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4">
    <w:name w:val="xl114"/>
    <w:basedOn w:val="Normal"/>
    <w:rsid w:val="00AA1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FF0000"/>
      <w:sz w:val="20"/>
      <w:szCs w:val="20"/>
      <w:lang w:val="en-US"/>
    </w:rPr>
  </w:style>
  <w:style w:type="paragraph" w:customStyle="1" w:styleId="xl115">
    <w:name w:val="xl115"/>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16">
    <w:name w:val="xl116"/>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17">
    <w:name w:val="xl117"/>
    <w:basedOn w:val="Normal"/>
    <w:rsid w:val="00AA13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18">
    <w:name w:val="xl118"/>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19">
    <w:name w:val="xl119"/>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20">
    <w:name w:val="xl120"/>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21">
    <w:name w:val="xl121"/>
    <w:basedOn w:val="Normal"/>
    <w:rsid w:val="00AA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styleId="ListParagraph">
    <w:name w:val="List Paragraph"/>
    <w:basedOn w:val="Normal"/>
    <w:uiPriority w:val="34"/>
    <w:qFormat/>
    <w:rsid w:val="003B63BB"/>
    <w:pPr>
      <w:ind w:left="720"/>
      <w:contextualSpacing/>
    </w:pPr>
  </w:style>
  <w:style w:type="paragraph" w:styleId="FootnoteText">
    <w:name w:val="footnote text"/>
    <w:basedOn w:val="Normal"/>
    <w:link w:val="FootnoteTextChar"/>
    <w:uiPriority w:val="99"/>
    <w:semiHidden/>
    <w:unhideWhenUsed/>
    <w:rsid w:val="006C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50"/>
    <w:rPr>
      <w:sz w:val="20"/>
      <w:szCs w:val="20"/>
      <w:lang w:val="en-GB"/>
    </w:rPr>
  </w:style>
  <w:style w:type="character" w:styleId="FootnoteReference">
    <w:name w:val="footnote reference"/>
    <w:basedOn w:val="DefaultParagraphFont"/>
    <w:uiPriority w:val="99"/>
    <w:semiHidden/>
    <w:unhideWhenUsed/>
    <w:rsid w:val="006C3B50"/>
    <w:rPr>
      <w:vertAlign w:val="superscript"/>
    </w:rPr>
  </w:style>
  <w:style w:type="paragraph" w:styleId="Header">
    <w:name w:val="header"/>
    <w:basedOn w:val="Normal"/>
    <w:link w:val="HeaderChar"/>
    <w:uiPriority w:val="99"/>
    <w:unhideWhenUsed/>
    <w:rsid w:val="00FA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4E7"/>
    <w:rPr>
      <w:lang w:val="en-GB"/>
    </w:rPr>
  </w:style>
  <w:style w:type="paragraph" w:styleId="Footer">
    <w:name w:val="footer"/>
    <w:basedOn w:val="Normal"/>
    <w:link w:val="FooterChar"/>
    <w:uiPriority w:val="99"/>
    <w:unhideWhenUsed/>
    <w:rsid w:val="00FA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4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9923">
      <w:bodyDiv w:val="1"/>
      <w:marLeft w:val="0"/>
      <w:marRight w:val="0"/>
      <w:marTop w:val="0"/>
      <w:marBottom w:val="0"/>
      <w:divBdr>
        <w:top w:val="none" w:sz="0" w:space="0" w:color="auto"/>
        <w:left w:val="none" w:sz="0" w:space="0" w:color="auto"/>
        <w:bottom w:val="none" w:sz="0" w:space="0" w:color="auto"/>
        <w:right w:val="none" w:sz="0" w:space="0" w:color="auto"/>
      </w:divBdr>
    </w:div>
    <w:div w:id="1130562162">
      <w:bodyDiv w:val="1"/>
      <w:marLeft w:val="0"/>
      <w:marRight w:val="0"/>
      <w:marTop w:val="0"/>
      <w:marBottom w:val="0"/>
      <w:divBdr>
        <w:top w:val="none" w:sz="0" w:space="0" w:color="auto"/>
        <w:left w:val="none" w:sz="0" w:space="0" w:color="auto"/>
        <w:bottom w:val="none" w:sz="0" w:space="0" w:color="auto"/>
        <w:right w:val="none" w:sz="0" w:space="0" w:color="auto"/>
      </w:divBdr>
    </w:div>
    <w:div w:id="1710063546">
      <w:bodyDiv w:val="1"/>
      <w:marLeft w:val="0"/>
      <w:marRight w:val="0"/>
      <w:marTop w:val="0"/>
      <w:marBottom w:val="0"/>
      <w:divBdr>
        <w:top w:val="none" w:sz="0" w:space="0" w:color="auto"/>
        <w:left w:val="none" w:sz="0" w:space="0" w:color="auto"/>
        <w:bottom w:val="none" w:sz="0" w:space="0" w:color="auto"/>
        <w:right w:val="none" w:sz="0" w:space="0" w:color="auto"/>
      </w:divBdr>
    </w:div>
    <w:div w:id="20485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29F5-F855-4C90-8B6C-EB0DAE42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Weymouth, Maria</cp:lastModifiedBy>
  <cp:revision>2</cp:revision>
  <cp:lastPrinted>2019-02-04T14:20:00Z</cp:lastPrinted>
  <dcterms:created xsi:type="dcterms:W3CDTF">2019-02-12T11:40:00Z</dcterms:created>
  <dcterms:modified xsi:type="dcterms:W3CDTF">2019-02-12T11:40:00Z</dcterms:modified>
</cp:coreProperties>
</file>