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Borders>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4678"/>
        <w:gridCol w:w="1417"/>
        <w:gridCol w:w="3686"/>
      </w:tblGrid>
      <w:tr w:rsidR="00995205" w:rsidRPr="00E80BFC">
        <w:trPr>
          <w:cantSplit/>
          <w:trHeight w:hRule="exact" w:val="340"/>
        </w:trPr>
        <w:tc>
          <w:tcPr>
            <w:tcW w:w="4678" w:type="dxa"/>
            <w:vMerge w:val="restart"/>
            <w:tcBorders>
              <w:top w:val="nil"/>
              <w:left w:val="nil"/>
              <w:bottom w:val="nil"/>
              <w:right w:val="nil"/>
            </w:tcBorders>
          </w:tcPr>
          <w:p w:rsidR="00995205" w:rsidRPr="00E80BFC" w:rsidRDefault="00995205" w:rsidP="00D42F92">
            <w:pPr>
              <w:rPr>
                <w:sz w:val="22"/>
                <w:szCs w:val="22"/>
              </w:rPr>
            </w:pPr>
            <w:bookmarkStart w:id="0" w:name="_GoBack"/>
            <w:bookmarkEnd w:id="0"/>
          </w:p>
        </w:tc>
        <w:tc>
          <w:tcPr>
            <w:tcW w:w="5103" w:type="dxa"/>
            <w:gridSpan w:val="2"/>
            <w:tcBorders>
              <w:top w:val="nil"/>
              <w:left w:val="nil"/>
              <w:bottom w:val="nil"/>
            </w:tcBorders>
          </w:tcPr>
          <w:p w:rsidR="00995205" w:rsidRPr="00E80BFC" w:rsidRDefault="00995205" w:rsidP="00AD1578">
            <w:pPr>
              <w:rPr>
                <w:sz w:val="22"/>
                <w:szCs w:val="22"/>
              </w:rPr>
            </w:pPr>
            <w:r w:rsidRPr="00E80BFC">
              <w:rPr>
                <w:b/>
                <w:sz w:val="22"/>
                <w:szCs w:val="22"/>
              </w:rPr>
              <w:t>Please reply to:</w:t>
            </w:r>
            <w:r w:rsidRPr="00E80BFC">
              <w:rPr>
                <w:sz w:val="22"/>
                <w:szCs w:val="22"/>
              </w:rPr>
              <w:t xml:space="preserve"> </w:t>
            </w:r>
            <w:r w:rsidR="00AD1578" w:rsidRPr="00E80BFC">
              <w:rPr>
                <w:sz w:val="22"/>
                <w:szCs w:val="22"/>
              </w:rPr>
              <w:t>Gary O’Shea</w:t>
            </w:r>
          </w:p>
        </w:tc>
      </w:tr>
      <w:tr w:rsidR="00995205" w:rsidRPr="00E80BFC">
        <w:trPr>
          <w:cantSplit/>
          <w:trHeight w:hRule="exact" w:val="340"/>
        </w:trPr>
        <w:tc>
          <w:tcPr>
            <w:tcW w:w="4678" w:type="dxa"/>
            <w:vMerge/>
            <w:tcBorders>
              <w:top w:val="nil"/>
              <w:left w:val="nil"/>
              <w:bottom w:val="nil"/>
              <w:right w:val="nil"/>
            </w:tcBorders>
          </w:tcPr>
          <w:p w:rsidR="00995205" w:rsidRPr="00E80BFC" w:rsidRDefault="00995205" w:rsidP="00D42F92">
            <w:pPr>
              <w:rPr>
                <w:sz w:val="22"/>
                <w:szCs w:val="22"/>
              </w:rPr>
            </w:pPr>
          </w:p>
        </w:tc>
        <w:tc>
          <w:tcPr>
            <w:tcW w:w="5103" w:type="dxa"/>
            <w:gridSpan w:val="2"/>
            <w:tcBorders>
              <w:top w:val="nil"/>
              <w:left w:val="nil"/>
              <w:bottom w:val="nil"/>
            </w:tcBorders>
          </w:tcPr>
          <w:p w:rsidR="00995205" w:rsidRPr="00E80BFC" w:rsidRDefault="00AD1578" w:rsidP="00D42F92">
            <w:pPr>
              <w:rPr>
                <w:sz w:val="22"/>
                <w:szCs w:val="22"/>
              </w:rPr>
            </w:pPr>
            <w:r w:rsidRPr="00E80BFC">
              <w:rPr>
                <w:sz w:val="22"/>
                <w:szCs w:val="22"/>
              </w:rPr>
              <w:t>Town Hall</w:t>
            </w:r>
          </w:p>
        </w:tc>
      </w:tr>
      <w:tr w:rsidR="00995205" w:rsidRPr="00E80BFC">
        <w:trPr>
          <w:cantSplit/>
          <w:trHeight w:hRule="exact" w:val="340"/>
        </w:trPr>
        <w:tc>
          <w:tcPr>
            <w:tcW w:w="4678" w:type="dxa"/>
            <w:vMerge/>
            <w:tcBorders>
              <w:top w:val="nil"/>
              <w:left w:val="nil"/>
              <w:bottom w:val="nil"/>
              <w:right w:val="nil"/>
            </w:tcBorders>
          </w:tcPr>
          <w:p w:rsidR="00995205" w:rsidRPr="00E80BFC" w:rsidRDefault="00995205" w:rsidP="00D42F92">
            <w:pPr>
              <w:rPr>
                <w:sz w:val="22"/>
                <w:szCs w:val="22"/>
              </w:rPr>
            </w:pPr>
          </w:p>
        </w:tc>
        <w:tc>
          <w:tcPr>
            <w:tcW w:w="5103" w:type="dxa"/>
            <w:gridSpan w:val="2"/>
            <w:tcBorders>
              <w:top w:val="nil"/>
              <w:left w:val="nil"/>
              <w:bottom w:val="nil"/>
            </w:tcBorders>
          </w:tcPr>
          <w:p w:rsidR="00995205" w:rsidRPr="00E80BFC" w:rsidRDefault="00AD1578" w:rsidP="00D42F92">
            <w:pPr>
              <w:rPr>
                <w:sz w:val="22"/>
                <w:szCs w:val="22"/>
              </w:rPr>
            </w:pPr>
            <w:r w:rsidRPr="00E80BFC">
              <w:rPr>
                <w:sz w:val="22"/>
                <w:szCs w:val="22"/>
              </w:rPr>
              <w:t>Castle Circus</w:t>
            </w:r>
          </w:p>
        </w:tc>
      </w:tr>
      <w:tr w:rsidR="00995205" w:rsidRPr="00E80BFC">
        <w:trPr>
          <w:cantSplit/>
          <w:trHeight w:hRule="exact" w:val="340"/>
        </w:trPr>
        <w:tc>
          <w:tcPr>
            <w:tcW w:w="4678" w:type="dxa"/>
            <w:vMerge/>
            <w:tcBorders>
              <w:top w:val="nil"/>
              <w:left w:val="nil"/>
              <w:bottom w:val="nil"/>
              <w:right w:val="nil"/>
            </w:tcBorders>
          </w:tcPr>
          <w:p w:rsidR="00995205" w:rsidRPr="00E80BFC" w:rsidRDefault="00995205" w:rsidP="00D42F92">
            <w:pPr>
              <w:rPr>
                <w:sz w:val="22"/>
                <w:szCs w:val="22"/>
              </w:rPr>
            </w:pPr>
          </w:p>
        </w:tc>
        <w:tc>
          <w:tcPr>
            <w:tcW w:w="5103" w:type="dxa"/>
            <w:gridSpan w:val="2"/>
            <w:tcBorders>
              <w:top w:val="nil"/>
              <w:left w:val="nil"/>
              <w:bottom w:val="nil"/>
            </w:tcBorders>
          </w:tcPr>
          <w:p w:rsidR="00995205" w:rsidRPr="00E80BFC" w:rsidRDefault="00AD1578" w:rsidP="00D42F92">
            <w:pPr>
              <w:rPr>
                <w:sz w:val="22"/>
                <w:szCs w:val="22"/>
              </w:rPr>
            </w:pPr>
            <w:r w:rsidRPr="00E80BFC">
              <w:rPr>
                <w:sz w:val="22"/>
                <w:szCs w:val="22"/>
              </w:rPr>
              <w:t>Torquay</w:t>
            </w:r>
          </w:p>
        </w:tc>
      </w:tr>
      <w:tr w:rsidR="00995205" w:rsidRPr="00E80BFC">
        <w:tblPrEx>
          <w:tblBorders>
            <w:insideH w:val="none" w:sz="0" w:space="0" w:color="auto"/>
            <w:insideV w:val="none" w:sz="0" w:space="0" w:color="auto"/>
          </w:tblBorders>
        </w:tblPrEx>
        <w:trPr>
          <w:cantSplit/>
          <w:trHeight w:hRule="exact" w:val="340"/>
        </w:trPr>
        <w:tc>
          <w:tcPr>
            <w:tcW w:w="4678" w:type="dxa"/>
            <w:vMerge/>
            <w:tcBorders>
              <w:left w:val="nil"/>
            </w:tcBorders>
          </w:tcPr>
          <w:p w:rsidR="00995205" w:rsidRPr="00E80BFC" w:rsidRDefault="00995205" w:rsidP="00D42F92">
            <w:pPr>
              <w:rPr>
                <w:sz w:val="22"/>
                <w:szCs w:val="22"/>
              </w:rPr>
            </w:pPr>
          </w:p>
        </w:tc>
        <w:tc>
          <w:tcPr>
            <w:tcW w:w="5103" w:type="dxa"/>
            <w:gridSpan w:val="2"/>
          </w:tcPr>
          <w:p w:rsidR="00AD1578" w:rsidRPr="00E80BFC" w:rsidRDefault="00AD1578" w:rsidP="00D42F92">
            <w:pPr>
              <w:rPr>
                <w:sz w:val="22"/>
                <w:szCs w:val="22"/>
              </w:rPr>
            </w:pPr>
            <w:r w:rsidRPr="00E80BFC">
              <w:rPr>
                <w:sz w:val="22"/>
                <w:szCs w:val="22"/>
              </w:rPr>
              <w:t>TQ1 3DR</w:t>
            </w:r>
          </w:p>
          <w:p w:rsidR="00AD1578" w:rsidRPr="00E80BFC" w:rsidRDefault="00AD1578" w:rsidP="00D42F92">
            <w:pPr>
              <w:rPr>
                <w:sz w:val="22"/>
                <w:szCs w:val="22"/>
              </w:rPr>
            </w:pPr>
          </w:p>
        </w:tc>
      </w:tr>
      <w:tr w:rsidR="00995205" w:rsidRPr="00E80BFC">
        <w:tblPrEx>
          <w:tblBorders>
            <w:insideH w:val="none" w:sz="0" w:space="0" w:color="auto"/>
            <w:insideV w:val="none" w:sz="0" w:space="0" w:color="auto"/>
          </w:tblBorders>
        </w:tblPrEx>
        <w:trPr>
          <w:cantSplit/>
          <w:trHeight w:hRule="exact" w:val="340"/>
        </w:trPr>
        <w:tc>
          <w:tcPr>
            <w:tcW w:w="4678" w:type="dxa"/>
            <w:vMerge w:val="restart"/>
            <w:tcBorders>
              <w:left w:val="nil"/>
            </w:tcBorders>
          </w:tcPr>
          <w:p w:rsidR="00DA4043" w:rsidRPr="00E80BFC" w:rsidRDefault="00DA4043" w:rsidP="00BB15CB">
            <w:pPr>
              <w:rPr>
                <w:sz w:val="22"/>
                <w:szCs w:val="22"/>
              </w:rPr>
            </w:pPr>
            <w:r w:rsidRPr="00E80BFC">
              <w:rPr>
                <w:sz w:val="22"/>
                <w:szCs w:val="22"/>
              </w:rPr>
              <w:t xml:space="preserve">All holders of a Torbay Council </w:t>
            </w:r>
          </w:p>
          <w:p w:rsidR="00DA4043" w:rsidRPr="00E80BFC" w:rsidRDefault="00DA4043" w:rsidP="00BB15CB">
            <w:pPr>
              <w:rPr>
                <w:sz w:val="22"/>
                <w:szCs w:val="22"/>
              </w:rPr>
            </w:pPr>
            <w:r w:rsidRPr="00E80BFC">
              <w:rPr>
                <w:sz w:val="22"/>
                <w:szCs w:val="22"/>
              </w:rPr>
              <w:t xml:space="preserve">Dual Hackney Carriage and </w:t>
            </w:r>
          </w:p>
          <w:p w:rsidR="00BB15CB" w:rsidRPr="00E80BFC" w:rsidRDefault="00DA4043" w:rsidP="00BB15CB">
            <w:pPr>
              <w:rPr>
                <w:sz w:val="22"/>
                <w:szCs w:val="22"/>
              </w:rPr>
            </w:pPr>
            <w:r w:rsidRPr="00E80BFC">
              <w:rPr>
                <w:sz w:val="22"/>
                <w:szCs w:val="22"/>
              </w:rPr>
              <w:t>Private Hire Drivers’ Licence</w:t>
            </w:r>
          </w:p>
          <w:p w:rsidR="00AA630C" w:rsidRPr="00E80BFC" w:rsidRDefault="00AA630C" w:rsidP="00BB15CB">
            <w:pPr>
              <w:rPr>
                <w:sz w:val="22"/>
                <w:szCs w:val="22"/>
              </w:rPr>
            </w:pPr>
          </w:p>
        </w:tc>
        <w:tc>
          <w:tcPr>
            <w:tcW w:w="1417" w:type="dxa"/>
          </w:tcPr>
          <w:p w:rsidR="00995205" w:rsidRPr="00E80BFC" w:rsidRDefault="00995205" w:rsidP="00D42F92">
            <w:pPr>
              <w:rPr>
                <w:b/>
                <w:sz w:val="22"/>
                <w:szCs w:val="22"/>
              </w:rPr>
            </w:pPr>
            <w:r w:rsidRPr="00E80BFC">
              <w:rPr>
                <w:b/>
                <w:sz w:val="22"/>
                <w:szCs w:val="22"/>
              </w:rPr>
              <w:t>My ref:</w:t>
            </w:r>
          </w:p>
        </w:tc>
        <w:tc>
          <w:tcPr>
            <w:tcW w:w="3686" w:type="dxa"/>
          </w:tcPr>
          <w:p w:rsidR="00995205" w:rsidRPr="00E80BFC" w:rsidRDefault="00995205" w:rsidP="00D42F92">
            <w:pPr>
              <w:rPr>
                <w:sz w:val="22"/>
                <w:szCs w:val="22"/>
              </w:rPr>
            </w:pPr>
          </w:p>
        </w:tc>
      </w:tr>
      <w:tr w:rsidR="00995205" w:rsidRPr="00E80BFC">
        <w:tblPrEx>
          <w:tblBorders>
            <w:insideH w:val="none" w:sz="0" w:space="0" w:color="auto"/>
            <w:insideV w:val="none" w:sz="0" w:space="0" w:color="auto"/>
          </w:tblBorders>
        </w:tblPrEx>
        <w:trPr>
          <w:cantSplit/>
          <w:trHeight w:hRule="exact" w:val="340"/>
        </w:trPr>
        <w:tc>
          <w:tcPr>
            <w:tcW w:w="4678" w:type="dxa"/>
            <w:vMerge/>
            <w:tcBorders>
              <w:left w:val="nil"/>
            </w:tcBorders>
          </w:tcPr>
          <w:p w:rsidR="00995205" w:rsidRPr="00E80BFC" w:rsidRDefault="00995205" w:rsidP="00D42F92">
            <w:pPr>
              <w:rPr>
                <w:sz w:val="22"/>
                <w:szCs w:val="22"/>
              </w:rPr>
            </w:pPr>
          </w:p>
        </w:tc>
        <w:tc>
          <w:tcPr>
            <w:tcW w:w="1417" w:type="dxa"/>
          </w:tcPr>
          <w:p w:rsidR="00995205" w:rsidRPr="00E80BFC" w:rsidRDefault="00995205" w:rsidP="00D42F92">
            <w:pPr>
              <w:rPr>
                <w:sz w:val="22"/>
                <w:szCs w:val="22"/>
              </w:rPr>
            </w:pPr>
            <w:r w:rsidRPr="00E80BFC">
              <w:rPr>
                <w:b/>
                <w:bCs/>
                <w:sz w:val="22"/>
                <w:szCs w:val="22"/>
              </w:rPr>
              <w:t>Your ref</w:t>
            </w:r>
            <w:r w:rsidRPr="00E80BFC">
              <w:rPr>
                <w:sz w:val="22"/>
                <w:szCs w:val="22"/>
              </w:rPr>
              <w:t>:</w:t>
            </w:r>
          </w:p>
        </w:tc>
        <w:tc>
          <w:tcPr>
            <w:tcW w:w="3686" w:type="dxa"/>
          </w:tcPr>
          <w:p w:rsidR="00995205" w:rsidRPr="00E80BFC" w:rsidRDefault="00995205" w:rsidP="00D42F92">
            <w:pPr>
              <w:rPr>
                <w:sz w:val="22"/>
                <w:szCs w:val="22"/>
              </w:rPr>
            </w:pPr>
          </w:p>
        </w:tc>
      </w:tr>
      <w:tr w:rsidR="00995205" w:rsidRPr="00E80BFC">
        <w:tblPrEx>
          <w:tblBorders>
            <w:insideH w:val="none" w:sz="0" w:space="0" w:color="auto"/>
            <w:insideV w:val="none" w:sz="0" w:space="0" w:color="auto"/>
          </w:tblBorders>
        </w:tblPrEx>
        <w:trPr>
          <w:cantSplit/>
          <w:trHeight w:hRule="exact" w:val="340"/>
        </w:trPr>
        <w:tc>
          <w:tcPr>
            <w:tcW w:w="4678" w:type="dxa"/>
            <w:vMerge/>
            <w:tcBorders>
              <w:left w:val="nil"/>
            </w:tcBorders>
          </w:tcPr>
          <w:p w:rsidR="00995205" w:rsidRPr="00E80BFC" w:rsidRDefault="00995205" w:rsidP="00D42F92">
            <w:pPr>
              <w:rPr>
                <w:sz w:val="22"/>
                <w:szCs w:val="22"/>
              </w:rPr>
            </w:pPr>
          </w:p>
        </w:tc>
        <w:tc>
          <w:tcPr>
            <w:tcW w:w="1417" w:type="dxa"/>
          </w:tcPr>
          <w:p w:rsidR="00995205" w:rsidRPr="00E80BFC" w:rsidRDefault="00995205" w:rsidP="00D42F92">
            <w:pPr>
              <w:rPr>
                <w:b/>
                <w:bCs/>
                <w:sz w:val="22"/>
                <w:szCs w:val="22"/>
              </w:rPr>
            </w:pPr>
            <w:r w:rsidRPr="00E80BFC">
              <w:rPr>
                <w:b/>
                <w:bCs/>
                <w:sz w:val="22"/>
                <w:szCs w:val="22"/>
              </w:rPr>
              <w:t>Telephone:</w:t>
            </w:r>
          </w:p>
        </w:tc>
        <w:tc>
          <w:tcPr>
            <w:tcW w:w="3686" w:type="dxa"/>
          </w:tcPr>
          <w:p w:rsidR="00995205" w:rsidRPr="00E80BFC" w:rsidRDefault="00995205" w:rsidP="00AD1578">
            <w:pPr>
              <w:rPr>
                <w:sz w:val="22"/>
                <w:szCs w:val="22"/>
              </w:rPr>
            </w:pPr>
          </w:p>
        </w:tc>
      </w:tr>
      <w:tr w:rsidR="00995205" w:rsidRPr="00E80BFC">
        <w:tblPrEx>
          <w:tblBorders>
            <w:insideH w:val="none" w:sz="0" w:space="0" w:color="auto"/>
            <w:insideV w:val="none" w:sz="0" w:space="0" w:color="auto"/>
          </w:tblBorders>
        </w:tblPrEx>
        <w:trPr>
          <w:cantSplit/>
          <w:trHeight w:hRule="exact" w:val="340"/>
        </w:trPr>
        <w:tc>
          <w:tcPr>
            <w:tcW w:w="4678" w:type="dxa"/>
            <w:vMerge/>
            <w:tcBorders>
              <w:left w:val="nil"/>
            </w:tcBorders>
          </w:tcPr>
          <w:p w:rsidR="00995205" w:rsidRPr="00E80BFC" w:rsidRDefault="00995205" w:rsidP="00D42F92">
            <w:pPr>
              <w:rPr>
                <w:sz w:val="22"/>
                <w:szCs w:val="22"/>
              </w:rPr>
            </w:pPr>
          </w:p>
        </w:tc>
        <w:tc>
          <w:tcPr>
            <w:tcW w:w="1417" w:type="dxa"/>
          </w:tcPr>
          <w:p w:rsidR="00995205" w:rsidRPr="00E80BFC" w:rsidRDefault="00995205" w:rsidP="00D42F92">
            <w:pPr>
              <w:rPr>
                <w:b/>
                <w:bCs/>
                <w:sz w:val="22"/>
                <w:szCs w:val="22"/>
              </w:rPr>
            </w:pPr>
            <w:r w:rsidRPr="00E80BFC">
              <w:rPr>
                <w:b/>
                <w:bCs/>
                <w:sz w:val="22"/>
                <w:szCs w:val="22"/>
              </w:rPr>
              <w:t>Fax:</w:t>
            </w:r>
          </w:p>
        </w:tc>
        <w:tc>
          <w:tcPr>
            <w:tcW w:w="3686" w:type="dxa"/>
          </w:tcPr>
          <w:p w:rsidR="00995205" w:rsidRPr="00E80BFC" w:rsidRDefault="005572B1" w:rsidP="00AD1578">
            <w:pPr>
              <w:rPr>
                <w:sz w:val="22"/>
                <w:szCs w:val="22"/>
              </w:rPr>
            </w:pPr>
            <w:r w:rsidRPr="00E80BFC">
              <w:rPr>
                <w:sz w:val="22"/>
                <w:szCs w:val="22"/>
              </w:rPr>
              <w:t>01803 20</w:t>
            </w:r>
            <w:r w:rsidR="00AD1578" w:rsidRPr="00E80BFC">
              <w:rPr>
                <w:sz w:val="22"/>
                <w:szCs w:val="22"/>
              </w:rPr>
              <w:t>8854</w:t>
            </w:r>
          </w:p>
        </w:tc>
      </w:tr>
      <w:tr w:rsidR="00995205" w:rsidRPr="00E80BFC">
        <w:tblPrEx>
          <w:tblBorders>
            <w:insideH w:val="none" w:sz="0" w:space="0" w:color="auto"/>
            <w:insideV w:val="none" w:sz="0" w:space="0" w:color="auto"/>
          </w:tblBorders>
        </w:tblPrEx>
        <w:trPr>
          <w:cantSplit/>
        </w:trPr>
        <w:tc>
          <w:tcPr>
            <w:tcW w:w="4678" w:type="dxa"/>
            <w:vMerge/>
            <w:tcBorders>
              <w:left w:val="nil"/>
            </w:tcBorders>
          </w:tcPr>
          <w:p w:rsidR="00995205" w:rsidRPr="00E80BFC" w:rsidRDefault="00995205" w:rsidP="00D42F92">
            <w:pPr>
              <w:rPr>
                <w:sz w:val="22"/>
                <w:szCs w:val="22"/>
              </w:rPr>
            </w:pPr>
          </w:p>
        </w:tc>
        <w:tc>
          <w:tcPr>
            <w:tcW w:w="1417" w:type="dxa"/>
          </w:tcPr>
          <w:p w:rsidR="00995205" w:rsidRPr="00E80BFC" w:rsidRDefault="00995205" w:rsidP="00D42F92">
            <w:pPr>
              <w:rPr>
                <w:b/>
                <w:bCs/>
                <w:sz w:val="22"/>
                <w:szCs w:val="22"/>
              </w:rPr>
            </w:pPr>
            <w:r w:rsidRPr="00E80BFC">
              <w:rPr>
                <w:b/>
                <w:bCs/>
                <w:sz w:val="22"/>
                <w:szCs w:val="22"/>
              </w:rPr>
              <w:t>E-mail:</w:t>
            </w:r>
          </w:p>
        </w:tc>
        <w:tc>
          <w:tcPr>
            <w:tcW w:w="3686" w:type="dxa"/>
          </w:tcPr>
          <w:p w:rsidR="00995205" w:rsidRPr="00E80BFC" w:rsidRDefault="004C256D" w:rsidP="00D42F92">
            <w:pPr>
              <w:rPr>
                <w:sz w:val="22"/>
                <w:szCs w:val="22"/>
              </w:rPr>
            </w:pPr>
            <w:r w:rsidRPr="00E80BFC">
              <w:rPr>
                <w:sz w:val="22"/>
                <w:szCs w:val="22"/>
              </w:rPr>
              <w:t>taxirenewals</w:t>
            </w:r>
            <w:r w:rsidR="005572B1" w:rsidRPr="00E80BFC">
              <w:rPr>
                <w:sz w:val="22"/>
                <w:szCs w:val="22"/>
              </w:rPr>
              <w:t>@torbay.gov.uk</w:t>
            </w:r>
          </w:p>
        </w:tc>
      </w:tr>
      <w:tr w:rsidR="005044F6" w:rsidRPr="00E80BFC">
        <w:tblPrEx>
          <w:tblBorders>
            <w:insideH w:val="none" w:sz="0" w:space="0" w:color="auto"/>
            <w:insideV w:val="none" w:sz="0" w:space="0" w:color="auto"/>
          </w:tblBorders>
        </w:tblPrEx>
        <w:trPr>
          <w:cantSplit/>
          <w:trHeight w:hRule="exact" w:val="340"/>
        </w:trPr>
        <w:tc>
          <w:tcPr>
            <w:tcW w:w="4678" w:type="dxa"/>
            <w:vMerge/>
          </w:tcPr>
          <w:p w:rsidR="005044F6" w:rsidRPr="00E80BFC" w:rsidRDefault="005044F6" w:rsidP="00D42F92">
            <w:pPr>
              <w:rPr>
                <w:sz w:val="22"/>
                <w:szCs w:val="22"/>
              </w:rPr>
            </w:pPr>
          </w:p>
        </w:tc>
        <w:tc>
          <w:tcPr>
            <w:tcW w:w="1417" w:type="dxa"/>
            <w:tcBorders>
              <w:left w:val="nil"/>
            </w:tcBorders>
          </w:tcPr>
          <w:p w:rsidR="005044F6" w:rsidRPr="00E80BFC" w:rsidRDefault="005044F6" w:rsidP="00D42F92">
            <w:pPr>
              <w:rPr>
                <w:sz w:val="22"/>
                <w:szCs w:val="22"/>
              </w:rPr>
            </w:pPr>
            <w:r w:rsidRPr="00E80BFC">
              <w:rPr>
                <w:b/>
                <w:bCs/>
                <w:sz w:val="22"/>
                <w:szCs w:val="22"/>
              </w:rPr>
              <w:t>Date</w:t>
            </w:r>
            <w:r w:rsidRPr="00E80BFC">
              <w:rPr>
                <w:sz w:val="22"/>
                <w:szCs w:val="22"/>
              </w:rPr>
              <w:t>:</w:t>
            </w:r>
          </w:p>
        </w:tc>
        <w:tc>
          <w:tcPr>
            <w:tcW w:w="3686" w:type="dxa"/>
          </w:tcPr>
          <w:p w:rsidR="005044F6" w:rsidRPr="00E80BFC" w:rsidRDefault="00DA4043" w:rsidP="00E80BFC">
            <w:pPr>
              <w:rPr>
                <w:sz w:val="22"/>
                <w:szCs w:val="22"/>
              </w:rPr>
            </w:pPr>
            <w:r w:rsidRPr="00E80BFC">
              <w:rPr>
                <w:sz w:val="22"/>
                <w:szCs w:val="22"/>
              </w:rPr>
              <w:t>1</w:t>
            </w:r>
            <w:r w:rsidR="00E80BFC">
              <w:rPr>
                <w:sz w:val="22"/>
                <w:szCs w:val="22"/>
              </w:rPr>
              <w:t xml:space="preserve">6 </w:t>
            </w:r>
            <w:r w:rsidRPr="00E80BFC">
              <w:rPr>
                <w:sz w:val="22"/>
                <w:szCs w:val="22"/>
              </w:rPr>
              <w:t>August 2018</w:t>
            </w:r>
            <w:r w:rsidR="00DF091F" w:rsidRPr="00E80BFC">
              <w:rPr>
                <w:sz w:val="22"/>
                <w:szCs w:val="22"/>
              </w:rPr>
              <w:fldChar w:fldCharType="begin"/>
            </w:r>
            <w:r w:rsidR="00DF091F" w:rsidRPr="00E80BFC">
              <w:rPr>
                <w:sz w:val="22"/>
                <w:szCs w:val="22"/>
              </w:rPr>
              <w:instrText xml:space="preserve"> CREATEDATE \@ "d MMMM yyyy" \* MERGEFORMAT </w:instrText>
            </w:r>
            <w:r w:rsidR="00DF091F" w:rsidRPr="00E80BFC">
              <w:rPr>
                <w:sz w:val="22"/>
                <w:szCs w:val="22"/>
              </w:rPr>
              <w:fldChar w:fldCharType="end"/>
            </w:r>
          </w:p>
        </w:tc>
      </w:tr>
    </w:tbl>
    <w:p w:rsidR="00995205" w:rsidRPr="00E80BFC" w:rsidRDefault="00995205" w:rsidP="00D96975">
      <w:pPr>
        <w:pStyle w:val="Heading1"/>
        <w:rPr>
          <w:sz w:val="22"/>
          <w:szCs w:val="22"/>
        </w:rPr>
      </w:pPr>
    </w:p>
    <w:p w:rsidR="00995205" w:rsidRPr="00E80BFC" w:rsidRDefault="00995205" w:rsidP="00D42F92">
      <w:pPr>
        <w:rPr>
          <w:sz w:val="22"/>
          <w:szCs w:val="22"/>
        </w:rPr>
      </w:pPr>
    </w:p>
    <w:p w:rsidR="006F33C2" w:rsidRPr="00E80BFC" w:rsidRDefault="006F33C2" w:rsidP="00D42F92">
      <w:pPr>
        <w:rPr>
          <w:sz w:val="22"/>
          <w:szCs w:val="22"/>
        </w:rPr>
      </w:pPr>
    </w:p>
    <w:p w:rsidR="00995205" w:rsidRPr="00E80BFC" w:rsidRDefault="00995205" w:rsidP="00D42F92">
      <w:pPr>
        <w:rPr>
          <w:sz w:val="22"/>
          <w:szCs w:val="22"/>
        </w:rPr>
      </w:pPr>
      <w:r w:rsidRPr="00E80BFC">
        <w:rPr>
          <w:sz w:val="22"/>
          <w:szCs w:val="22"/>
        </w:rPr>
        <w:t>Dear</w:t>
      </w:r>
      <w:r w:rsidR="0093794E" w:rsidRPr="00E80BFC">
        <w:rPr>
          <w:sz w:val="22"/>
          <w:szCs w:val="22"/>
        </w:rPr>
        <w:t xml:space="preserve"> </w:t>
      </w:r>
      <w:r w:rsidR="00DA4043" w:rsidRPr="00E80BFC">
        <w:rPr>
          <w:sz w:val="22"/>
          <w:szCs w:val="22"/>
        </w:rPr>
        <w:t>Drivers</w:t>
      </w:r>
    </w:p>
    <w:p w:rsidR="00AA630C" w:rsidRPr="00E80BFC" w:rsidRDefault="00AA630C" w:rsidP="00763B58">
      <w:pPr>
        <w:rPr>
          <w:b/>
          <w:sz w:val="22"/>
          <w:szCs w:val="22"/>
        </w:rPr>
      </w:pPr>
    </w:p>
    <w:p w:rsidR="00763B58" w:rsidRPr="00E80BFC" w:rsidRDefault="00DA4043" w:rsidP="00763B58">
      <w:pPr>
        <w:rPr>
          <w:b/>
          <w:sz w:val="22"/>
          <w:szCs w:val="22"/>
        </w:rPr>
      </w:pPr>
      <w:r w:rsidRPr="00E80BFC">
        <w:rPr>
          <w:b/>
          <w:sz w:val="22"/>
          <w:szCs w:val="22"/>
        </w:rPr>
        <w:t>Hackney Carriage Rank Torquay Harbourside (Short Rank)</w:t>
      </w:r>
    </w:p>
    <w:p w:rsidR="00F41C3A" w:rsidRPr="00E80BFC" w:rsidRDefault="00F41C3A" w:rsidP="00763B58">
      <w:pPr>
        <w:rPr>
          <w:sz w:val="22"/>
          <w:szCs w:val="22"/>
        </w:rPr>
      </w:pPr>
    </w:p>
    <w:p w:rsidR="00995205" w:rsidRPr="00E80BFC" w:rsidRDefault="0034518A" w:rsidP="00D42F92">
      <w:pPr>
        <w:rPr>
          <w:sz w:val="22"/>
          <w:szCs w:val="22"/>
        </w:rPr>
      </w:pPr>
      <w:r w:rsidRPr="00E80BFC">
        <w:rPr>
          <w:sz w:val="22"/>
          <w:szCs w:val="22"/>
        </w:rPr>
        <w:t xml:space="preserve">I write with regard to the above, </w:t>
      </w:r>
      <w:r w:rsidR="00DA4043" w:rsidRPr="00E80BFC">
        <w:rPr>
          <w:sz w:val="22"/>
          <w:szCs w:val="22"/>
        </w:rPr>
        <w:t>following numerous complaints over recent months relating to obstructions being caused by Hackney Carriage vehicles when waiting to join the rank</w:t>
      </w:r>
      <w:r w:rsidRPr="00E80BFC">
        <w:rPr>
          <w:sz w:val="22"/>
          <w:szCs w:val="22"/>
        </w:rPr>
        <w:t>.</w:t>
      </w:r>
      <w:r w:rsidR="00DA4043" w:rsidRPr="00E80BFC">
        <w:rPr>
          <w:sz w:val="22"/>
          <w:szCs w:val="22"/>
        </w:rPr>
        <w:t xml:space="preserve"> </w:t>
      </w:r>
    </w:p>
    <w:p w:rsidR="00FD0A57" w:rsidRPr="00E80BFC" w:rsidRDefault="00FD0A57" w:rsidP="00D42F92">
      <w:pPr>
        <w:rPr>
          <w:sz w:val="22"/>
          <w:szCs w:val="22"/>
        </w:rPr>
      </w:pPr>
    </w:p>
    <w:p w:rsidR="00FD0A57" w:rsidRPr="00E80BFC" w:rsidRDefault="00FD0A57" w:rsidP="00FD0A57">
      <w:pPr>
        <w:rPr>
          <w:sz w:val="22"/>
          <w:szCs w:val="22"/>
        </w:rPr>
      </w:pPr>
      <w:r w:rsidRPr="00E80BFC">
        <w:rPr>
          <w:sz w:val="22"/>
          <w:szCs w:val="22"/>
        </w:rPr>
        <w:t>This letter concerns the drivers of Hackney carriages in Torquay, although is sent to all licensed drivers on the basis that a Torbay Council Dual Hackney Carriage and Private Hire Drivers’ Licence permits the holder to drive either type of licensed vehicle.</w:t>
      </w:r>
    </w:p>
    <w:p w:rsidR="0034518A" w:rsidRPr="00E80BFC" w:rsidRDefault="0034518A" w:rsidP="00D42F92">
      <w:pPr>
        <w:rPr>
          <w:sz w:val="22"/>
          <w:szCs w:val="22"/>
        </w:rPr>
      </w:pPr>
    </w:p>
    <w:p w:rsidR="00DA4043" w:rsidRPr="00E80BFC" w:rsidRDefault="00DA4043" w:rsidP="00D42F92">
      <w:pPr>
        <w:rPr>
          <w:sz w:val="22"/>
          <w:szCs w:val="22"/>
        </w:rPr>
      </w:pPr>
      <w:r w:rsidRPr="00E80BFC">
        <w:rPr>
          <w:sz w:val="22"/>
          <w:szCs w:val="22"/>
        </w:rPr>
        <w:t xml:space="preserve">The short rank </w:t>
      </w:r>
      <w:r w:rsidR="002A7A19">
        <w:rPr>
          <w:sz w:val="22"/>
          <w:szCs w:val="22"/>
        </w:rPr>
        <w:t xml:space="preserve">on The Strand </w:t>
      </w:r>
      <w:r w:rsidRPr="00E80BFC">
        <w:rPr>
          <w:sz w:val="22"/>
          <w:szCs w:val="22"/>
        </w:rPr>
        <w:t>(adjacent to the harbour slip way and Vaughan’s Wine Bar, is established to take three vehicles at any one time. In addition, after midnight, the bus stop just behind the short rank, becomes an additional</w:t>
      </w:r>
      <w:r w:rsidR="0058025C" w:rsidRPr="00E80BFC">
        <w:rPr>
          <w:sz w:val="22"/>
          <w:szCs w:val="22"/>
        </w:rPr>
        <w:t xml:space="preserve"> facility for Hackney Carriages to utilise, which is capable of accepting approximately 8 additional vehicles.</w:t>
      </w:r>
    </w:p>
    <w:p w:rsidR="0058025C" w:rsidRPr="00E80BFC" w:rsidRDefault="0058025C" w:rsidP="00D42F92">
      <w:pPr>
        <w:rPr>
          <w:sz w:val="22"/>
          <w:szCs w:val="22"/>
        </w:rPr>
      </w:pPr>
    </w:p>
    <w:p w:rsidR="0058025C" w:rsidRPr="00E80BFC" w:rsidRDefault="0058025C" w:rsidP="00D42F92">
      <w:pPr>
        <w:rPr>
          <w:sz w:val="22"/>
          <w:szCs w:val="22"/>
        </w:rPr>
      </w:pPr>
      <w:r w:rsidRPr="00E80BFC">
        <w:rPr>
          <w:sz w:val="22"/>
          <w:szCs w:val="22"/>
        </w:rPr>
        <w:t>Over time, the practice has evolved whereby if the rank is full (night or day), drivers will queue behind the relevant rank whilst awaiting the vehicles in front to clear. This practice is increasing</w:t>
      </w:r>
      <w:r w:rsidR="00D90C6C" w:rsidRPr="00E80BFC">
        <w:rPr>
          <w:sz w:val="22"/>
          <w:szCs w:val="22"/>
        </w:rPr>
        <w:t>ly</w:t>
      </w:r>
      <w:r w:rsidRPr="00E80BFC">
        <w:rPr>
          <w:sz w:val="22"/>
          <w:szCs w:val="22"/>
        </w:rPr>
        <w:t xml:space="preserve"> leading to complaints and over the last few months has been observed by officers from the Licensing Authority in order to gauge the severity (or otherwise) of the situation.</w:t>
      </w:r>
      <w:r w:rsidR="002A7A19">
        <w:rPr>
          <w:sz w:val="22"/>
          <w:szCs w:val="22"/>
        </w:rPr>
        <w:t xml:space="preserve"> </w:t>
      </w:r>
    </w:p>
    <w:p w:rsidR="0058025C" w:rsidRPr="00E80BFC" w:rsidRDefault="0058025C" w:rsidP="00D42F92">
      <w:pPr>
        <w:rPr>
          <w:sz w:val="22"/>
          <w:szCs w:val="22"/>
        </w:rPr>
      </w:pPr>
    </w:p>
    <w:p w:rsidR="0058025C" w:rsidRPr="00E80BFC" w:rsidRDefault="0058025C" w:rsidP="00D42F92">
      <w:pPr>
        <w:rPr>
          <w:sz w:val="22"/>
          <w:szCs w:val="22"/>
        </w:rPr>
      </w:pPr>
      <w:r w:rsidRPr="00E80BFC">
        <w:rPr>
          <w:sz w:val="22"/>
          <w:szCs w:val="22"/>
        </w:rPr>
        <w:t>From time to time over past years, this is a problem that the Licensing Authority has tried to address, with limited success. It is a problem however, that cannot be permitted to continue.</w:t>
      </w:r>
    </w:p>
    <w:p w:rsidR="00FD0A57" w:rsidRPr="00E80BFC" w:rsidRDefault="00FD0A57" w:rsidP="00D42F92">
      <w:pPr>
        <w:rPr>
          <w:sz w:val="22"/>
          <w:szCs w:val="22"/>
        </w:rPr>
      </w:pPr>
    </w:p>
    <w:p w:rsidR="0058025C" w:rsidRPr="00E80BFC" w:rsidRDefault="0058025C" w:rsidP="00D42F92">
      <w:pPr>
        <w:rPr>
          <w:sz w:val="22"/>
          <w:szCs w:val="22"/>
        </w:rPr>
      </w:pPr>
      <w:r w:rsidRPr="00E80BFC">
        <w:rPr>
          <w:sz w:val="22"/>
          <w:szCs w:val="22"/>
        </w:rPr>
        <w:t xml:space="preserve">The three main issues are; </w:t>
      </w:r>
    </w:p>
    <w:p w:rsidR="0058025C" w:rsidRPr="00E80BFC" w:rsidRDefault="000B59B6" w:rsidP="0058025C">
      <w:pPr>
        <w:pStyle w:val="ListParagraph"/>
        <w:numPr>
          <w:ilvl w:val="0"/>
          <w:numId w:val="2"/>
        </w:numPr>
        <w:rPr>
          <w:sz w:val="22"/>
          <w:szCs w:val="22"/>
        </w:rPr>
      </w:pPr>
      <w:r w:rsidRPr="00E80BFC">
        <w:rPr>
          <w:sz w:val="22"/>
          <w:szCs w:val="22"/>
        </w:rPr>
        <w:lastRenderedPageBreak/>
        <w:t>Queuing</w:t>
      </w:r>
      <w:r w:rsidR="0058025C" w:rsidRPr="00E80BFC">
        <w:rPr>
          <w:sz w:val="22"/>
          <w:szCs w:val="22"/>
        </w:rPr>
        <w:t xml:space="preserve"> at the short rank during the day, which has led to obstruction of the bus stops, difficulty for other vehicles to pass and clearly gives rise to safety concerns.   </w:t>
      </w:r>
    </w:p>
    <w:p w:rsidR="00FD0A57" w:rsidRPr="00E80BFC" w:rsidRDefault="00FD0A57" w:rsidP="00FD0A57">
      <w:pPr>
        <w:pStyle w:val="ListParagraph"/>
        <w:rPr>
          <w:sz w:val="22"/>
          <w:szCs w:val="22"/>
        </w:rPr>
      </w:pPr>
    </w:p>
    <w:p w:rsidR="00FD0A57" w:rsidRPr="00E80BFC" w:rsidRDefault="0058025C" w:rsidP="00FD0A57">
      <w:pPr>
        <w:pStyle w:val="ListParagraph"/>
        <w:numPr>
          <w:ilvl w:val="0"/>
          <w:numId w:val="2"/>
        </w:numPr>
        <w:rPr>
          <w:sz w:val="22"/>
          <w:szCs w:val="22"/>
        </w:rPr>
      </w:pPr>
      <w:r w:rsidRPr="00E80BFC">
        <w:rPr>
          <w:sz w:val="22"/>
          <w:szCs w:val="22"/>
        </w:rPr>
        <w:t xml:space="preserve">Queuing at the temporary (bus stop) rank which often means that vehicles are parked on the clock tower roundabout. This causes major obstruction and prevents on occasions, other </w:t>
      </w:r>
      <w:r w:rsidR="000B59B6" w:rsidRPr="00E80BFC">
        <w:rPr>
          <w:sz w:val="22"/>
          <w:szCs w:val="22"/>
        </w:rPr>
        <w:t>vehicles</w:t>
      </w:r>
      <w:r w:rsidRPr="00E80BFC">
        <w:rPr>
          <w:sz w:val="22"/>
          <w:szCs w:val="22"/>
        </w:rPr>
        <w:t xml:space="preserve"> from </w:t>
      </w:r>
      <w:r w:rsidR="000B59B6" w:rsidRPr="00E80BFC">
        <w:rPr>
          <w:sz w:val="22"/>
          <w:szCs w:val="22"/>
        </w:rPr>
        <w:t>safely</w:t>
      </w:r>
      <w:r w:rsidRPr="00E80BFC">
        <w:rPr>
          <w:sz w:val="22"/>
          <w:szCs w:val="22"/>
        </w:rPr>
        <w:t xml:space="preserve"> navigating the roundabout or </w:t>
      </w:r>
      <w:r w:rsidR="00D90C6C" w:rsidRPr="00E80BFC">
        <w:rPr>
          <w:sz w:val="22"/>
          <w:szCs w:val="22"/>
        </w:rPr>
        <w:t>sometimes</w:t>
      </w:r>
      <w:r w:rsidRPr="00E80BFC">
        <w:rPr>
          <w:sz w:val="22"/>
          <w:szCs w:val="22"/>
        </w:rPr>
        <w:t xml:space="preserve"> (as has been witnessed with some larger vehicles) </w:t>
      </w:r>
      <w:r w:rsidR="000B59B6" w:rsidRPr="00E80BFC">
        <w:rPr>
          <w:sz w:val="22"/>
          <w:szCs w:val="22"/>
        </w:rPr>
        <w:t>prevents them from being able to get round it at all.</w:t>
      </w:r>
    </w:p>
    <w:p w:rsidR="00FD0A57" w:rsidRPr="00E80BFC" w:rsidRDefault="00FD0A57" w:rsidP="00FD0A57">
      <w:pPr>
        <w:pStyle w:val="ListParagraph"/>
        <w:rPr>
          <w:sz w:val="22"/>
          <w:szCs w:val="22"/>
        </w:rPr>
      </w:pPr>
    </w:p>
    <w:p w:rsidR="000B59B6" w:rsidRPr="00E80BFC" w:rsidRDefault="000B59B6" w:rsidP="0058025C">
      <w:pPr>
        <w:pStyle w:val="ListParagraph"/>
        <w:numPr>
          <w:ilvl w:val="0"/>
          <w:numId w:val="2"/>
        </w:numPr>
        <w:rPr>
          <w:sz w:val="22"/>
          <w:szCs w:val="22"/>
        </w:rPr>
      </w:pPr>
      <w:r w:rsidRPr="00E80BFC">
        <w:rPr>
          <w:sz w:val="22"/>
          <w:szCs w:val="22"/>
        </w:rPr>
        <w:t>On occasions the ‘post-midnight’ bus stop area is used by vehicles prior to midnight. On one such occasion the queue back onto the roundabout actually prevented a bus from getting round and it was left once it did get through with nowhere to safely stop.</w:t>
      </w:r>
    </w:p>
    <w:p w:rsidR="000B59B6" w:rsidRPr="00E80BFC" w:rsidRDefault="000B59B6" w:rsidP="000B59B6">
      <w:pPr>
        <w:rPr>
          <w:sz w:val="22"/>
          <w:szCs w:val="22"/>
        </w:rPr>
      </w:pPr>
    </w:p>
    <w:p w:rsidR="00FD0A57" w:rsidRPr="00E80BFC" w:rsidRDefault="000B59B6" w:rsidP="000B59B6">
      <w:pPr>
        <w:rPr>
          <w:sz w:val="22"/>
          <w:szCs w:val="22"/>
        </w:rPr>
      </w:pPr>
      <w:r w:rsidRPr="00E80BFC">
        <w:rPr>
          <w:sz w:val="22"/>
          <w:szCs w:val="22"/>
        </w:rPr>
        <w:t xml:space="preserve">Having considered the matter at length (which has involved discussion with some of our partner agencies), there is an opinion that the problem will only be addressed by closing the short rank entirely and removing the rights to use the bus stop after midnight. </w:t>
      </w:r>
      <w:r w:rsidR="00FD0A57" w:rsidRPr="00E80BFC">
        <w:rPr>
          <w:sz w:val="22"/>
          <w:szCs w:val="22"/>
        </w:rPr>
        <w:t>This action would mean that all Hackney Carriage vehicles wishing to collect passengers from the harbour area would only be permitted to use Victoria Parade or Carey Parade. Customers would be directed to those two areas.</w:t>
      </w:r>
    </w:p>
    <w:p w:rsidR="00FD0A57" w:rsidRPr="00E80BFC" w:rsidRDefault="00FD0A57" w:rsidP="000B59B6">
      <w:pPr>
        <w:rPr>
          <w:sz w:val="22"/>
          <w:szCs w:val="22"/>
        </w:rPr>
      </w:pPr>
    </w:p>
    <w:p w:rsidR="000B59B6" w:rsidRPr="00E80BFC" w:rsidRDefault="00FD0A57" w:rsidP="000B59B6">
      <w:pPr>
        <w:rPr>
          <w:sz w:val="22"/>
          <w:szCs w:val="22"/>
        </w:rPr>
      </w:pPr>
      <w:r w:rsidRPr="00E80BFC">
        <w:rPr>
          <w:sz w:val="22"/>
          <w:szCs w:val="22"/>
        </w:rPr>
        <w:t>This is clearly a drastic move and certainly not a decision to be taken lightly. However, the Licensing Authority must consider the safety and wellbeing of all general public and other road users.</w:t>
      </w:r>
      <w:r w:rsidR="000B59B6" w:rsidRPr="00E80BFC">
        <w:rPr>
          <w:sz w:val="22"/>
          <w:szCs w:val="22"/>
        </w:rPr>
        <w:t xml:space="preserve"> </w:t>
      </w:r>
    </w:p>
    <w:p w:rsidR="00FD0A57" w:rsidRPr="00E80BFC" w:rsidRDefault="00FD0A57" w:rsidP="000B59B6">
      <w:pPr>
        <w:rPr>
          <w:sz w:val="22"/>
          <w:szCs w:val="22"/>
        </w:rPr>
      </w:pPr>
    </w:p>
    <w:p w:rsidR="00FD0A57" w:rsidRPr="00E80BFC" w:rsidRDefault="00FD0A57" w:rsidP="000B59B6">
      <w:pPr>
        <w:rPr>
          <w:sz w:val="22"/>
          <w:szCs w:val="22"/>
        </w:rPr>
      </w:pPr>
      <w:r w:rsidRPr="00E80BFC">
        <w:rPr>
          <w:sz w:val="22"/>
          <w:szCs w:val="22"/>
        </w:rPr>
        <w:t>The purpose of this letter therefore, is to give advance notice as to measures that are being seriously considered</w:t>
      </w:r>
      <w:r w:rsidR="002A7A19">
        <w:rPr>
          <w:sz w:val="22"/>
          <w:szCs w:val="22"/>
        </w:rPr>
        <w:t>, though a consultation exercise would be undertaken before any action is implemented</w:t>
      </w:r>
      <w:r w:rsidRPr="00E80BFC">
        <w:rPr>
          <w:sz w:val="22"/>
          <w:szCs w:val="22"/>
        </w:rPr>
        <w:t xml:space="preserve">. </w:t>
      </w:r>
      <w:r w:rsidR="002A7A19">
        <w:rPr>
          <w:sz w:val="22"/>
          <w:szCs w:val="22"/>
        </w:rPr>
        <w:t>By</w:t>
      </w:r>
      <w:r w:rsidRPr="00E80BFC">
        <w:rPr>
          <w:sz w:val="22"/>
          <w:szCs w:val="22"/>
        </w:rPr>
        <w:t xml:space="preserve"> </w:t>
      </w:r>
      <w:r w:rsidR="002A7A19">
        <w:rPr>
          <w:sz w:val="22"/>
          <w:szCs w:val="22"/>
        </w:rPr>
        <w:t>advising you in advance</w:t>
      </w:r>
      <w:r w:rsidRPr="00E80BFC">
        <w:rPr>
          <w:sz w:val="22"/>
          <w:szCs w:val="22"/>
        </w:rPr>
        <w:t>, this provides opportunity for all drivers to consider the above and to take steps to ensure that these problems do not continue.</w:t>
      </w:r>
    </w:p>
    <w:p w:rsidR="00FD0A57" w:rsidRPr="00E80BFC" w:rsidRDefault="00FD0A57" w:rsidP="000B59B6">
      <w:pPr>
        <w:rPr>
          <w:sz w:val="22"/>
          <w:szCs w:val="22"/>
        </w:rPr>
      </w:pPr>
    </w:p>
    <w:p w:rsidR="00FD0A57" w:rsidRPr="00E80BFC" w:rsidRDefault="00FD0A57" w:rsidP="000B59B6">
      <w:pPr>
        <w:rPr>
          <w:sz w:val="22"/>
          <w:szCs w:val="22"/>
        </w:rPr>
      </w:pPr>
      <w:r w:rsidRPr="00E80BFC">
        <w:rPr>
          <w:sz w:val="22"/>
          <w:szCs w:val="22"/>
        </w:rPr>
        <w:t>The Licensing Authority will work with holders of alcohol premises licences to advise customers that there are two other ranks available (Victoria and Carey Parades) and therefore, if one rank is full, drivers are strongly encouraged to use one of the others as an alternative to causing an obstruction.</w:t>
      </w:r>
    </w:p>
    <w:p w:rsidR="00FD0A57" w:rsidRPr="00E80BFC" w:rsidRDefault="00FD0A57" w:rsidP="000B59B6">
      <w:pPr>
        <w:rPr>
          <w:sz w:val="22"/>
          <w:szCs w:val="22"/>
        </w:rPr>
      </w:pPr>
    </w:p>
    <w:p w:rsidR="00FD0A57" w:rsidRPr="00E80BFC" w:rsidRDefault="004C6CFD" w:rsidP="000B59B6">
      <w:pPr>
        <w:rPr>
          <w:sz w:val="22"/>
          <w:szCs w:val="22"/>
        </w:rPr>
      </w:pPr>
      <w:r w:rsidRPr="00E80BFC">
        <w:rPr>
          <w:sz w:val="22"/>
          <w:szCs w:val="22"/>
        </w:rPr>
        <w:t>Resolution of the problem is within the gift of all drivers by simply taking steps to use another rank and not to queue for a space. If the problem is resolved then any move to close</w:t>
      </w:r>
      <w:r w:rsidR="004E7045" w:rsidRPr="00E80BFC">
        <w:rPr>
          <w:sz w:val="22"/>
          <w:szCs w:val="22"/>
        </w:rPr>
        <w:t xml:space="preserve"> the stated </w:t>
      </w:r>
      <w:r w:rsidRPr="00E80BFC">
        <w:rPr>
          <w:sz w:val="22"/>
          <w:szCs w:val="22"/>
        </w:rPr>
        <w:t>ranks may well be put on hold. However, if not, there will be no alternative but to continue a process to close these facilities.</w:t>
      </w:r>
    </w:p>
    <w:p w:rsidR="004C256D" w:rsidRPr="00E80BFC" w:rsidRDefault="004C256D" w:rsidP="000B59B6">
      <w:pPr>
        <w:rPr>
          <w:sz w:val="22"/>
          <w:szCs w:val="22"/>
        </w:rPr>
      </w:pPr>
    </w:p>
    <w:p w:rsidR="004C256D" w:rsidRPr="00E80BFC" w:rsidRDefault="004C256D" w:rsidP="000B59B6">
      <w:pPr>
        <w:rPr>
          <w:sz w:val="22"/>
          <w:szCs w:val="22"/>
        </w:rPr>
      </w:pPr>
      <w:r w:rsidRPr="00E80BFC">
        <w:rPr>
          <w:sz w:val="22"/>
          <w:szCs w:val="22"/>
        </w:rPr>
        <w:t xml:space="preserve">Whilst we believe that the content of this letter is clear, any person wishing to clarify any point may do so, however, given current resources such questions will only be responded to if sent by email to </w:t>
      </w:r>
      <w:hyperlink r:id="rId7" w:history="1">
        <w:r w:rsidRPr="00E80BFC">
          <w:rPr>
            <w:rStyle w:val="Hyperlink"/>
            <w:szCs w:val="22"/>
          </w:rPr>
          <w:t>taxirenewals@torbay.gov.uk</w:t>
        </w:r>
      </w:hyperlink>
      <w:r w:rsidRPr="00E80BFC">
        <w:rPr>
          <w:sz w:val="22"/>
          <w:szCs w:val="22"/>
        </w:rPr>
        <w:t>, as there is no facility for fielding individual calls.</w:t>
      </w:r>
    </w:p>
    <w:p w:rsidR="004C6CFD" w:rsidRPr="00E80BFC" w:rsidRDefault="004C256D" w:rsidP="000B59B6">
      <w:pPr>
        <w:rPr>
          <w:sz w:val="22"/>
          <w:szCs w:val="22"/>
        </w:rPr>
      </w:pPr>
      <w:r w:rsidRPr="00E80BFC">
        <w:rPr>
          <w:sz w:val="22"/>
          <w:szCs w:val="22"/>
        </w:rPr>
        <w:lastRenderedPageBreak/>
        <w:t xml:space="preserve"> </w:t>
      </w:r>
    </w:p>
    <w:p w:rsidR="00995205" w:rsidRPr="00E80BFC" w:rsidRDefault="00995205" w:rsidP="00D42F92">
      <w:pPr>
        <w:rPr>
          <w:sz w:val="22"/>
          <w:szCs w:val="22"/>
        </w:rPr>
      </w:pPr>
      <w:r w:rsidRPr="00E80BFC">
        <w:rPr>
          <w:sz w:val="22"/>
          <w:szCs w:val="22"/>
        </w:rPr>
        <w:t xml:space="preserve">Yours </w:t>
      </w:r>
      <w:r w:rsidR="004C6CFD" w:rsidRPr="00E80BFC">
        <w:rPr>
          <w:sz w:val="22"/>
          <w:szCs w:val="22"/>
        </w:rPr>
        <w:t>faithfully</w:t>
      </w:r>
    </w:p>
    <w:p w:rsidR="004C6CFD" w:rsidRPr="00E80BFC" w:rsidRDefault="004C6CFD" w:rsidP="00D42F92">
      <w:pPr>
        <w:rPr>
          <w:sz w:val="22"/>
          <w:szCs w:val="22"/>
        </w:rPr>
      </w:pPr>
    </w:p>
    <w:p w:rsidR="004C6CFD" w:rsidRPr="00E80BFC" w:rsidRDefault="004C6CFD" w:rsidP="00D42F92">
      <w:pPr>
        <w:rPr>
          <w:sz w:val="22"/>
          <w:szCs w:val="22"/>
        </w:rPr>
      </w:pPr>
    </w:p>
    <w:p w:rsidR="004C6CFD" w:rsidRPr="00E80BFC" w:rsidRDefault="004C6CFD" w:rsidP="00D42F92">
      <w:pPr>
        <w:rPr>
          <w:sz w:val="22"/>
          <w:szCs w:val="22"/>
        </w:rPr>
      </w:pPr>
    </w:p>
    <w:p w:rsidR="004C6CFD" w:rsidRPr="00E80BFC" w:rsidRDefault="004C6CFD" w:rsidP="00D42F92">
      <w:pPr>
        <w:rPr>
          <w:sz w:val="22"/>
          <w:szCs w:val="22"/>
        </w:rPr>
      </w:pPr>
      <w:r w:rsidRPr="00E80BFC">
        <w:rPr>
          <w:sz w:val="22"/>
          <w:szCs w:val="22"/>
        </w:rPr>
        <w:t>Gary O’Shea</w:t>
      </w:r>
    </w:p>
    <w:p w:rsidR="004C6CFD" w:rsidRPr="00E80BFC" w:rsidRDefault="004C6CFD" w:rsidP="00D42F92">
      <w:pPr>
        <w:rPr>
          <w:sz w:val="22"/>
          <w:szCs w:val="22"/>
        </w:rPr>
      </w:pPr>
      <w:r w:rsidRPr="00E80BFC">
        <w:rPr>
          <w:sz w:val="22"/>
          <w:szCs w:val="22"/>
        </w:rPr>
        <w:t>Principal Officer</w:t>
      </w:r>
    </w:p>
    <w:p w:rsidR="004C6CFD" w:rsidRPr="00E80BFC" w:rsidRDefault="004C6CFD" w:rsidP="00D42F92">
      <w:pPr>
        <w:rPr>
          <w:sz w:val="22"/>
          <w:szCs w:val="22"/>
        </w:rPr>
      </w:pPr>
      <w:r w:rsidRPr="00E80BFC">
        <w:rPr>
          <w:sz w:val="22"/>
          <w:szCs w:val="22"/>
        </w:rPr>
        <w:t>Licensing and Public Protection</w:t>
      </w:r>
    </w:p>
    <w:sectPr w:rsidR="004C6CFD" w:rsidRPr="00E80BFC" w:rsidSect="00745E68">
      <w:headerReference w:type="first" r:id="rId8"/>
      <w:footerReference w:type="first" r:id="rId9"/>
      <w:endnotePr>
        <w:numFmt w:val="decimal"/>
      </w:endnotePr>
      <w:type w:val="continuous"/>
      <w:pgSz w:w="11905" w:h="16837" w:code="9"/>
      <w:pgMar w:top="1134" w:right="1134" w:bottom="1134" w:left="1134" w:header="0" w:footer="680" w:gutter="0"/>
      <w:paperSrc w:first="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5C3" w:rsidRDefault="001775C3">
      <w:pPr>
        <w:spacing w:after="0"/>
      </w:pPr>
      <w:r>
        <w:separator/>
      </w:r>
    </w:p>
  </w:endnote>
  <w:endnote w:type="continuationSeparator" w:id="0">
    <w:p w:rsidR="001775C3" w:rsidRDefault="001775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65" w:rsidRDefault="00344065" w:rsidP="0005049A">
    <w:pPr>
      <w:tabs>
        <w:tab w:val="left" w:pos="-284"/>
      </w:tabs>
      <w:autoSpaceDE w:val="0"/>
      <w:autoSpaceDN w:val="0"/>
      <w:adjustRightInd w:val="0"/>
      <w:spacing w:after="40"/>
    </w:pPr>
    <w:r>
      <w:rPr>
        <w:noProof/>
        <w:lang w:eastAsia="en-GB"/>
      </w:rPr>
      <w:drawing>
        <wp:inline distT="0" distB="0" distL="0" distR="0">
          <wp:extent cx="6092190" cy="572770"/>
          <wp:effectExtent l="19050" t="0" r="3810" b="0"/>
          <wp:docPr id="1" name="Picture 0" descr="letterhead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_footer.png"/>
                  <pic:cNvPicPr>
                    <a:picLocks noChangeAspect="1" noChangeArrowheads="1"/>
                  </pic:cNvPicPr>
                </pic:nvPicPr>
                <pic:blipFill>
                  <a:blip r:embed="rId1"/>
                  <a:srcRect/>
                  <a:stretch>
                    <a:fillRect/>
                  </a:stretch>
                </pic:blipFill>
                <pic:spPr bwMode="auto">
                  <a:xfrm>
                    <a:off x="0" y="0"/>
                    <a:ext cx="6092190" cy="572770"/>
                  </a:xfrm>
                  <a:prstGeom prst="rect">
                    <a:avLst/>
                  </a:prstGeom>
                  <a:noFill/>
                  <a:ln w="9525">
                    <a:noFill/>
                    <a:miter lim="800000"/>
                    <a:headEnd/>
                    <a:tailEnd/>
                  </a:ln>
                </pic:spPr>
              </pic:pic>
            </a:graphicData>
          </a:graphic>
        </wp:inline>
      </w:drawing>
    </w:r>
  </w:p>
  <w:p w:rsidR="00344065" w:rsidRPr="005044F6" w:rsidRDefault="00344065" w:rsidP="005044F6">
    <w:pPr>
      <w:spacing w:before="120" w:after="0"/>
      <w:rPr>
        <w:sz w:val="28"/>
      </w:rPr>
    </w:pPr>
    <w:r w:rsidRPr="005044F6">
      <w:rPr>
        <w:sz w:val="28"/>
      </w:rPr>
      <w:t xml:space="preserve">If you require this in a different format or language, please contact me.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5C3" w:rsidRDefault="001775C3">
      <w:pPr>
        <w:spacing w:after="0"/>
      </w:pPr>
      <w:r>
        <w:separator/>
      </w:r>
    </w:p>
  </w:footnote>
  <w:footnote w:type="continuationSeparator" w:id="0">
    <w:p w:rsidR="001775C3" w:rsidRDefault="001775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65" w:rsidRDefault="00344065">
    <w:pPr>
      <w:pStyle w:val="Header"/>
      <w:tabs>
        <w:tab w:val="left" w:pos="5103"/>
      </w:tabs>
      <w:spacing w:line="320" w:lineRule="exact"/>
    </w:pPr>
    <w:r>
      <w:rPr>
        <w:b/>
      </w:rPr>
      <w:tab/>
    </w:r>
    <w:r>
      <w:rPr>
        <w:b/>
      </w:rPr>
      <w:tab/>
    </w:r>
    <w:r>
      <w:t xml:space="preserve"> </w:t>
    </w:r>
  </w:p>
  <w:p w:rsidR="00344065" w:rsidRDefault="00344065">
    <w:pPr>
      <w:pStyle w:val="Header"/>
      <w:jc w:val="right"/>
    </w:pPr>
  </w:p>
  <w:p w:rsidR="00344065" w:rsidRDefault="00344065">
    <w:pPr>
      <w:pStyle w:val="Header"/>
    </w:pPr>
  </w:p>
  <w:p w:rsidR="00344065" w:rsidRDefault="00344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F2EA0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0C931B2"/>
    <w:multiLevelType w:val="hybridMultilevel"/>
    <w:tmpl w:val="1B502C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86"/>
    <w:rsid w:val="00015F24"/>
    <w:rsid w:val="0005049A"/>
    <w:rsid w:val="000B59B6"/>
    <w:rsid w:val="001775C3"/>
    <w:rsid w:val="002A5386"/>
    <w:rsid w:val="002A7A19"/>
    <w:rsid w:val="00344065"/>
    <w:rsid w:val="0034518A"/>
    <w:rsid w:val="00483FF5"/>
    <w:rsid w:val="004A2EE3"/>
    <w:rsid w:val="004C256D"/>
    <w:rsid w:val="004C31C5"/>
    <w:rsid w:val="004C6CFD"/>
    <w:rsid w:val="004E7045"/>
    <w:rsid w:val="005044F6"/>
    <w:rsid w:val="0055361F"/>
    <w:rsid w:val="005572B1"/>
    <w:rsid w:val="0058025C"/>
    <w:rsid w:val="005F3495"/>
    <w:rsid w:val="006F33C2"/>
    <w:rsid w:val="007312D4"/>
    <w:rsid w:val="00745E68"/>
    <w:rsid w:val="00763B58"/>
    <w:rsid w:val="00792B9B"/>
    <w:rsid w:val="008E41CA"/>
    <w:rsid w:val="0093794E"/>
    <w:rsid w:val="0094645B"/>
    <w:rsid w:val="009609A2"/>
    <w:rsid w:val="00977AD7"/>
    <w:rsid w:val="00995205"/>
    <w:rsid w:val="00A251FB"/>
    <w:rsid w:val="00AA630C"/>
    <w:rsid w:val="00AB08EE"/>
    <w:rsid w:val="00AD1578"/>
    <w:rsid w:val="00BB15CB"/>
    <w:rsid w:val="00C74D0F"/>
    <w:rsid w:val="00C77367"/>
    <w:rsid w:val="00D42F92"/>
    <w:rsid w:val="00D90C6C"/>
    <w:rsid w:val="00D96975"/>
    <w:rsid w:val="00DA4043"/>
    <w:rsid w:val="00DB1A3E"/>
    <w:rsid w:val="00DF091F"/>
    <w:rsid w:val="00E005A7"/>
    <w:rsid w:val="00E2108B"/>
    <w:rsid w:val="00E25A5D"/>
    <w:rsid w:val="00E64A05"/>
    <w:rsid w:val="00E80BFC"/>
    <w:rsid w:val="00EA434B"/>
    <w:rsid w:val="00EB2102"/>
    <w:rsid w:val="00EB721D"/>
    <w:rsid w:val="00F41C3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F29BCE-3F7B-4125-9667-6D1071B7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205"/>
    <w:pPr>
      <w:spacing w:after="60"/>
    </w:pPr>
    <w:rPr>
      <w:rFonts w:ascii="Arial" w:hAnsi="Arial"/>
      <w:color w:val="000000"/>
      <w:sz w:val="24"/>
      <w:lang w:eastAsia="en-US"/>
    </w:rPr>
  </w:style>
  <w:style w:type="paragraph" w:styleId="Heading1">
    <w:name w:val="heading 1"/>
    <w:basedOn w:val="Normal"/>
    <w:next w:val="Normal"/>
    <w:qFormat/>
    <w:rsid w:val="00D96975"/>
    <w:pPr>
      <w:keepNext/>
      <w:pBdr>
        <w:bottom w:val="single" w:sz="4" w:space="1" w:color="auto"/>
      </w:pBdr>
      <w:outlineLvl w:val="0"/>
    </w:pPr>
    <w:rPr>
      <w:b/>
    </w:rPr>
  </w:style>
  <w:style w:type="paragraph" w:styleId="Heading2">
    <w:name w:val="heading 2"/>
    <w:basedOn w:val="Normal"/>
    <w:next w:val="Normal"/>
    <w:qFormat/>
    <w:rsid w:val="00D42F92"/>
    <w:pPr>
      <w:keepNext/>
      <w:spacing w:before="240"/>
      <w:outlineLvl w:val="1"/>
    </w:pPr>
    <w:rPr>
      <w:b/>
    </w:rPr>
  </w:style>
  <w:style w:type="paragraph" w:styleId="Heading3">
    <w:name w:val="heading 3"/>
    <w:basedOn w:val="Normal"/>
    <w:next w:val="Normal"/>
    <w:qFormat/>
    <w:rsid w:val="00D42F92"/>
    <w:pPr>
      <w:keepNext/>
      <w:spacing w:before="240"/>
      <w:outlineLvl w:val="2"/>
    </w:pPr>
  </w:style>
  <w:style w:type="paragraph" w:styleId="Heading8">
    <w:name w:val="heading 8"/>
    <w:basedOn w:val="Normal"/>
    <w:next w:val="Normal"/>
    <w:qFormat/>
    <w:rsid w:val="00D42F92"/>
    <w:pPr>
      <w:keepNext/>
      <w:outlineLvl w:val="7"/>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42F92"/>
    <w:rPr>
      <w:rFonts w:ascii="Arial" w:hAnsi="Arial"/>
      <w:vertAlign w:val="superscript"/>
    </w:rPr>
  </w:style>
  <w:style w:type="paragraph" w:styleId="Header">
    <w:name w:val="header"/>
    <w:basedOn w:val="Normal"/>
    <w:rsid w:val="0055361F"/>
    <w:pPr>
      <w:tabs>
        <w:tab w:val="center" w:pos="4153"/>
        <w:tab w:val="right" w:pos="8306"/>
      </w:tabs>
    </w:pPr>
  </w:style>
  <w:style w:type="paragraph" w:styleId="Footer">
    <w:name w:val="footer"/>
    <w:basedOn w:val="Normal"/>
    <w:rsid w:val="00977AD7"/>
    <w:pPr>
      <w:tabs>
        <w:tab w:val="center" w:pos="4153"/>
        <w:tab w:val="right" w:pos="8306"/>
      </w:tabs>
      <w:jc w:val="center"/>
    </w:pPr>
    <w:rPr>
      <w:sz w:val="22"/>
    </w:rPr>
  </w:style>
  <w:style w:type="character" w:styleId="CommentReference">
    <w:name w:val="annotation reference"/>
    <w:basedOn w:val="DefaultParagraphFont"/>
    <w:semiHidden/>
    <w:rsid w:val="0055361F"/>
    <w:rPr>
      <w:sz w:val="16"/>
      <w:szCs w:val="16"/>
    </w:rPr>
  </w:style>
  <w:style w:type="paragraph" w:styleId="CommentText">
    <w:name w:val="annotation text"/>
    <w:basedOn w:val="Normal"/>
    <w:semiHidden/>
    <w:rsid w:val="0055361F"/>
    <w:rPr>
      <w:rFonts w:ascii="Times New Roman" w:hAnsi="Times New Roman"/>
      <w:sz w:val="20"/>
    </w:rPr>
  </w:style>
  <w:style w:type="paragraph" w:styleId="BalloonText">
    <w:name w:val="Balloon Text"/>
    <w:basedOn w:val="Normal"/>
    <w:semiHidden/>
    <w:rsid w:val="0055361F"/>
    <w:rPr>
      <w:rFonts w:ascii="Tahoma" w:hAnsi="Tahoma" w:cs="Tahoma"/>
      <w:sz w:val="16"/>
      <w:szCs w:val="16"/>
    </w:rPr>
  </w:style>
  <w:style w:type="character" w:styleId="Hyperlink">
    <w:name w:val="Hyperlink"/>
    <w:basedOn w:val="DefaultParagraphFont"/>
    <w:rsid w:val="00D96975"/>
    <w:rPr>
      <w:rFonts w:ascii="Arial" w:hAnsi="Arial"/>
      <w:color w:val="auto"/>
      <w:sz w:val="22"/>
      <w:u w:val="none"/>
    </w:rPr>
  </w:style>
  <w:style w:type="character" w:styleId="FollowedHyperlink">
    <w:name w:val="FollowedHyperlink"/>
    <w:basedOn w:val="DefaultParagraphFont"/>
    <w:rsid w:val="00D96975"/>
    <w:rPr>
      <w:rFonts w:ascii="Arial" w:hAnsi="Arial"/>
      <w:color w:val="auto"/>
      <w:sz w:val="22"/>
      <w:szCs w:val="22"/>
      <w:u w:val="none"/>
    </w:rPr>
  </w:style>
  <w:style w:type="paragraph" w:styleId="FootnoteText">
    <w:name w:val="footnote text"/>
    <w:basedOn w:val="Normal"/>
    <w:semiHidden/>
    <w:rsid w:val="00D42F92"/>
    <w:rPr>
      <w:sz w:val="16"/>
    </w:rPr>
  </w:style>
  <w:style w:type="paragraph" w:styleId="DocumentMap">
    <w:name w:val="Document Map"/>
    <w:basedOn w:val="Normal"/>
    <w:semiHidden/>
    <w:rsid w:val="0055361F"/>
    <w:pPr>
      <w:shd w:val="clear" w:color="auto" w:fill="000080"/>
    </w:pPr>
    <w:rPr>
      <w:rFonts w:ascii="Tahoma" w:hAnsi="Tahoma"/>
    </w:rPr>
  </w:style>
  <w:style w:type="paragraph" w:styleId="ListBullet">
    <w:name w:val="List Bullet"/>
    <w:basedOn w:val="Normal"/>
    <w:rsid w:val="00D96975"/>
    <w:pPr>
      <w:numPr>
        <w:numId w:val="1"/>
      </w:numPr>
    </w:pPr>
  </w:style>
  <w:style w:type="paragraph" w:styleId="ListParagraph">
    <w:name w:val="List Paragraph"/>
    <w:basedOn w:val="Normal"/>
    <w:uiPriority w:val="34"/>
    <w:qFormat/>
    <w:rsid w:val="0058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xirenewals@torb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it128\AppData\Local\Microsoft\Windows\Temporary%20Internet%20Files\Content.Outlook\Y0WA2GCF\letterhead_2015_core%20valu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letterhead_2015_core values.dotx</Template>
  <TotalTime>0</TotalTime>
  <Pages>2</Pages>
  <Words>748</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Please phone 01803 000000 for a large print version of this letter</vt:lpstr>
    </vt:vector>
  </TitlesOfParts>
  <Company>Torbay Council</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phone 01803 000000 for a large print version of this letter</dc:title>
  <dc:creator>csit128</dc:creator>
  <cp:lastModifiedBy>Rackley, Shaun</cp:lastModifiedBy>
  <cp:revision>2</cp:revision>
  <cp:lastPrinted>2017-12-13T16:26:00Z</cp:lastPrinted>
  <dcterms:created xsi:type="dcterms:W3CDTF">2018-08-24T09:30:00Z</dcterms:created>
  <dcterms:modified xsi:type="dcterms:W3CDTF">2018-08-24T09:30:00Z</dcterms:modified>
</cp:coreProperties>
</file>