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83F69" w:rsidRDefault="004B1888">
      <w:r>
        <w:rPr>
          <w:noProof/>
          <w:lang w:val="en-GB" w:eastAsia="en-GB" w:bidi="ar-SA"/>
        </w:rPr>
        <mc:AlternateContent>
          <mc:Choice Requires="wps">
            <w:drawing>
              <wp:anchor distT="0" distB="0" distL="114300" distR="114300" simplePos="0" relativeHeight="251658240" behindDoc="0" locked="0" layoutInCell="1" allowOverlap="1">
                <wp:simplePos x="0" y="0"/>
                <wp:positionH relativeFrom="column">
                  <wp:posOffset>-135255</wp:posOffset>
                </wp:positionH>
                <wp:positionV relativeFrom="paragraph">
                  <wp:posOffset>8159750</wp:posOffset>
                </wp:positionV>
                <wp:extent cx="6443345" cy="1632585"/>
                <wp:effectExtent l="0" t="0" r="1460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397E" w:rsidRPr="00A50966" w:rsidRDefault="0068397E" w:rsidP="00C730E3">
                            <w:pPr>
                              <w:pStyle w:val="covertitle"/>
                              <w:rPr>
                                <w:sz w:val="72"/>
                                <w:szCs w:val="72"/>
                              </w:rPr>
                            </w:pPr>
                            <w:r>
                              <w:rPr>
                                <w:sz w:val="72"/>
                                <w:szCs w:val="72"/>
                              </w:rPr>
                              <w:t>Authority Monitoring Report</w:t>
                            </w:r>
                          </w:p>
                          <w:p w:rsidR="0068397E" w:rsidRPr="00C730E3" w:rsidRDefault="0068397E" w:rsidP="00C730E3">
                            <w:pPr>
                              <w:pStyle w:val="coversubtitle"/>
                              <w:rPr>
                                <w:color w:val="DCD0E8"/>
                                <w:sz w:val="32"/>
                              </w:rPr>
                            </w:pPr>
                            <w:r>
                              <w:rPr>
                                <w:color w:val="DCD0E8"/>
                                <w:sz w:val="32"/>
                              </w:rPr>
                              <w:t xml:space="preserve">December 2017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5pt;margin-top:642.5pt;width:507.35pt;height:12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I2rgIAAKo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" filled="f" stroked="f">
                <v:textbox inset="0,0,0,0">
                  <w:txbxContent>
                    <w:p w:rsidR="0068397E" w:rsidRPr="00A50966" w:rsidRDefault="0068397E" w:rsidP="00C730E3">
                      <w:pPr>
                        <w:pStyle w:val="covertitle"/>
                        <w:rPr>
                          <w:sz w:val="72"/>
                          <w:szCs w:val="72"/>
                        </w:rPr>
                      </w:pPr>
                      <w:r>
                        <w:rPr>
                          <w:sz w:val="72"/>
                          <w:szCs w:val="72"/>
                        </w:rPr>
                        <w:t>Authority Monitoring Report</w:t>
                      </w:r>
                    </w:p>
                    <w:p w:rsidR="0068397E" w:rsidRPr="00C730E3" w:rsidRDefault="0068397E" w:rsidP="00C730E3">
                      <w:pPr>
                        <w:pStyle w:val="coversubtitle"/>
                        <w:rPr>
                          <w:color w:val="DCD0E8"/>
                          <w:sz w:val="32"/>
                        </w:rPr>
                      </w:pPr>
                      <w:r>
                        <w:rPr>
                          <w:color w:val="DCD0E8"/>
                          <w:sz w:val="32"/>
                        </w:rPr>
                        <w:t xml:space="preserve">December 2017 </w:t>
                      </w:r>
                    </w:p>
                  </w:txbxContent>
                </v:textbox>
              </v:shape>
            </w:pict>
          </mc:Fallback>
        </mc:AlternateContent>
      </w:r>
      <w:r w:rsidR="0038010E">
        <w:br w:type="page"/>
      </w:r>
      <w:r w:rsidR="007C59D2" w:rsidRPr="007C59D2">
        <w:rPr>
          <w:noProof/>
          <w:lang w:val="en-GB" w:eastAsia="en-GB" w:bidi="ar-SA"/>
        </w:rPr>
        <w:drawing>
          <wp:anchor distT="0" distB="0" distL="114300" distR="114300" simplePos="0" relativeHeight="251661312" behindDoc="1" locked="0" layoutInCell="1" allowOverlap="1">
            <wp:simplePos x="0" y="0"/>
            <wp:positionH relativeFrom="column">
              <wp:posOffset>-530860</wp:posOffset>
            </wp:positionH>
            <wp:positionV relativeFrom="paragraph">
              <wp:posOffset>-540385</wp:posOffset>
            </wp:positionV>
            <wp:extent cx="7543800" cy="10696575"/>
            <wp:effectExtent l="19050" t="0" r="0" b="0"/>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tretch>
                      <a:fillRect/>
                    </a:stretch>
                  </pic:blipFill>
                  <pic:spPr>
                    <a:xfrm>
                      <a:off x="0" y="0"/>
                      <a:ext cx="7544344" cy="10698480"/>
                    </a:xfrm>
                    <a:prstGeom prst="rect">
                      <a:avLst/>
                    </a:prstGeom>
                  </pic:spPr>
                </pic:pic>
              </a:graphicData>
            </a:graphic>
          </wp:anchor>
        </w:drawing>
      </w:r>
    </w:p>
    <w:p w:rsidR="009E4EE2" w:rsidRDefault="009E4EE2"/>
    <w:tbl>
      <w:tblPr>
        <w:tblStyle w:val="calloutbox"/>
        <w:tblW w:w="0" w:type="auto"/>
        <w:tblLook w:val="04A0" w:firstRow="1" w:lastRow="0" w:firstColumn="1" w:lastColumn="0" w:noHBand="0" w:noVBand="1"/>
      </w:tblPr>
      <w:tblGrid>
        <w:gridCol w:w="10204"/>
      </w:tblGrid>
      <w:tr w:rsidR="00583F69" w:rsidTr="00352EEB">
        <w:tc>
          <w:tcPr>
            <w:tcW w:w="10420" w:type="dxa"/>
          </w:tcPr>
          <w:p w:rsidR="00583F69" w:rsidRPr="000C0044" w:rsidRDefault="00583F69" w:rsidP="00583F69">
            <w:pPr>
              <w:pStyle w:val="Calloutboxheading"/>
              <w:rPr>
                <w:color w:val="7030A0"/>
              </w:rPr>
            </w:pPr>
            <w:r>
              <w:br w:type="page"/>
            </w:r>
            <w:r w:rsidRPr="000C0044">
              <w:rPr>
                <w:color w:val="7030A0"/>
              </w:rPr>
              <w:t xml:space="preserve">The Torbay </w:t>
            </w:r>
            <w:r w:rsidR="00E149E2" w:rsidRPr="000C0044">
              <w:rPr>
                <w:color w:val="7030A0"/>
              </w:rPr>
              <w:t>Authority Monitoring Report</w:t>
            </w:r>
            <w:r w:rsidRPr="000C0044">
              <w:rPr>
                <w:color w:val="7030A0"/>
              </w:rPr>
              <w:t xml:space="preserve"> (</w:t>
            </w:r>
            <w:r w:rsidR="00E149E2" w:rsidRPr="000C0044">
              <w:rPr>
                <w:color w:val="7030A0"/>
              </w:rPr>
              <w:t>AMR</w:t>
            </w:r>
            <w:r w:rsidRPr="000C0044">
              <w:rPr>
                <w:color w:val="7030A0"/>
              </w:rPr>
              <w:t>) is available….</w:t>
            </w:r>
          </w:p>
          <w:p w:rsidR="00583F69" w:rsidRPr="000C0044" w:rsidRDefault="00583F69" w:rsidP="00583F69">
            <w:pPr>
              <w:pStyle w:val="Calloutboxheading"/>
              <w:rPr>
                <w:color w:val="7030A0"/>
                <w:sz w:val="24"/>
                <w:szCs w:val="24"/>
              </w:rPr>
            </w:pPr>
          </w:p>
          <w:p w:rsidR="00583F69" w:rsidRPr="000C0044" w:rsidRDefault="00583F69" w:rsidP="00583F69">
            <w:pPr>
              <w:pStyle w:val="Calloutboxheading"/>
              <w:jc w:val="center"/>
              <w:rPr>
                <w:color w:val="7030A0"/>
                <w:sz w:val="24"/>
                <w:szCs w:val="24"/>
              </w:rPr>
            </w:pPr>
            <w:r w:rsidRPr="000C0044">
              <w:rPr>
                <w:color w:val="7030A0"/>
                <w:sz w:val="24"/>
                <w:szCs w:val="24"/>
              </w:rPr>
              <w:t>on the Torbay Council Website:</w:t>
            </w:r>
          </w:p>
          <w:p w:rsidR="00583F69" w:rsidRPr="000C0044" w:rsidRDefault="00E149E2" w:rsidP="00583F69">
            <w:pPr>
              <w:pStyle w:val="Calloutboxheading"/>
              <w:jc w:val="center"/>
              <w:rPr>
                <w:color w:val="7030A0"/>
                <w:sz w:val="24"/>
                <w:szCs w:val="24"/>
              </w:rPr>
            </w:pPr>
            <w:r w:rsidRPr="000C0044">
              <w:rPr>
                <w:color w:val="7030A0"/>
                <w:sz w:val="24"/>
                <w:szCs w:val="24"/>
              </w:rPr>
              <w:t>www.torbay.gov.uk/</w:t>
            </w:r>
            <w:r w:rsidR="0086630A" w:rsidRPr="000C0044">
              <w:rPr>
                <w:color w:val="7030A0"/>
                <w:sz w:val="24"/>
                <w:szCs w:val="24"/>
              </w:rPr>
              <w:t>evidence-base-and-monitoring</w:t>
            </w:r>
          </w:p>
          <w:p w:rsidR="00583F69" w:rsidRPr="000C0044" w:rsidRDefault="00583F69" w:rsidP="00583F69">
            <w:pPr>
              <w:pStyle w:val="Calloutboxheading"/>
              <w:jc w:val="center"/>
              <w:rPr>
                <w:color w:val="7030A0"/>
                <w:sz w:val="24"/>
                <w:szCs w:val="24"/>
              </w:rPr>
            </w:pPr>
          </w:p>
          <w:p w:rsidR="00583F69" w:rsidRPr="000C0044" w:rsidRDefault="00583F69" w:rsidP="00583F69">
            <w:pPr>
              <w:pStyle w:val="Calloutboxheading"/>
              <w:jc w:val="center"/>
              <w:rPr>
                <w:b w:val="0"/>
                <w:color w:val="7030A0"/>
                <w:sz w:val="24"/>
                <w:szCs w:val="24"/>
              </w:rPr>
            </w:pPr>
            <w:r w:rsidRPr="000C0044">
              <w:rPr>
                <w:color w:val="7030A0"/>
                <w:sz w:val="24"/>
                <w:szCs w:val="24"/>
              </w:rPr>
              <w:t xml:space="preserve">and at Torbay Council’s Spatial Planning Offices at </w:t>
            </w:r>
            <w:r w:rsidR="0086630A" w:rsidRPr="000C0044">
              <w:rPr>
                <w:color w:val="7030A0"/>
                <w:sz w:val="24"/>
                <w:szCs w:val="24"/>
              </w:rPr>
              <w:t>Tor Hill</w:t>
            </w:r>
            <w:r w:rsidRPr="000C0044">
              <w:rPr>
                <w:color w:val="7030A0"/>
                <w:sz w:val="24"/>
                <w:szCs w:val="24"/>
              </w:rPr>
              <w:t xml:space="preserve"> House, </w:t>
            </w:r>
            <w:r w:rsidR="0086630A" w:rsidRPr="000C0044">
              <w:rPr>
                <w:color w:val="7030A0"/>
                <w:sz w:val="24"/>
                <w:szCs w:val="24"/>
              </w:rPr>
              <w:t>Union Street</w:t>
            </w:r>
            <w:r w:rsidRPr="000C0044">
              <w:rPr>
                <w:color w:val="7030A0"/>
                <w:sz w:val="24"/>
                <w:szCs w:val="24"/>
              </w:rPr>
              <w:t>, Torquay TQ</w:t>
            </w:r>
            <w:r w:rsidR="0086630A" w:rsidRPr="000C0044">
              <w:rPr>
                <w:color w:val="7030A0"/>
                <w:sz w:val="24"/>
                <w:szCs w:val="24"/>
              </w:rPr>
              <w:t>2</w:t>
            </w:r>
            <w:r w:rsidRPr="000C0044">
              <w:rPr>
                <w:color w:val="7030A0"/>
                <w:sz w:val="24"/>
                <w:szCs w:val="24"/>
              </w:rPr>
              <w:t xml:space="preserve"> </w:t>
            </w:r>
            <w:r w:rsidR="0086630A" w:rsidRPr="000C0044">
              <w:rPr>
                <w:color w:val="7030A0"/>
                <w:sz w:val="24"/>
                <w:szCs w:val="24"/>
              </w:rPr>
              <w:t>5QW</w:t>
            </w:r>
          </w:p>
          <w:p w:rsidR="00583F69" w:rsidRPr="000C0044" w:rsidRDefault="00583F69" w:rsidP="00583F69">
            <w:pPr>
              <w:pStyle w:val="Calloutboxheading"/>
              <w:jc w:val="center"/>
              <w:rPr>
                <w:b w:val="0"/>
                <w:color w:val="7030A0"/>
                <w:sz w:val="24"/>
                <w:szCs w:val="24"/>
              </w:rPr>
            </w:pPr>
          </w:p>
          <w:p w:rsidR="00583F69" w:rsidRPr="000C0044" w:rsidRDefault="00583F69" w:rsidP="00583F69">
            <w:pPr>
              <w:jc w:val="center"/>
              <w:rPr>
                <w:rFonts w:ascii="Arial" w:hAnsi="Arial" w:cs="Arial"/>
                <w:color w:val="7030A0"/>
                <w:sz w:val="24"/>
                <w:szCs w:val="24"/>
              </w:rPr>
            </w:pP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 xml:space="preserve">If you would like any further information about this document or any aspect of the Torbay </w:t>
            </w:r>
            <w:r w:rsidR="000431F9" w:rsidRPr="000C0044">
              <w:rPr>
                <w:rFonts w:ascii="Arial" w:hAnsi="Arial" w:cs="Arial"/>
                <w:b/>
                <w:color w:val="7030A0"/>
                <w:sz w:val="24"/>
                <w:szCs w:val="24"/>
              </w:rPr>
              <w:t>Local</w:t>
            </w:r>
            <w:r w:rsidRPr="000C0044">
              <w:rPr>
                <w:rFonts w:ascii="Arial" w:hAnsi="Arial" w:cs="Arial"/>
                <w:b/>
                <w:color w:val="7030A0"/>
                <w:sz w:val="24"/>
                <w:szCs w:val="24"/>
              </w:rPr>
              <w:t xml:space="preserve"> Plan please use the contact details below:</w:t>
            </w: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phone:  01803 208804</w:t>
            </w: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 xml:space="preserve">email: </w:t>
            </w:r>
            <w:hyperlink r:id="rId9" w:history="1">
              <w:r w:rsidRPr="000C0044">
                <w:rPr>
                  <w:rStyle w:val="Hyperlink"/>
                  <w:rFonts w:ascii="Arial" w:hAnsi="Arial" w:cs="Arial"/>
                  <w:b/>
                  <w:color w:val="7030A0"/>
                  <w:sz w:val="24"/>
                  <w:szCs w:val="24"/>
                </w:rPr>
                <w:t>future.planning@torbay.gov.uk</w:t>
              </w:r>
            </w:hyperlink>
          </w:p>
          <w:p w:rsidR="00583F69" w:rsidRPr="000C0044" w:rsidRDefault="00583F69" w:rsidP="00583F69">
            <w:pPr>
              <w:jc w:val="center"/>
              <w:rPr>
                <w:rFonts w:ascii="Arial" w:hAnsi="Arial" w:cs="Arial"/>
                <w:b/>
                <w:color w:val="7030A0"/>
                <w:sz w:val="24"/>
                <w:szCs w:val="24"/>
              </w:rPr>
            </w:pP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Other links that will provide more detailed background information on the spatial planning system include:</w:t>
            </w:r>
          </w:p>
          <w:p w:rsidR="00583F69" w:rsidRPr="000C0044" w:rsidRDefault="00583F69" w:rsidP="00583F69">
            <w:pPr>
              <w:jc w:val="center"/>
              <w:rPr>
                <w:rFonts w:ascii="Arial" w:hAnsi="Arial" w:cs="Arial"/>
                <w:b/>
                <w:color w:val="7030A0"/>
                <w:sz w:val="24"/>
                <w:szCs w:val="24"/>
              </w:rPr>
            </w:pP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 xml:space="preserve">National Planning Policy Framework </w:t>
            </w:r>
            <w:hyperlink r:id="rId10" w:history="1">
              <w:r w:rsidR="00FF1A13" w:rsidRPr="000C0044">
                <w:rPr>
                  <w:rStyle w:val="Hyperlink"/>
                  <w:rFonts w:ascii="Arial" w:hAnsi="Arial" w:cs="Arial"/>
                  <w:b/>
                  <w:color w:val="7030A0"/>
                  <w:sz w:val="24"/>
                  <w:szCs w:val="24"/>
                </w:rPr>
                <w:t>www.gov.uk</w:t>
              </w:r>
            </w:hyperlink>
            <w:r w:rsidR="00FF1A13" w:rsidRPr="000C0044">
              <w:rPr>
                <w:rFonts w:ascii="Arial" w:hAnsi="Arial" w:cs="Arial"/>
                <w:b/>
                <w:color w:val="7030A0"/>
                <w:sz w:val="24"/>
                <w:szCs w:val="24"/>
              </w:rPr>
              <w:t xml:space="preserve"> </w:t>
            </w:r>
          </w:p>
          <w:p w:rsidR="00583F69" w:rsidRPr="000C0044" w:rsidRDefault="00583F69" w:rsidP="00583F69">
            <w:pPr>
              <w:jc w:val="center"/>
              <w:rPr>
                <w:rFonts w:ascii="Arial" w:hAnsi="Arial" w:cs="Arial"/>
                <w:b/>
                <w:color w:val="7030A0"/>
                <w:sz w:val="24"/>
                <w:szCs w:val="24"/>
              </w:rPr>
            </w:pPr>
          </w:p>
          <w:p w:rsidR="00583F69" w:rsidRPr="000C0044" w:rsidRDefault="00583F69" w:rsidP="00583F69">
            <w:pPr>
              <w:jc w:val="center"/>
              <w:rPr>
                <w:rFonts w:ascii="Arial" w:hAnsi="Arial" w:cs="Arial"/>
                <w:b/>
                <w:color w:val="7030A0"/>
                <w:sz w:val="24"/>
                <w:szCs w:val="24"/>
              </w:rPr>
            </w:pPr>
            <w:r w:rsidRPr="000C0044">
              <w:rPr>
                <w:rFonts w:ascii="Arial" w:hAnsi="Arial" w:cs="Arial"/>
                <w:b/>
                <w:color w:val="7030A0"/>
                <w:sz w:val="24"/>
                <w:szCs w:val="24"/>
              </w:rPr>
              <w:t xml:space="preserve">The </w:t>
            </w:r>
            <w:smartTag w:uri="urn:schemas-microsoft-com:office:smarttags" w:element="PersonName">
              <w:r w:rsidRPr="000C0044">
                <w:rPr>
                  <w:rFonts w:ascii="Arial" w:hAnsi="Arial" w:cs="Arial"/>
                  <w:b/>
                  <w:color w:val="7030A0"/>
                  <w:sz w:val="24"/>
                  <w:szCs w:val="24"/>
                </w:rPr>
                <w:t>Planning</w:t>
              </w:r>
            </w:smartTag>
            <w:r w:rsidRPr="000C0044">
              <w:rPr>
                <w:rFonts w:ascii="Arial" w:hAnsi="Arial" w:cs="Arial"/>
                <w:b/>
                <w:color w:val="7030A0"/>
                <w:sz w:val="24"/>
                <w:szCs w:val="24"/>
              </w:rPr>
              <w:t xml:space="preserve"> Portal (</w:t>
            </w:r>
            <w:hyperlink r:id="rId11" w:history="1">
              <w:r w:rsidRPr="000C0044">
                <w:rPr>
                  <w:rStyle w:val="Hyperlink"/>
                  <w:rFonts w:ascii="Arial" w:hAnsi="Arial" w:cs="Arial"/>
                  <w:b/>
                  <w:color w:val="7030A0"/>
                  <w:sz w:val="24"/>
                  <w:szCs w:val="24"/>
                </w:rPr>
                <w:t>www.planningportal.gov.uk</w:t>
              </w:r>
            </w:hyperlink>
            <w:r w:rsidRPr="000C0044">
              <w:rPr>
                <w:rFonts w:ascii="Arial" w:hAnsi="Arial" w:cs="Arial"/>
                <w:b/>
                <w:color w:val="7030A0"/>
                <w:sz w:val="24"/>
                <w:szCs w:val="24"/>
              </w:rPr>
              <w:t>) is the Government's online service for planning which includes advice and information on the plan-led system</w:t>
            </w:r>
          </w:p>
          <w:p w:rsidR="00583F69" w:rsidRPr="000C0044" w:rsidRDefault="00583F69" w:rsidP="00583F69">
            <w:pPr>
              <w:jc w:val="center"/>
              <w:rPr>
                <w:rFonts w:ascii="Arial" w:hAnsi="Arial" w:cs="Arial"/>
                <w:b/>
                <w:color w:val="7030A0"/>
              </w:rPr>
            </w:pPr>
          </w:p>
          <w:p w:rsidR="00583F69" w:rsidRPr="000C0044" w:rsidRDefault="00583F69" w:rsidP="00583F69">
            <w:pPr>
              <w:jc w:val="center"/>
              <w:rPr>
                <w:rFonts w:ascii="Arial" w:hAnsi="Arial" w:cs="Arial"/>
                <w:b/>
                <w:color w:val="7030A0"/>
              </w:rPr>
            </w:pPr>
          </w:p>
          <w:p w:rsidR="00583F69" w:rsidRPr="00612FC0" w:rsidRDefault="00583F69" w:rsidP="00583F69">
            <w:pPr>
              <w:jc w:val="center"/>
              <w:rPr>
                <w:rFonts w:ascii="Arial" w:hAnsi="Arial" w:cs="Arial"/>
                <w:color w:val="FF0000"/>
              </w:rPr>
            </w:pPr>
          </w:p>
          <w:p w:rsidR="00583F69" w:rsidRPr="00C30F08" w:rsidRDefault="00583F69" w:rsidP="00583F69">
            <w:pPr>
              <w:pStyle w:val="Calloutboxheading"/>
              <w:rPr>
                <w:b w:val="0"/>
              </w:rPr>
            </w:pPr>
          </w:p>
        </w:tc>
      </w:tr>
    </w:tbl>
    <w:p w:rsidR="00583F69" w:rsidRDefault="00583F69" w:rsidP="00583F69"/>
    <w:p w:rsidR="00583F69" w:rsidRDefault="00583F69"/>
    <w:p w:rsidR="0038010E" w:rsidRPr="000C0044" w:rsidRDefault="0038010E">
      <w:pPr>
        <w:rPr>
          <w:color w:val="4D4D4D"/>
        </w:rPr>
      </w:pPr>
    </w:p>
    <w:p w:rsidR="0038010E" w:rsidRPr="000C0044" w:rsidRDefault="00583F69">
      <w:pPr>
        <w:rPr>
          <w:color w:val="4D4D4D"/>
          <w:sz w:val="32"/>
          <w:szCs w:val="32"/>
        </w:rPr>
      </w:pPr>
      <w:r w:rsidRPr="000C0044">
        <w:rPr>
          <w:color w:val="4D4D4D"/>
          <w:sz w:val="32"/>
          <w:szCs w:val="32"/>
        </w:rPr>
        <w:t xml:space="preserve">To request this document in an alternative format or language, please contact the </w:t>
      </w:r>
      <w:r w:rsidR="00AD6687">
        <w:rPr>
          <w:color w:val="4D4D4D"/>
          <w:sz w:val="32"/>
          <w:szCs w:val="32"/>
        </w:rPr>
        <w:t>S</w:t>
      </w:r>
      <w:r w:rsidR="0086630A" w:rsidRPr="000C0044">
        <w:rPr>
          <w:color w:val="4D4D4D"/>
          <w:sz w:val="32"/>
          <w:szCs w:val="32"/>
        </w:rPr>
        <w:t>trategy and Project Delivery</w:t>
      </w:r>
      <w:r w:rsidRPr="000C0044">
        <w:rPr>
          <w:color w:val="4D4D4D"/>
          <w:sz w:val="32"/>
          <w:szCs w:val="32"/>
        </w:rPr>
        <w:t xml:space="preserve"> Team on 01803 208804</w:t>
      </w:r>
    </w:p>
    <w:p w:rsidR="00FA5716" w:rsidRDefault="00FA5716">
      <w:pPr>
        <w:rPr>
          <w:sz w:val="32"/>
          <w:szCs w:val="32"/>
        </w:rPr>
      </w:pPr>
    </w:p>
    <w:p w:rsidR="00FA5716" w:rsidRDefault="00FA5716">
      <w:pPr>
        <w:rPr>
          <w:sz w:val="32"/>
          <w:szCs w:val="32"/>
        </w:rPr>
      </w:pPr>
      <w:r>
        <w:rPr>
          <w:sz w:val="32"/>
          <w:szCs w:val="32"/>
        </w:rPr>
        <w:br w:type="page"/>
      </w:r>
    </w:p>
    <w:sdt>
      <w:sdtPr>
        <w:rPr>
          <w:rFonts w:asciiTheme="minorHAnsi" w:eastAsiaTheme="minorEastAsia" w:hAnsiTheme="minorHAnsi" w:cstheme="minorBidi"/>
          <w:bCs w:val="0"/>
          <w:caps w:val="0"/>
          <w:color w:val="7030A0"/>
          <w:sz w:val="22"/>
          <w:szCs w:val="22"/>
        </w:rPr>
        <w:id w:val="1015029"/>
        <w:docPartObj>
          <w:docPartGallery w:val="Table of Contents"/>
          <w:docPartUnique/>
        </w:docPartObj>
      </w:sdtPr>
      <w:sdtEndPr/>
      <w:sdtContent>
        <w:p w:rsidR="00B6314C" w:rsidRPr="000C0044" w:rsidRDefault="00B6314C" w:rsidP="00682DDD">
          <w:pPr>
            <w:pStyle w:val="TOCHeading"/>
            <w:numPr>
              <w:ilvl w:val="0"/>
              <w:numId w:val="0"/>
            </w:numPr>
            <w:ind w:left="432"/>
            <w:rPr>
              <w:color w:val="7030A0"/>
            </w:rPr>
          </w:pPr>
          <w:r w:rsidRPr="000C0044">
            <w:rPr>
              <w:color w:val="7030A0"/>
            </w:rPr>
            <w:t>Contents</w:t>
          </w:r>
        </w:p>
        <w:p w:rsidR="003F7106" w:rsidRPr="000C0044" w:rsidRDefault="003F7106">
          <w:pPr>
            <w:pStyle w:val="TOC1"/>
            <w:tabs>
              <w:tab w:val="right" w:leader="dot" w:pos="10194"/>
            </w:tabs>
            <w:rPr>
              <w:b w:val="0"/>
              <w:color w:val="7030A0"/>
            </w:rPr>
          </w:pPr>
        </w:p>
        <w:p w:rsidR="000C0044" w:rsidRPr="000C0044" w:rsidRDefault="004924E1">
          <w:pPr>
            <w:pStyle w:val="TOC1"/>
            <w:tabs>
              <w:tab w:val="left" w:pos="440"/>
              <w:tab w:val="right" w:leader="dot" w:pos="10194"/>
            </w:tabs>
            <w:rPr>
              <w:b w:val="0"/>
              <w:noProof/>
              <w:color w:val="7030A0"/>
              <w:lang w:val="en-GB" w:eastAsia="en-GB"/>
            </w:rPr>
          </w:pPr>
          <w:r w:rsidRPr="000C0044">
            <w:rPr>
              <w:b w:val="0"/>
              <w:color w:val="7030A0"/>
            </w:rPr>
            <w:fldChar w:fldCharType="begin"/>
          </w:r>
          <w:r w:rsidR="00A84D15" w:rsidRPr="000C0044">
            <w:rPr>
              <w:b w:val="0"/>
              <w:color w:val="7030A0"/>
            </w:rPr>
            <w:instrText xml:space="preserve"> TOC \o "1-2" \h \z \u </w:instrText>
          </w:r>
          <w:r w:rsidRPr="000C0044">
            <w:rPr>
              <w:b w:val="0"/>
              <w:color w:val="7030A0"/>
            </w:rPr>
            <w:fldChar w:fldCharType="separate"/>
          </w:r>
          <w:hyperlink w:anchor="_Toc508896035" w:history="1">
            <w:r w:rsidR="000C0044" w:rsidRPr="000C0044">
              <w:rPr>
                <w:rStyle w:val="Hyperlink"/>
                <w:noProof/>
                <w:color w:val="7030A0"/>
                <w:lang w:bidi="en-US"/>
              </w:rPr>
              <w:t>1</w:t>
            </w:r>
            <w:r w:rsidR="000C0044" w:rsidRPr="000C0044">
              <w:rPr>
                <w:b w:val="0"/>
                <w:noProof/>
                <w:color w:val="7030A0"/>
                <w:lang w:val="en-GB" w:eastAsia="en-GB"/>
              </w:rPr>
              <w:tab/>
            </w:r>
            <w:r w:rsidR="000C0044" w:rsidRPr="000C0044">
              <w:rPr>
                <w:rStyle w:val="Hyperlink"/>
                <w:noProof/>
                <w:color w:val="7030A0"/>
                <w:lang w:bidi="en-US"/>
              </w:rPr>
              <w:t>INTRODUCTION</w:t>
            </w:r>
            <w:r w:rsidR="000C0044" w:rsidRPr="000C0044">
              <w:rPr>
                <w:noProof/>
                <w:webHidden/>
                <w:color w:val="7030A0"/>
              </w:rPr>
              <w:tab/>
            </w:r>
            <w:r w:rsidRPr="000C0044">
              <w:rPr>
                <w:noProof/>
                <w:webHidden/>
                <w:color w:val="7030A0"/>
              </w:rPr>
              <w:fldChar w:fldCharType="begin"/>
            </w:r>
            <w:r w:rsidR="000C0044" w:rsidRPr="000C0044">
              <w:rPr>
                <w:noProof/>
                <w:webHidden/>
                <w:color w:val="7030A0"/>
              </w:rPr>
              <w:instrText xml:space="preserve"> PAGEREF _Toc508896035 \h </w:instrText>
            </w:r>
            <w:r w:rsidRPr="000C0044">
              <w:rPr>
                <w:noProof/>
                <w:webHidden/>
                <w:color w:val="7030A0"/>
              </w:rPr>
            </w:r>
            <w:r w:rsidRPr="000C0044">
              <w:rPr>
                <w:noProof/>
                <w:webHidden/>
                <w:color w:val="7030A0"/>
              </w:rPr>
              <w:fldChar w:fldCharType="separate"/>
            </w:r>
            <w:r w:rsidR="000C0044" w:rsidRPr="000C0044">
              <w:rPr>
                <w:noProof/>
                <w:webHidden/>
                <w:color w:val="7030A0"/>
              </w:rPr>
              <w:t>5</w:t>
            </w:r>
            <w:r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36" w:history="1">
            <w:r w:rsidR="000C0044" w:rsidRPr="000C0044">
              <w:rPr>
                <w:rStyle w:val="Hyperlink"/>
                <w:noProof/>
                <w:color w:val="7030A0"/>
                <w:lang w:bidi="en-US"/>
              </w:rPr>
              <w:t>1.1</w:t>
            </w:r>
            <w:r w:rsidR="000C0044" w:rsidRPr="000C0044">
              <w:rPr>
                <w:noProof/>
                <w:color w:val="7030A0"/>
                <w:lang w:val="en-GB" w:eastAsia="en-GB"/>
              </w:rPr>
              <w:tab/>
            </w:r>
            <w:r w:rsidR="000C0044" w:rsidRPr="000C0044">
              <w:rPr>
                <w:rStyle w:val="Hyperlink"/>
                <w:noProof/>
                <w:color w:val="7030A0"/>
                <w:lang w:bidi="en-US"/>
              </w:rPr>
              <w:t>Background</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_Toc508896036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5</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37" w:history="1">
            <w:r w:rsidR="000C0044" w:rsidRPr="000C0044">
              <w:rPr>
                <w:rStyle w:val="Hyperlink"/>
                <w:noProof/>
                <w:color w:val="7030A0"/>
                <w:lang w:bidi="en-US"/>
              </w:rPr>
              <w:t>1.2</w:t>
            </w:r>
            <w:r w:rsidR="000C0044" w:rsidRPr="000C0044">
              <w:rPr>
                <w:noProof/>
                <w:color w:val="7030A0"/>
                <w:lang w:val="en-GB" w:eastAsia="en-GB"/>
              </w:rPr>
              <w:tab/>
            </w:r>
            <w:r w:rsidR="000C0044" w:rsidRPr="000C0044">
              <w:rPr>
                <w:rStyle w:val="Hyperlink"/>
                <w:noProof/>
                <w:color w:val="7030A0"/>
                <w:lang w:bidi="en-US"/>
              </w:rPr>
              <w:t>Links with other Council Plans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_Toc508896037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7</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38" w:history="1">
            <w:r w:rsidR="000C0044" w:rsidRPr="000C0044">
              <w:rPr>
                <w:rStyle w:val="Hyperlink"/>
                <w:noProof/>
                <w:color w:val="7030A0"/>
                <w:lang w:bidi="en-US"/>
              </w:rPr>
              <w:t>1.3</w:t>
            </w:r>
            <w:r w:rsidR="000C0044" w:rsidRPr="000C0044">
              <w:rPr>
                <w:noProof/>
                <w:color w:val="7030A0"/>
                <w:lang w:val="en-GB" w:eastAsia="en-GB"/>
              </w:rPr>
              <w:tab/>
            </w:r>
            <w:r w:rsidR="000C0044" w:rsidRPr="000C0044">
              <w:rPr>
                <w:rStyle w:val="Hyperlink"/>
                <w:noProof/>
                <w:color w:val="7030A0"/>
                <w:lang w:bidi="en-US"/>
              </w:rPr>
              <w:t>Issues and challenges over the Plan period</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_Toc508896038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7</w:t>
            </w:r>
            <w:r w:rsidR="004924E1" w:rsidRPr="000C0044">
              <w:rPr>
                <w:noProof/>
                <w:webHidden/>
                <w:color w:val="7030A0"/>
              </w:rPr>
              <w:fldChar w:fldCharType="end"/>
            </w:r>
          </w:hyperlink>
        </w:p>
        <w:p w:rsidR="000C0044" w:rsidRPr="000C0044" w:rsidRDefault="00830DC3">
          <w:pPr>
            <w:pStyle w:val="TOC1"/>
            <w:tabs>
              <w:tab w:val="left" w:pos="440"/>
              <w:tab w:val="right" w:leader="dot" w:pos="10194"/>
            </w:tabs>
            <w:rPr>
              <w:b w:val="0"/>
              <w:noProof/>
              <w:color w:val="7030A0"/>
              <w:lang w:val="en-GB" w:eastAsia="en-GB"/>
            </w:rPr>
          </w:pPr>
          <w:hyperlink w:anchor="_Toc508896039" w:history="1">
            <w:r w:rsidR="000C0044" w:rsidRPr="000C0044">
              <w:rPr>
                <w:rStyle w:val="Hyperlink"/>
                <w:noProof/>
                <w:color w:val="7030A0"/>
                <w:lang w:bidi="en-US"/>
              </w:rPr>
              <w:t>2</w:t>
            </w:r>
            <w:r w:rsidR="000C0044" w:rsidRPr="000C0044">
              <w:rPr>
                <w:b w:val="0"/>
                <w:noProof/>
                <w:color w:val="7030A0"/>
                <w:lang w:val="en-GB" w:eastAsia="en-GB"/>
              </w:rPr>
              <w:tab/>
            </w:r>
            <w:r w:rsidR="000C0044" w:rsidRPr="000C0044">
              <w:rPr>
                <w:rStyle w:val="Hyperlink"/>
                <w:noProof/>
                <w:color w:val="7030A0"/>
                <w:lang w:bidi="en-US"/>
              </w:rPr>
              <w:t>TORBAY LOCAL DEVELOPMENT SCHEME</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_Toc508896039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8</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0" w:history="1">
            <w:r w:rsidR="000C0044" w:rsidRPr="000C0044">
              <w:rPr>
                <w:rStyle w:val="Hyperlink"/>
                <w:noProof/>
                <w:color w:val="7030A0"/>
                <w:lang w:bidi="en-US"/>
              </w:rPr>
              <w:t>2.1</w:t>
            </w:r>
            <w:r w:rsidR="000C0044" w:rsidRPr="000C0044">
              <w:rPr>
                <w:noProof/>
                <w:color w:val="7030A0"/>
                <w:lang w:val="en-GB" w:eastAsia="en-GB"/>
              </w:rPr>
              <w:tab/>
            </w:r>
            <w:r w:rsidR="000C0044" w:rsidRPr="000C0044">
              <w:rPr>
                <w:rStyle w:val="Hyperlink"/>
                <w:noProof/>
                <w:color w:val="7030A0"/>
                <w:lang w:bidi="en-US"/>
              </w:rPr>
              <w:t>The Local Development Scheme (LDS) and spatial planning system</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_Toc508896040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8</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1" w:history="1">
            <w:r w:rsidR="000C0044" w:rsidRPr="000C0044">
              <w:rPr>
                <w:rStyle w:val="Hyperlink"/>
                <w:noProof/>
                <w:color w:val="7030A0"/>
                <w:lang w:bidi="en-US"/>
              </w:rPr>
              <w:t>2.2</w:t>
            </w:r>
            <w:r w:rsidR="000C0044" w:rsidRPr="000C0044">
              <w:rPr>
                <w:noProof/>
                <w:color w:val="7030A0"/>
                <w:lang w:val="en-GB" w:eastAsia="en-GB"/>
              </w:rPr>
              <w:tab/>
            </w:r>
            <w:r w:rsidR="000C0044" w:rsidRPr="000C0044">
              <w:rPr>
                <w:rStyle w:val="Hyperlink"/>
                <w:noProof/>
                <w:color w:val="7030A0"/>
                <w:lang w:bidi="en-US"/>
              </w:rPr>
              <w:t>Implementation of the LDS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_Toc508896041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8</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2" w:history="1">
            <w:r w:rsidR="000C0044" w:rsidRPr="000C0044">
              <w:rPr>
                <w:rStyle w:val="Hyperlink"/>
                <w:noProof/>
                <w:color w:val="7030A0"/>
                <w:lang w:bidi="en-US"/>
              </w:rPr>
              <w:t>2.3</w:t>
            </w:r>
            <w:r w:rsidR="000C0044" w:rsidRPr="000C0044">
              <w:rPr>
                <w:noProof/>
                <w:color w:val="7030A0"/>
                <w:lang w:val="en-GB" w:eastAsia="en-GB"/>
              </w:rPr>
              <w:tab/>
            </w:r>
            <w:r w:rsidR="000C0044" w:rsidRPr="000C0044">
              <w:rPr>
                <w:rStyle w:val="Hyperlink"/>
                <w:noProof/>
                <w:color w:val="7030A0"/>
                <w:lang w:bidi="en-US"/>
              </w:rPr>
              <w:t>Content of the LDS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_Toc508896042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8</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3" w:history="1">
            <w:r w:rsidR="000C0044" w:rsidRPr="000C0044">
              <w:rPr>
                <w:rStyle w:val="Hyperlink"/>
                <w:noProof/>
                <w:color w:val="7030A0"/>
                <w:lang w:val="en-GB" w:bidi="en-US"/>
              </w:rPr>
              <w:t>2.4</w:t>
            </w:r>
            <w:r w:rsidR="000C0044" w:rsidRPr="000C0044">
              <w:rPr>
                <w:noProof/>
                <w:color w:val="7030A0"/>
                <w:lang w:val="en-GB" w:eastAsia="en-GB"/>
              </w:rPr>
              <w:tab/>
            </w:r>
            <w:r w:rsidR="000C0044" w:rsidRPr="000C0044">
              <w:rPr>
                <w:rStyle w:val="Hyperlink"/>
                <w:noProof/>
                <w:color w:val="7030A0"/>
                <w:lang w:val="en-GB" w:bidi="en-US"/>
              </w:rPr>
              <w:t>The Adopted Torbay Local Plan</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_Toc508896043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9</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4" w:history="1">
            <w:r w:rsidR="000C0044" w:rsidRPr="000C0044">
              <w:rPr>
                <w:rStyle w:val="Hyperlink"/>
                <w:noProof/>
                <w:color w:val="7030A0"/>
                <w:lang w:val="en-GB" w:bidi="en-US"/>
              </w:rPr>
              <w:t>2.5</w:t>
            </w:r>
            <w:r w:rsidR="000C0044" w:rsidRPr="000C0044">
              <w:rPr>
                <w:noProof/>
                <w:color w:val="7030A0"/>
                <w:lang w:val="en-GB" w:eastAsia="en-GB"/>
              </w:rPr>
              <w:tab/>
            </w:r>
            <w:r w:rsidR="000C0044" w:rsidRPr="000C0044">
              <w:rPr>
                <w:rStyle w:val="Hyperlink"/>
                <w:noProof/>
                <w:color w:val="7030A0"/>
                <w:lang w:val="en-GB" w:bidi="en-US"/>
              </w:rPr>
              <w:t>Neighbourhood Plans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_Toc508896044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9</w:t>
            </w:r>
            <w:r w:rsidR="004924E1" w:rsidRPr="000C0044">
              <w:rPr>
                <w:noProof/>
                <w:webHidden/>
                <w:color w:val="7030A0"/>
              </w:rPr>
              <w:fldChar w:fldCharType="end"/>
            </w:r>
          </w:hyperlink>
        </w:p>
        <w:p w:rsidR="000C0044" w:rsidRPr="000C0044" w:rsidRDefault="00830DC3">
          <w:pPr>
            <w:pStyle w:val="TOC1"/>
            <w:tabs>
              <w:tab w:val="left" w:pos="440"/>
              <w:tab w:val="right" w:leader="dot" w:pos="10194"/>
            </w:tabs>
            <w:rPr>
              <w:b w:val="0"/>
              <w:noProof/>
              <w:color w:val="7030A0"/>
              <w:lang w:val="en-GB" w:eastAsia="en-GB"/>
            </w:rPr>
          </w:pPr>
          <w:hyperlink w:anchor="_Toc508896045" w:history="1">
            <w:r w:rsidR="000C0044" w:rsidRPr="000C0044">
              <w:rPr>
                <w:rStyle w:val="Hyperlink"/>
                <w:noProof/>
                <w:color w:val="7030A0"/>
                <w:lang w:bidi="en-US"/>
              </w:rPr>
              <w:t>3</w:t>
            </w:r>
            <w:r w:rsidR="000C0044" w:rsidRPr="000C0044">
              <w:rPr>
                <w:b w:val="0"/>
                <w:noProof/>
                <w:color w:val="7030A0"/>
                <w:lang w:val="en-GB" w:eastAsia="en-GB"/>
              </w:rPr>
              <w:tab/>
            </w:r>
            <w:r w:rsidR="000C0044" w:rsidRPr="000C0044">
              <w:rPr>
                <w:rStyle w:val="Hyperlink"/>
                <w:noProof/>
                <w:color w:val="7030A0"/>
                <w:lang w:bidi="en-US"/>
              </w:rPr>
              <w:t>ADDITIONAL KEY DEVELOPMENT PLAN WORK AREAS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_Toc508896045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6" w:history="1">
            <w:r w:rsidR="000C0044" w:rsidRPr="000C0044">
              <w:rPr>
                <w:rStyle w:val="Hyperlink"/>
                <w:noProof/>
                <w:color w:val="7030A0"/>
                <w:lang w:bidi="en-US"/>
              </w:rPr>
              <w:t>3.1</w:t>
            </w:r>
            <w:r w:rsidR="000C0044" w:rsidRPr="000C0044">
              <w:rPr>
                <w:noProof/>
                <w:color w:val="7030A0"/>
                <w:lang w:val="en-GB" w:eastAsia="en-GB"/>
              </w:rPr>
              <w:tab/>
            </w:r>
            <w:r w:rsidR="000C0044" w:rsidRPr="000C0044">
              <w:rPr>
                <w:rStyle w:val="Hyperlink"/>
                <w:noProof/>
                <w:color w:val="7030A0"/>
                <w:lang w:bidi="en-US"/>
              </w:rPr>
              <w:t>Planning Framework</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_Toc508896046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7" w:history="1">
            <w:r w:rsidR="000C0044" w:rsidRPr="000C0044">
              <w:rPr>
                <w:rStyle w:val="Hyperlink"/>
                <w:noProof/>
                <w:color w:val="7030A0"/>
                <w:lang w:val="en-GB" w:bidi="en-US"/>
              </w:rPr>
              <w:t>3.2</w:t>
            </w:r>
            <w:r w:rsidR="000C0044" w:rsidRPr="000C0044">
              <w:rPr>
                <w:noProof/>
                <w:color w:val="7030A0"/>
                <w:lang w:val="en-GB" w:eastAsia="en-GB"/>
              </w:rPr>
              <w:tab/>
            </w:r>
            <w:r w:rsidR="000C0044" w:rsidRPr="000C0044">
              <w:rPr>
                <w:rStyle w:val="Hyperlink"/>
                <w:noProof/>
                <w:color w:val="7030A0"/>
                <w:lang w:val="en-GB" w:bidi="en-US"/>
              </w:rPr>
              <w:t>Masterplans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_Toc508896047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8" w:history="1">
            <w:r w:rsidR="000C0044" w:rsidRPr="000C0044">
              <w:rPr>
                <w:rStyle w:val="Hyperlink"/>
                <w:noProof/>
                <w:color w:val="7030A0"/>
                <w:lang w:bidi="en-US"/>
              </w:rPr>
              <w:t>3.3</w:t>
            </w:r>
            <w:r w:rsidR="000C0044" w:rsidRPr="000C0044">
              <w:rPr>
                <w:noProof/>
                <w:color w:val="7030A0"/>
                <w:lang w:val="en-GB" w:eastAsia="en-GB"/>
              </w:rPr>
              <w:tab/>
            </w:r>
            <w:r w:rsidR="000C0044" w:rsidRPr="000C0044">
              <w:rPr>
                <w:rStyle w:val="Hyperlink"/>
                <w:noProof/>
                <w:color w:val="7030A0"/>
                <w:lang w:bidi="en-US"/>
              </w:rPr>
              <w:t>Healthy Torbay Supplementary Planning Document</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_Toc508896048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11</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49" w:history="1">
            <w:r w:rsidR="000C0044" w:rsidRPr="000C0044">
              <w:rPr>
                <w:rStyle w:val="Hyperlink"/>
                <w:noProof/>
                <w:color w:val="7030A0"/>
                <w:lang w:bidi="en-US"/>
              </w:rPr>
              <w:t>3.4</w:t>
            </w:r>
            <w:r w:rsidR="000C0044" w:rsidRPr="000C0044">
              <w:rPr>
                <w:noProof/>
                <w:color w:val="7030A0"/>
                <w:lang w:val="en-GB" w:eastAsia="en-GB"/>
              </w:rPr>
              <w:tab/>
            </w:r>
            <w:r w:rsidR="000C0044" w:rsidRPr="000C0044">
              <w:rPr>
                <w:rStyle w:val="Hyperlink"/>
                <w:noProof/>
                <w:color w:val="7030A0"/>
                <w:lang w:bidi="en-US"/>
              </w:rPr>
              <w:t>Planning Contributions and Affordable Housing SPD</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_Toc508896049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11</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0" w:history="1">
            <w:r w:rsidR="000C0044" w:rsidRPr="000C0044">
              <w:rPr>
                <w:rStyle w:val="Hyperlink"/>
                <w:noProof/>
                <w:color w:val="7030A0"/>
                <w:lang w:bidi="en-US"/>
              </w:rPr>
              <w:t>3.5</w:t>
            </w:r>
            <w:r w:rsidR="000C0044" w:rsidRPr="000C0044">
              <w:rPr>
                <w:noProof/>
                <w:color w:val="7030A0"/>
                <w:lang w:val="en-GB" w:eastAsia="en-GB"/>
              </w:rPr>
              <w:tab/>
            </w:r>
            <w:r w:rsidR="000C0044" w:rsidRPr="000C0044">
              <w:rPr>
                <w:rStyle w:val="Hyperlink"/>
                <w:noProof/>
                <w:color w:val="7030A0"/>
                <w:lang w:bidi="en-US"/>
              </w:rPr>
              <w:t>South Hams Special Area of Conservation (SAC) SPD</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_Toc508896050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11</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1" w:history="1">
            <w:r w:rsidR="000C0044" w:rsidRPr="000C0044">
              <w:rPr>
                <w:rStyle w:val="Hyperlink"/>
                <w:noProof/>
                <w:color w:val="7030A0"/>
                <w:lang w:bidi="en-US"/>
              </w:rPr>
              <w:t>3.6</w:t>
            </w:r>
            <w:r w:rsidR="000C0044" w:rsidRPr="000C0044">
              <w:rPr>
                <w:noProof/>
                <w:color w:val="7030A0"/>
                <w:lang w:val="en-GB" w:eastAsia="en-GB"/>
              </w:rPr>
              <w:tab/>
            </w:r>
            <w:r w:rsidR="000C0044" w:rsidRPr="000C0044">
              <w:rPr>
                <w:rStyle w:val="Hyperlink"/>
                <w:noProof/>
                <w:color w:val="7030A0"/>
                <w:lang w:bidi="en-US"/>
              </w:rPr>
              <w:t>Adopted Local Development Documents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_Toc508896051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11</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2" w:history="1">
            <w:r w:rsidR="000C0044" w:rsidRPr="000C0044">
              <w:rPr>
                <w:rStyle w:val="Hyperlink"/>
                <w:rFonts w:cstheme="majorHAnsi"/>
                <w:noProof/>
                <w:color w:val="7030A0"/>
                <w:lang w:bidi="en-US"/>
              </w:rPr>
              <w:t>3.7</w:t>
            </w:r>
            <w:r w:rsidR="000C0044" w:rsidRPr="000C0044">
              <w:rPr>
                <w:noProof/>
                <w:color w:val="7030A0"/>
                <w:lang w:val="en-GB" w:eastAsia="en-GB"/>
              </w:rPr>
              <w:tab/>
            </w:r>
            <w:r w:rsidR="000C0044" w:rsidRPr="000C0044">
              <w:rPr>
                <w:rStyle w:val="Hyperlink"/>
                <w:rFonts w:cstheme="majorHAnsi"/>
                <w:noProof/>
                <w:color w:val="7030A0"/>
                <w:lang w:bidi="en-US"/>
              </w:rPr>
              <w:t>Community Infrastructure Levy</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_Toc508896052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12</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3" w:history="1">
            <w:r w:rsidR="000C0044" w:rsidRPr="000C0044">
              <w:rPr>
                <w:rStyle w:val="Hyperlink"/>
                <w:noProof/>
                <w:color w:val="7030A0"/>
                <w:lang w:bidi="en-US"/>
              </w:rPr>
              <w:t>3.8</w:t>
            </w:r>
            <w:r w:rsidR="000C0044" w:rsidRPr="000C0044">
              <w:rPr>
                <w:noProof/>
                <w:color w:val="7030A0"/>
                <w:lang w:val="en-GB" w:eastAsia="en-GB"/>
              </w:rPr>
              <w:tab/>
            </w:r>
            <w:r w:rsidR="000C0044" w:rsidRPr="000C0044">
              <w:rPr>
                <w:rStyle w:val="Hyperlink"/>
                <w:noProof/>
                <w:color w:val="7030A0"/>
                <w:lang w:bidi="en-US"/>
              </w:rPr>
              <w:t>Brownfield Register and Permission in Principle (PiP)</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_Toc508896053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12</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4" w:history="1">
            <w:r w:rsidR="000C0044" w:rsidRPr="000C0044">
              <w:rPr>
                <w:rStyle w:val="Hyperlink"/>
                <w:noProof/>
                <w:color w:val="7030A0"/>
                <w:lang w:bidi="en-US"/>
              </w:rPr>
              <w:t>3.9</w:t>
            </w:r>
            <w:r w:rsidR="000C0044" w:rsidRPr="000C0044">
              <w:rPr>
                <w:noProof/>
                <w:color w:val="7030A0"/>
                <w:lang w:val="en-GB" w:eastAsia="en-GB"/>
              </w:rPr>
              <w:tab/>
            </w:r>
            <w:r w:rsidR="000C0044" w:rsidRPr="000C0044">
              <w:rPr>
                <w:rStyle w:val="Hyperlink"/>
                <w:noProof/>
                <w:color w:val="7030A0"/>
                <w:lang w:bidi="en-US"/>
              </w:rPr>
              <w:t>Sustainability Appraisal and Habitats Regulations Assessment</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_Toc508896054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13</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5" w:history="1">
            <w:r w:rsidR="000C0044" w:rsidRPr="000C0044">
              <w:rPr>
                <w:rStyle w:val="Hyperlink"/>
                <w:noProof/>
                <w:color w:val="7030A0"/>
                <w:lang w:bidi="en-US"/>
              </w:rPr>
              <w:t>3.10</w:t>
            </w:r>
            <w:r w:rsidR="000C0044" w:rsidRPr="000C0044">
              <w:rPr>
                <w:noProof/>
                <w:color w:val="7030A0"/>
                <w:lang w:val="en-GB" w:eastAsia="en-GB"/>
              </w:rPr>
              <w:tab/>
            </w:r>
            <w:r w:rsidR="000C0044" w:rsidRPr="000C0044">
              <w:rPr>
                <w:rStyle w:val="Hyperlink"/>
                <w:noProof/>
                <w:color w:val="7030A0"/>
                <w:lang w:bidi="en-US"/>
              </w:rPr>
              <w:t>Local &amp; Neighbourhood Development Orders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_Toc508896055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13</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6" w:history="1">
            <w:r w:rsidR="000C0044" w:rsidRPr="000C0044">
              <w:rPr>
                <w:rStyle w:val="Hyperlink"/>
                <w:noProof/>
                <w:color w:val="7030A0"/>
                <w:lang w:bidi="en-US"/>
              </w:rPr>
              <w:t>3.11</w:t>
            </w:r>
            <w:r w:rsidR="000C0044" w:rsidRPr="000C0044">
              <w:rPr>
                <w:noProof/>
                <w:color w:val="7030A0"/>
                <w:lang w:val="en-GB" w:eastAsia="en-GB"/>
              </w:rPr>
              <w:tab/>
            </w:r>
            <w:r w:rsidR="000C0044" w:rsidRPr="000C0044">
              <w:rPr>
                <w:rStyle w:val="Hyperlink"/>
                <w:noProof/>
                <w:color w:val="7030A0"/>
                <w:lang w:bidi="en-US"/>
              </w:rPr>
              <w:t>Local Transport Plan (LTP)</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_Toc508896056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13</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7" w:history="1">
            <w:r w:rsidR="000C0044" w:rsidRPr="000C0044">
              <w:rPr>
                <w:rStyle w:val="Hyperlink"/>
                <w:noProof/>
                <w:color w:val="7030A0"/>
                <w:lang w:bidi="en-US"/>
              </w:rPr>
              <w:t>3.12</w:t>
            </w:r>
            <w:r w:rsidR="000C0044" w:rsidRPr="000C0044">
              <w:rPr>
                <w:noProof/>
                <w:color w:val="7030A0"/>
                <w:lang w:val="en-GB" w:eastAsia="en-GB"/>
              </w:rPr>
              <w:tab/>
            </w:r>
            <w:r w:rsidR="000C0044" w:rsidRPr="000C0044">
              <w:rPr>
                <w:rStyle w:val="Hyperlink"/>
                <w:noProof/>
                <w:color w:val="7030A0"/>
                <w:lang w:bidi="en-US"/>
              </w:rPr>
              <w:t>Duty to Co-operate</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_Toc508896057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14</w:t>
            </w:r>
            <w:r w:rsidR="004924E1" w:rsidRPr="000C0044">
              <w:rPr>
                <w:noProof/>
                <w:webHidden/>
                <w:color w:val="7030A0"/>
              </w:rPr>
              <w:fldChar w:fldCharType="end"/>
            </w:r>
          </w:hyperlink>
        </w:p>
        <w:p w:rsidR="000C0044" w:rsidRPr="000C0044" w:rsidRDefault="00830DC3">
          <w:pPr>
            <w:pStyle w:val="TOC1"/>
            <w:tabs>
              <w:tab w:val="left" w:pos="440"/>
              <w:tab w:val="right" w:leader="dot" w:pos="10194"/>
            </w:tabs>
            <w:rPr>
              <w:b w:val="0"/>
              <w:noProof/>
              <w:color w:val="7030A0"/>
              <w:lang w:val="en-GB" w:eastAsia="en-GB"/>
            </w:rPr>
          </w:pPr>
          <w:hyperlink w:anchor="_Toc508896058" w:history="1">
            <w:r w:rsidR="000C0044" w:rsidRPr="000C0044">
              <w:rPr>
                <w:rStyle w:val="Hyperlink"/>
                <w:noProof/>
                <w:color w:val="7030A0"/>
                <w:lang w:bidi="en-US"/>
              </w:rPr>
              <w:t>4</w:t>
            </w:r>
            <w:r w:rsidR="000C0044" w:rsidRPr="000C0044">
              <w:rPr>
                <w:b w:val="0"/>
                <w:noProof/>
                <w:color w:val="7030A0"/>
                <w:lang w:val="en-GB" w:eastAsia="en-GB"/>
              </w:rPr>
              <w:tab/>
            </w:r>
            <w:r w:rsidR="000C0044" w:rsidRPr="000C0044">
              <w:rPr>
                <w:rStyle w:val="Hyperlink"/>
                <w:noProof/>
                <w:color w:val="7030A0"/>
                <w:lang w:bidi="en-US"/>
              </w:rPr>
              <w:t>PLAN MONITORING</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_Toc508896058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15</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59" w:history="1">
            <w:r w:rsidR="000C0044" w:rsidRPr="000C0044">
              <w:rPr>
                <w:rStyle w:val="Hyperlink"/>
                <w:noProof/>
                <w:color w:val="7030A0"/>
                <w:lang w:bidi="en-US"/>
              </w:rPr>
              <w:t>4.1</w:t>
            </w:r>
            <w:r w:rsidR="000C0044" w:rsidRPr="000C0044">
              <w:rPr>
                <w:noProof/>
                <w:color w:val="7030A0"/>
                <w:lang w:val="en-GB" w:eastAsia="en-GB"/>
              </w:rPr>
              <w:tab/>
            </w:r>
            <w:r w:rsidR="000C0044" w:rsidRPr="000C0044">
              <w:rPr>
                <w:rStyle w:val="Hyperlink"/>
                <w:noProof/>
                <w:color w:val="7030A0"/>
                <w:lang w:bidi="en-US"/>
              </w:rPr>
              <w:t>Torbay Context</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_Toc508896059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15</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0" w:history="1">
            <w:r w:rsidR="000C0044" w:rsidRPr="000C0044">
              <w:rPr>
                <w:rStyle w:val="Hyperlink"/>
                <w:noProof/>
                <w:color w:val="7030A0"/>
                <w:lang w:bidi="en-US"/>
              </w:rPr>
              <w:t>4.2</w:t>
            </w:r>
            <w:r w:rsidR="000C0044" w:rsidRPr="000C0044">
              <w:rPr>
                <w:noProof/>
                <w:color w:val="7030A0"/>
                <w:lang w:val="en-GB" w:eastAsia="en-GB"/>
              </w:rPr>
              <w:tab/>
            </w:r>
            <w:r w:rsidR="000C0044" w:rsidRPr="000C0044">
              <w:rPr>
                <w:rStyle w:val="Hyperlink"/>
                <w:noProof/>
                <w:color w:val="7030A0"/>
                <w:lang w:bidi="en-US"/>
              </w:rPr>
              <w:t>Securing Economic Recovery and Success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_Toc508896060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15</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1" w:history="1">
            <w:r w:rsidR="000C0044" w:rsidRPr="000C0044">
              <w:rPr>
                <w:rStyle w:val="Hyperlink"/>
                <w:noProof/>
                <w:color w:val="7030A0"/>
                <w:lang w:bidi="en-US"/>
              </w:rPr>
              <w:t>4.3</w:t>
            </w:r>
            <w:r w:rsidR="000C0044" w:rsidRPr="000C0044">
              <w:rPr>
                <w:noProof/>
                <w:color w:val="7030A0"/>
                <w:lang w:val="en-GB" w:eastAsia="en-GB"/>
              </w:rPr>
              <w:tab/>
            </w:r>
            <w:r w:rsidR="000C0044" w:rsidRPr="000C0044">
              <w:rPr>
                <w:rStyle w:val="Hyperlink"/>
                <w:noProof/>
                <w:color w:val="7030A0"/>
                <w:lang w:bidi="en-US"/>
              </w:rPr>
              <w:t>Achieve a better connected, accessible Torbay and essential infrastructure</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_Toc508896061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16</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2" w:history="1">
            <w:r w:rsidR="000C0044" w:rsidRPr="000C0044">
              <w:rPr>
                <w:rStyle w:val="Hyperlink"/>
                <w:noProof/>
                <w:color w:val="7030A0"/>
                <w:lang w:bidi="en-US"/>
              </w:rPr>
              <w:t>4.4</w:t>
            </w:r>
            <w:r w:rsidR="000C0044" w:rsidRPr="000C0044">
              <w:rPr>
                <w:noProof/>
                <w:color w:val="7030A0"/>
                <w:lang w:val="en-GB" w:eastAsia="en-GB"/>
              </w:rPr>
              <w:tab/>
            </w:r>
            <w:r w:rsidR="000C0044" w:rsidRPr="000C0044">
              <w:rPr>
                <w:rStyle w:val="Hyperlink"/>
                <w:noProof/>
                <w:color w:val="7030A0"/>
                <w:lang w:bidi="en-US"/>
              </w:rPr>
              <w:t>Protect and enhance a superb environment</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_Toc508896062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17</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3" w:history="1">
            <w:r w:rsidR="000C0044" w:rsidRPr="000C0044">
              <w:rPr>
                <w:rStyle w:val="Hyperlink"/>
                <w:noProof/>
                <w:color w:val="7030A0"/>
                <w:lang w:bidi="en-US"/>
              </w:rPr>
              <w:t>4.5</w:t>
            </w:r>
            <w:r w:rsidR="000C0044" w:rsidRPr="000C0044">
              <w:rPr>
                <w:noProof/>
                <w:color w:val="7030A0"/>
                <w:lang w:val="en-GB" w:eastAsia="en-GB"/>
              </w:rPr>
              <w:tab/>
            </w:r>
            <w:r w:rsidR="000C0044" w:rsidRPr="000C0044">
              <w:rPr>
                <w:rStyle w:val="Hyperlink"/>
                <w:noProof/>
                <w:color w:val="7030A0"/>
                <w:lang w:bidi="en-US"/>
              </w:rPr>
              <w:t>Create more sustainable communities and better places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_Toc508896063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18</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4" w:history="1">
            <w:r w:rsidR="000C0044" w:rsidRPr="000C0044">
              <w:rPr>
                <w:rStyle w:val="Hyperlink"/>
                <w:noProof/>
                <w:color w:val="7030A0"/>
                <w:lang w:bidi="en-US"/>
              </w:rPr>
              <w:t>4.6</w:t>
            </w:r>
            <w:r w:rsidR="000C0044" w:rsidRPr="000C0044">
              <w:rPr>
                <w:noProof/>
                <w:color w:val="7030A0"/>
                <w:lang w:val="en-GB" w:eastAsia="en-GB"/>
              </w:rPr>
              <w:tab/>
            </w:r>
            <w:r w:rsidR="000C0044" w:rsidRPr="000C0044">
              <w:rPr>
                <w:rStyle w:val="Hyperlink"/>
                <w:noProof/>
                <w:color w:val="7030A0"/>
                <w:lang w:bidi="en-US"/>
              </w:rPr>
              <w:t>Respond to climate change</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_Toc508896064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19</w:t>
            </w:r>
            <w:r w:rsidR="004924E1" w:rsidRPr="000C0044">
              <w:rPr>
                <w:noProof/>
                <w:webHidden/>
                <w:color w:val="7030A0"/>
              </w:rPr>
              <w:fldChar w:fldCharType="end"/>
            </w:r>
          </w:hyperlink>
        </w:p>
        <w:p w:rsidR="000C0044" w:rsidRPr="000C0044" w:rsidRDefault="00830DC3">
          <w:pPr>
            <w:pStyle w:val="TOC1"/>
            <w:tabs>
              <w:tab w:val="left" w:pos="440"/>
              <w:tab w:val="right" w:leader="dot" w:pos="10194"/>
            </w:tabs>
            <w:rPr>
              <w:b w:val="0"/>
              <w:noProof/>
              <w:color w:val="7030A0"/>
              <w:lang w:val="en-GB" w:eastAsia="en-GB"/>
            </w:rPr>
          </w:pPr>
          <w:hyperlink w:anchor="_Toc508896065" w:history="1">
            <w:r w:rsidR="000C0044" w:rsidRPr="000C0044">
              <w:rPr>
                <w:rStyle w:val="Hyperlink"/>
                <w:noProof/>
                <w:color w:val="7030A0"/>
                <w:lang w:bidi="en-US"/>
              </w:rPr>
              <w:t>5</w:t>
            </w:r>
            <w:r w:rsidR="000C0044" w:rsidRPr="000C0044">
              <w:rPr>
                <w:b w:val="0"/>
                <w:noProof/>
                <w:color w:val="7030A0"/>
                <w:lang w:val="en-GB" w:eastAsia="en-GB"/>
              </w:rPr>
              <w:tab/>
            </w:r>
            <w:r w:rsidR="000C0044" w:rsidRPr="000C0044">
              <w:rPr>
                <w:rStyle w:val="Hyperlink"/>
                <w:noProof/>
                <w:color w:val="7030A0"/>
                <w:lang w:bidi="en-US"/>
              </w:rPr>
              <w:t>WORK PROGRAMME &amp; SUMMARY</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_Toc508896065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20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6" w:history="1">
            <w:r w:rsidR="000C0044" w:rsidRPr="000C0044">
              <w:rPr>
                <w:rStyle w:val="Hyperlink"/>
                <w:noProof/>
                <w:color w:val="7030A0"/>
                <w:lang w:bidi="en-US"/>
              </w:rPr>
              <w:t>5.1</w:t>
            </w:r>
            <w:r w:rsidR="000C0044" w:rsidRPr="000C0044">
              <w:rPr>
                <w:noProof/>
                <w:color w:val="7030A0"/>
                <w:lang w:val="en-GB" w:eastAsia="en-GB"/>
              </w:rPr>
              <w:tab/>
            </w:r>
            <w:r w:rsidR="000C0044" w:rsidRPr="000C0044">
              <w:rPr>
                <w:rStyle w:val="Hyperlink"/>
                <w:noProof/>
                <w:color w:val="7030A0"/>
                <w:lang w:bidi="en-US"/>
              </w:rPr>
              <w:t>Aims and objectives</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_Toc508896066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20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7" w:history="1">
            <w:r w:rsidR="000C0044" w:rsidRPr="000C0044">
              <w:rPr>
                <w:rStyle w:val="Hyperlink"/>
                <w:noProof/>
                <w:color w:val="7030A0"/>
                <w:lang w:bidi="en-US"/>
              </w:rPr>
              <w:t>5.2</w:t>
            </w:r>
            <w:r w:rsidR="000C0044" w:rsidRPr="000C0044">
              <w:rPr>
                <w:noProof/>
                <w:color w:val="7030A0"/>
                <w:lang w:val="en-GB" w:eastAsia="en-GB"/>
              </w:rPr>
              <w:tab/>
            </w:r>
            <w:r w:rsidR="000C0044" w:rsidRPr="000C0044">
              <w:rPr>
                <w:rStyle w:val="Hyperlink"/>
                <w:noProof/>
                <w:color w:val="7030A0"/>
                <w:lang w:bidi="en-US"/>
              </w:rPr>
              <w:t>Implications and resourcing</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_Toc508896067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20</w:t>
            </w:r>
            <w:r w:rsidR="004924E1" w:rsidRPr="000C0044">
              <w:rPr>
                <w:noProof/>
                <w:webHidden/>
                <w:color w:val="7030A0"/>
              </w:rPr>
              <w:fldChar w:fldCharType="end"/>
            </w:r>
          </w:hyperlink>
        </w:p>
        <w:p w:rsidR="000C0044" w:rsidRPr="000C0044" w:rsidRDefault="00830DC3">
          <w:pPr>
            <w:pStyle w:val="TOC2"/>
            <w:tabs>
              <w:tab w:val="left" w:pos="880"/>
              <w:tab w:val="right" w:leader="dot" w:pos="10194"/>
            </w:tabs>
            <w:rPr>
              <w:noProof/>
              <w:color w:val="7030A0"/>
              <w:lang w:val="en-GB" w:eastAsia="en-GB"/>
            </w:rPr>
          </w:pPr>
          <w:hyperlink w:anchor="_Toc508896068" w:history="1">
            <w:r w:rsidR="000C0044" w:rsidRPr="000C0044">
              <w:rPr>
                <w:rStyle w:val="Hyperlink"/>
                <w:noProof/>
                <w:color w:val="7030A0"/>
                <w:lang w:bidi="en-US"/>
              </w:rPr>
              <w:t>5.3</w:t>
            </w:r>
            <w:r w:rsidR="000C0044" w:rsidRPr="000C0044">
              <w:rPr>
                <w:noProof/>
                <w:color w:val="7030A0"/>
                <w:lang w:val="en-GB" w:eastAsia="en-GB"/>
              </w:rPr>
              <w:tab/>
            </w:r>
            <w:r w:rsidR="000C0044" w:rsidRPr="000C0044">
              <w:rPr>
                <w:rStyle w:val="Hyperlink"/>
                <w:noProof/>
                <w:color w:val="7030A0"/>
                <w:lang w:bidi="en-US"/>
              </w:rPr>
              <w:t>Summary of the 2017 AMR</w:t>
            </w:r>
            <w:r w:rsidR="000C0044" w:rsidRPr="000C0044">
              <w:rPr>
                <w:noProof/>
                <w:webHidden/>
                <w:color w:val="7030A0"/>
              </w:rPr>
              <w:tab/>
            </w:r>
            <w:r w:rsidR="004924E1" w:rsidRPr="000C0044">
              <w:rPr>
                <w:noProof/>
                <w:webHidden/>
                <w:color w:val="7030A0"/>
              </w:rPr>
              <w:fldChar w:fldCharType="begin"/>
            </w:r>
            <w:r w:rsidR="000C0044" w:rsidRPr="000C0044">
              <w:rPr>
                <w:noProof/>
                <w:webHidden/>
                <w:color w:val="7030A0"/>
              </w:rPr>
              <w:instrText xml:space="preserve"> PAGEREF _Toc508896068 \h </w:instrText>
            </w:r>
            <w:r w:rsidR="004924E1" w:rsidRPr="000C0044">
              <w:rPr>
                <w:noProof/>
                <w:webHidden/>
                <w:color w:val="7030A0"/>
              </w:rPr>
            </w:r>
            <w:r w:rsidR="004924E1" w:rsidRPr="000C0044">
              <w:rPr>
                <w:noProof/>
                <w:webHidden/>
                <w:color w:val="7030A0"/>
              </w:rPr>
              <w:fldChar w:fldCharType="separate"/>
            </w:r>
            <w:r w:rsidR="000C0044" w:rsidRPr="000C0044">
              <w:rPr>
                <w:noProof/>
                <w:webHidden/>
                <w:color w:val="7030A0"/>
              </w:rPr>
              <w:t>20</w:t>
            </w:r>
            <w:r w:rsidR="004924E1" w:rsidRPr="000C0044">
              <w:rPr>
                <w:noProof/>
                <w:webHidden/>
                <w:color w:val="7030A0"/>
              </w:rPr>
              <w:fldChar w:fldCharType="end"/>
            </w:r>
          </w:hyperlink>
        </w:p>
        <w:p w:rsidR="00B6314C" w:rsidRDefault="004924E1">
          <w:r w:rsidRPr="000C0044">
            <w:rPr>
              <w:b/>
              <w:color w:val="7030A0"/>
              <w:lang w:bidi="ar-SA"/>
            </w:rPr>
            <w:lastRenderedPageBreak/>
            <w:fldChar w:fldCharType="end"/>
          </w:r>
        </w:p>
      </w:sdtContent>
    </w:sdt>
    <w:p w:rsidR="00B6314C" w:rsidRDefault="00B6314C"/>
    <w:p w:rsidR="00B6314C" w:rsidRDefault="00B6314C">
      <w:r>
        <w:br w:type="page"/>
      </w:r>
    </w:p>
    <w:p w:rsidR="00D17950" w:rsidRPr="0086630A" w:rsidRDefault="00683F46" w:rsidP="000B0C06">
      <w:pPr>
        <w:pStyle w:val="Heading1"/>
        <w:rPr>
          <w:color w:val="7030A0"/>
        </w:rPr>
      </w:pPr>
      <w:bookmarkStart w:id="1" w:name="_Toc508896035"/>
      <w:r w:rsidRPr="0086630A">
        <w:rPr>
          <w:color w:val="7030A0"/>
        </w:rPr>
        <w:lastRenderedPageBreak/>
        <w:t>INTRODUCTION</w:t>
      </w:r>
      <w:bookmarkEnd w:id="1"/>
    </w:p>
    <w:p w:rsidR="00DA7953" w:rsidRPr="0086630A" w:rsidRDefault="00352EEB" w:rsidP="007A0999">
      <w:pPr>
        <w:pStyle w:val="Heading2"/>
        <w:rPr>
          <w:color w:val="4D4D4D"/>
        </w:rPr>
      </w:pPr>
      <w:bookmarkStart w:id="2" w:name="_Toc508896036"/>
      <w:bookmarkStart w:id="3" w:name="_Toc460489476"/>
      <w:r>
        <w:t>Background</w:t>
      </w:r>
      <w:bookmarkEnd w:id="2"/>
      <w:r w:rsidR="00BE6671">
        <w:t xml:space="preserve"> </w:t>
      </w:r>
      <w:bookmarkEnd w:id="3"/>
    </w:p>
    <w:p w:rsidR="0025287B" w:rsidRPr="0086630A" w:rsidRDefault="00D919FF" w:rsidP="007C16AD">
      <w:pPr>
        <w:pStyle w:val="Heading3"/>
        <w:rPr>
          <w:rFonts w:ascii="Arial" w:hAnsi="Arial" w:cs="Arial"/>
        </w:rPr>
      </w:pPr>
      <w:bookmarkStart w:id="4" w:name="_Toc460489477"/>
      <w:r w:rsidRPr="0086630A">
        <w:t xml:space="preserve">The Authority Monitoring Report (AMR) provides an opportunity to monitor on an annual basis the progress of development plan preparation, and the effectiveness of planning policies against a strong evidence base. </w:t>
      </w:r>
      <w:r w:rsidR="0025287B" w:rsidRPr="0086630A">
        <w:t>It is a statutory document required to be produced on at least an annual basis. This AMR covers the period 1</w:t>
      </w:r>
      <w:r w:rsidR="0025287B" w:rsidRPr="0086630A">
        <w:rPr>
          <w:vertAlign w:val="superscript"/>
        </w:rPr>
        <w:t>st</w:t>
      </w:r>
      <w:r w:rsidR="0025287B" w:rsidRPr="0086630A">
        <w:t xml:space="preserve"> April 201</w:t>
      </w:r>
      <w:r w:rsidR="003B3DC1" w:rsidRPr="0086630A">
        <w:t>6</w:t>
      </w:r>
      <w:r w:rsidR="0025287B" w:rsidRPr="0086630A">
        <w:t>- 31</w:t>
      </w:r>
      <w:r w:rsidR="0025287B" w:rsidRPr="0086630A">
        <w:rPr>
          <w:vertAlign w:val="superscript"/>
        </w:rPr>
        <w:t>st</w:t>
      </w:r>
      <w:r w:rsidR="003B3DC1" w:rsidRPr="0086630A">
        <w:t xml:space="preserve"> March 2017</w:t>
      </w:r>
      <w:r w:rsidR="0025287B" w:rsidRPr="0086630A">
        <w:t xml:space="preserve"> (although some of the data referred to will inevitably date back to previous years as a result of data collection timescales</w:t>
      </w:r>
      <w:r w:rsidR="003B3DC1" w:rsidRPr="0086630A">
        <w:t>, and some updates will reference the calendar year 2017</w:t>
      </w:r>
      <w:r w:rsidR="0025287B" w:rsidRPr="0086630A">
        <w:t xml:space="preserve">).  </w:t>
      </w:r>
    </w:p>
    <w:p w:rsidR="0025287B" w:rsidRPr="0086630A" w:rsidRDefault="0025287B" w:rsidP="0025287B">
      <w:pPr>
        <w:pStyle w:val="Heading3"/>
      </w:pPr>
      <w:r w:rsidRPr="0086630A">
        <w:t>The AMR provides a monitoring framework. As required by Section 35 of the Planning and Compulsory Purchase Act 2004 (amended by the Localism Act 2011), local authorities must prepare reports setting out:-</w:t>
      </w:r>
    </w:p>
    <w:p w:rsidR="0025287B" w:rsidRPr="0086630A" w:rsidRDefault="0025287B" w:rsidP="004C62CE">
      <w:pPr>
        <w:pStyle w:val="Heading3"/>
        <w:numPr>
          <w:ilvl w:val="1"/>
          <w:numId w:val="38"/>
        </w:numPr>
        <w:ind w:left="1723" w:hanging="357"/>
      </w:pPr>
      <w:r w:rsidRPr="0086630A">
        <w:t>The implementation of the local development scheme</w:t>
      </w:r>
    </w:p>
    <w:p w:rsidR="0025287B" w:rsidRPr="0086630A" w:rsidRDefault="0025287B" w:rsidP="004C62CE">
      <w:pPr>
        <w:pStyle w:val="Heading3"/>
        <w:numPr>
          <w:ilvl w:val="1"/>
          <w:numId w:val="38"/>
        </w:numPr>
        <w:ind w:left="1723" w:hanging="357"/>
      </w:pPr>
      <w:r w:rsidRPr="0086630A">
        <w:t>The extent to which the policies set out in local development documents are being achieved</w:t>
      </w:r>
    </w:p>
    <w:p w:rsidR="004C62CE" w:rsidRPr="0086630A" w:rsidRDefault="0025287B" w:rsidP="0025287B">
      <w:pPr>
        <w:pStyle w:val="Heading3"/>
        <w:rPr>
          <w:rFonts w:ascii="Arial" w:hAnsi="Arial" w:cs="Arial"/>
        </w:rPr>
      </w:pPr>
      <w:r w:rsidRPr="0086630A">
        <w:t>The Local Planning Regulations 2012 provide more detail as to the required content of AMRs</w:t>
      </w:r>
      <w:r w:rsidR="004C62CE" w:rsidRPr="0086630A">
        <w:rPr>
          <w:rStyle w:val="FootnoteReference"/>
        </w:rPr>
        <w:footnoteReference w:id="1"/>
      </w:r>
      <w:r w:rsidRPr="0086630A">
        <w:t>. No reference is made specifically to the AMR in the National Planning Policy Framework (NPPF, 2012), however National Planning Practice Guidance (NPPG, 2013) does refer to the role of the AMR.</w:t>
      </w:r>
    </w:p>
    <w:p w:rsidR="004C62CE" w:rsidRPr="0086630A" w:rsidRDefault="004C62CE" w:rsidP="0025287B">
      <w:pPr>
        <w:pStyle w:val="Heading3"/>
        <w:rPr>
          <w:rFonts w:ascii="Arial" w:hAnsi="Arial" w:cs="Arial"/>
        </w:rPr>
      </w:pPr>
      <w:r w:rsidRPr="0086630A">
        <w:t>This year’s Torbay AMR covers the required aspects of the implementation of the Torbay Local Development Scheme (LDS) and relevant monitoring information.</w:t>
      </w:r>
    </w:p>
    <w:p w:rsidR="00BE6671" w:rsidRPr="0086630A" w:rsidRDefault="00BE6671" w:rsidP="0025287B">
      <w:pPr>
        <w:pStyle w:val="Heading3"/>
        <w:rPr>
          <w:rFonts w:ascii="Arial" w:hAnsi="Arial" w:cs="Arial"/>
        </w:rPr>
      </w:pPr>
      <w:r w:rsidRPr="0086630A">
        <w:t xml:space="preserve">This </w:t>
      </w:r>
      <w:r w:rsidR="00DB1AC7" w:rsidRPr="0086630A">
        <w:t>AMR</w:t>
      </w:r>
      <w:r w:rsidRPr="0086630A">
        <w:t xml:space="preserve"> follows </w:t>
      </w:r>
      <w:r w:rsidR="00516947" w:rsidRPr="0086630A">
        <w:t xml:space="preserve">the </w:t>
      </w:r>
      <w:r w:rsidRPr="0086630A">
        <w:t xml:space="preserve">adoption of the new </w:t>
      </w:r>
      <w:r w:rsidRPr="0086630A">
        <w:rPr>
          <w:b/>
          <w:i/>
        </w:rPr>
        <w:t>Torbay Local Plan 2012-2030 - ‘A landscape for success’</w:t>
      </w:r>
      <w:r w:rsidRPr="0086630A">
        <w:rPr>
          <w:i/>
        </w:rPr>
        <w:t xml:space="preserve"> </w:t>
      </w:r>
      <w:r w:rsidRPr="0086630A">
        <w:t xml:space="preserve">and its relationship with Torbay’s emerging Neighbourhood Plans.  </w:t>
      </w:r>
      <w:bookmarkEnd w:id="4"/>
      <w:r w:rsidR="00516947" w:rsidRPr="0086630A">
        <w:t>The Local Plan sets a clear framework for a healthy</w:t>
      </w:r>
      <w:r w:rsidR="00D73BA8" w:rsidRPr="0086630A">
        <w:t xml:space="preserve"> </w:t>
      </w:r>
      <w:r w:rsidR="00D73B8E" w:rsidRPr="0086630A">
        <w:t>and prosperous</w:t>
      </w:r>
      <w:r w:rsidR="00516947" w:rsidRPr="0086630A">
        <w:t xml:space="preserve"> Torbay.  The </w:t>
      </w:r>
      <w:r w:rsidR="00DB1AC7" w:rsidRPr="0086630A">
        <w:t xml:space="preserve">AMR monitors the </w:t>
      </w:r>
      <w:r w:rsidR="00D73BA8" w:rsidRPr="0086630A">
        <w:t>deliver</w:t>
      </w:r>
      <w:r w:rsidR="00DB1AC7" w:rsidRPr="0086630A">
        <w:t>y</w:t>
      </w:r>
      <w:r w:rsidR="00D73BA8" w:rsidRPr="0086630A">
        <w:t xml:space="preserve"> </w:t>
      </w:r>
      <w:r w:rsidR="00DB1AC7" w:rsidRPr="0086630A">
        <w:t xml:space="preserve">of </w:t>
      </w:r>
      <w:r w:rsidR="00D73BA8" w:rsidRPr="0086630A">
        <w:t>the sustainable g</w:t>
      </w:r>
      <w:r w:rsidR="00516947" w:rsidRPr="0086630A">
        <w:t>rowth and regeneration proposed by the Local Plan</w:t>
      </w:r>
      <w:r w:rsidR="008449BF" w:rsidRPr="0086630A">
        <w:t>.</w:t>
      </w:r>
    </w:p>
    <w:p w:rsidR="005243B2" w:rsidRDefault="007C16AD" w:rsidP="007C16AD">
      <w:pPr>
        <w:pStyle w:val="Heading3"/>
        <w:rPr>
          <w:rFonts w:ascii="Arial" w:hAnsi="Arial" w:cs="Arial"/>
        </w:rPr>
      </w:pPr>
      <w:bookmarkStart w:id="5" w:name="_Toc460489478"/>
      <w:r w:rsidRPr="000F73B9">
        <w:rPr>
          <w:rFonts w:ascii="Arial" w:hAnsi="Arial" w:cs="Arial"/>
        </w:rPr>
        <w:t>Torbay Local Plan 2012-</w:t>
      </w:r>
      <w:r w:rsidR="00A65898">
        <w:rPr>
          <w:rFonts w:ascii="Arial" w:hAnsi="Arial" w:cs="Arial"/>
        </w:rPr>
        <w:t>20</w:t>
      </w:r>
      <w:r w:rsidRPr="000F73B9">
        <w:rPr>
          <w:rFonts w:ascii="Arial" w:hAnsi="Arial" w:cs="Arial"/>
        </w:rPr>
        <w:t xml:space="preserve">30 </w:t>
      </w:r>
      <w:r w:rsidR="000348BB">
        <w:rPr>
          <w:rFonts w:ascii="Arial" w:hAnsi="Arial" w:cs="Arial"/>
        </w:rPr>
        <w:t>–</w:t>
      </w:r>
      <w:r w:rsidR="007F2C19">
        <w:rPr>
          <w:rFonts w:ascii="Arial" w:hAnsi="Arial" w:cs="Arial"/>
        </w:rPr>
        <w:t xml:space="preserve"> </w:t>
      </w:r>
      <w:r w:rsidR="000348BB">
        <w:rPr>
          <w:rFonts w:ascii="Arial" w:hAnsi="Arial" w:cs="Arial"/>
        </w:rPr>
        <w:t>‘</w:t>
      </w:r>
      <w:r w:rsidRPr="000F73B9">
        <w:rPr>
          <w:rFonts w:ascii="Arial" w:hAnsi="Arial" w:cs="Arial"/>
        </w:rPr>
        <w:t>A landscape for success</w:t>
      </w:r>
      <w:r w:rsidR="000348BB">
        <w:rPr>
          <w:rFonts w:ascii="Arial" w:hAnsi="Arial" w:cs="Arial"/>
        </w:rPr>
        <w:t>’</w:t>
      </w:r>
      <w:r>
        <w:rPr>
          <w:rFonts w:ascii="Arial" w:hAnsi="Arial" w:cs="Arial"/>
        </w:rPr>
        <w:t xml:space="preserve">, </w:t>
      </w:r>
      <w:r w:rsidRPr="000F73B9">
        <w:rPr>
          <w:rFonts w:ascii="Arial" w:hAnsi="Arial" w:cs="Arial"/>
        </w:rPr>
        <w:t>was adopted on 10 December 2015</w:t>
      </w:r>
      <w:r w:rsidR="009F2243">
        <w:rPr>
          <w:rStyle w:val="FootnoteReference"/>
          <w:rFonts w:ascii="Arial" w:hAnsi="Arial" w:cs="Arial"/>
        </w:rPr>
        <w:footnoteReference w:id="2"/>
      </w:r>
      <w:r w:rsidR="009F2243">
        <w:rPr>
          <w:rFonts w:ascii="Arial" w:hAnsi="Arial" w:cs="Arial"/>
        </w:rPr>
        <w:t>.</w:t>
      </w:r>
      <w:r w:rsidRPr="000F73B9">
        <w:rPr>
          <w:rFonts w:ascii="Arial" w:hAnsi="Arial" w:cs="Arial"/>
        </w:rPr>
        <w:t xml:space="preserve"> </w:t>
      </w:r>
      <w:r>
        <w:rPr>
          <w:rFonts w:ascii="Arial" w:hAnsi="Arial" w:cs="Arial"/>
        </w:rPr>
        <w:t xml:space="preserve"> This document, along with neighbourhood plans when </w:t>
      </w:r>
      <w:r w:rsidR="0080456A">
        <w:rPr>
          <w:rFonts w:ascii="Arial" w:hAnsi="Arial" w:cs="Arial"/>
        </w:rPr>
        <w:t xml:space="preserve">(‘made’) </w:t>
      </w:r>
      <w:r>
        <w:rPr>
          <w:rFonts w:ascii="Arial" w:hAnsi="Arial" w:cs="Arial"/>
        </w:rPr>
        <w:t>adopted, form the development plan. Planning applications should be determined in accordance with the development plan unless material considerations indicate otherwise (see NPPF paragraph 2).  The Local Plan provides the fram</w:t>
      </w:r>
      <w:r w:rsidR="00EF26F2">
        <w:rPr>
          <w:rFonts w:ascii="Arial" w:hAnsi="Arial" w:cs="Arial"/>
        </w:rPr>
        <w:t>ework for development in Torbay</w:t>
      </w:r>
      <w:r w:rsidR="00BC3F5C">
        <w:rPr>
          <w:rFonts w:ascii="Arial" w:hAnsi="Arial" w:cs="Arial"/>
        </w:rPr>
        <w:t xml:space="preserve"> and includes </w:t>
      </w:r>
      <w:r w:rsidR="0080456A">
        <w:rPr>
          <w:rFonts w:ascii="Arial" w:hAnsi="Arial" w:cs="Arial"/>
        </w:rPr>
        <w:t>w</w:t>
      </w:r>
      <w:r w:rsidR="00BC3F5C">
        <w:rPr>
          <w:rFonts w:ascii="Arial" w:hAnsi="Arial" w:cs="Arial"/>
        </w:rPr>
        <w:t xml:space="preserve">aste and </w:t>
      </w:r>
      <w:r w:rsidR="0080456A">
        <w:rPr>
          <w:rFonts w:ascii="Arial" w:hAnsi="Arial" w:cs="Arial"/>
        </w:rPr>
        <w:t>m</w:t>
      </w:r>
      <w:r w:rsidR="00BC3F5C">
        <w:rPr>
          <w:rFonts w:ascii="Arial" w:hAnsi="Arial" w:cs="Arial"/>
        </w:rPr>
        <w:t xml:space="preserve">inerals </w:t>
      </w:r>
      <w:r w:rsidR="0080456A">
        <w:rPr>
          <w:rFonts w:ascii="Arial" w:hAnsi="Arial" w:cs="Arial"/>
        </w:rPr>
        <w:t>p</w:t>
      </w:r>
      <w:r w:rsidR="00BC3F5C">
        <w:rPr>
          <w:rFonts w:ascii="Arial" w:hAnsi="Arial" w:cs="Arial"/>
        </w:rPr>
        <w:t>olicies</w:t>
      </w:r>
      <w:bookmarkEnd w:id="5"/>
      <w:r w:rsidR="009F2243">
        <w:rPr>
          <w:rFonts w:ascii="Arial" w:hAnsi="Arial" w:cs="Arial"/>
        </w:rPr>
        <w:t>.</w:t>
      </w:r>
    </w:p>
    <w:p w:rsidR="008A651F" w:rsidRDefault="005243B2" w:rsidP="00DE4C6B">
      <w:pPr>
        <w:pStyle w:val="Heading3"/>
        <w:spacing w:after="0"/>
        <w:contextualSpacing/>
        <w:rPr>
          <w:rFonts w:ascii="Arial" w:hAnsi="Arial" w:cs="Arial"/>
        </w:rPr>
      </w:pPr>
      <w:bookmarkStart w:id="6" w:name="_Toc460489479"/>
      <w:r>
        <w:rPr>
          <w:rFonts w:ascii="Arial" w:hAnsi="Arial" w:cs="Arial"/>
        </w:rPr>
        <w:t xml:space="preserve">The Local </w:t>
      </w:r>
      <w:r w:rsidRPr="005243B2">
        <w:rPr>
          <w:rFonts w:ascii="Arial" w:hAnsi="Arial" w:cs="Arial"/>
        </w:rPr>
        <w:t>Plan has five aspirations for the Bay</w:t>
      </w:r>
      <w:bookmarkEnd w:id="6"/>
      <w:r w:rsidR="008364BF">
        <w:rPr>
          <w:rFonts w:ascii="Arial" w:hAnsi="Arial" w:cs="Arial"/>
        </w:rPr>
        <w:t>, which this AMR is structured around:</w:t>
      </w:r>
    </w:p>
    <w:p w:rsidR="0086630A" w:rsidRPr="0086630A" w:rsidRDefault="0086630A" w:rsidP="0086630A"/>
    <w:p w:rsidR="008A651F" w:rsidRPr="005243B2" w:rsidRDefault="008A651F" w:rsidP="00DE4C6B">
      <w:pPr>
        <w:pStyle w:val="Heading3"/>
        <w:numPr>
          <w:ilvl w:val="0"/>
          <w:numId w:val="0"/>
        </w:numPr>
        <w:spacing w:after="0" w:line="240" w:lineRule="auto"/>
        <w:ind w:left="1134"/>
        <w:contextualSpacing/>
        <w:rPr>
          <w:rFonts w:ascii="Arial" w:hAnsi="Arial" w:cs="Arial"/>
        </w:rPr>
      </w:pPr>
      <w:bookmarkStart w:id="7" w:name="_Toc460489480"/>
      <w:r w:rsidRPr="005243B2">
        <w:rPr>
          <w:rFonts w:ascii="Arial" w:hAnsi="Arial" w:cs="Arial"/>
        </w:rPr>
        <w:t>1. Secure economic recovery and success</w:t>
      </w:r>
      <w:bookmarkEnd w:id="7"/>
    </w:p>
    <w:p w:rsidR="008A651F" w:rsidRPr="005243B2" w:rsidRDefault="008A651F" w:rsidP="00DE4C6B">
      <w:pPr>
        <w:pStyle w:val="Heading3"/>
        <w:numPr>
          <w:ilvl w:val="0"/>
          <w:numId w:val="0"/>
        </w:numPr>
        <w:spacing w:after="0" w:line="240" w:lineRule="auto"/>
        <w:ind w:left="1134"/>
        <w:contextualSpacing/>
        <w:rPr>
          <w:rFonts w:ascii="Arial" w:hAnsi="Arial" w:cs="Arial"/>
        </w:rPr>
      </w:pPr>
      <w:bookmarkStart w:id="8" w:name="_Toc460489481"/>
      <w:r w:rsidRPr="005243B2">
        <w:rPr>
          <w:rFonts w:ascii="Arial" w:hAnsi="Arial" w:cs="Arial"/>
        </w:rPr>
        <w:t>2. Achieve a better connected, accessible</w:t>
      </w:r>
      <w:r>
        <w:rPr>
          <w:rFonts w:ascii="Arial" w:hAnsi="Arial" w:cs="Arial"/>
        </w:rPr>
        <w:t xml:space="preserve"> </w:t>
      </w:r>
      <w:r w:rsidRPr="005243B2">
        <w:rPr>
          <w:rFonts w:ascii="Arial" w:hAnsi="Arial" w:cs="Arial"/>
        </w:rPr>
        <w:t>Torbay and essential infrastructure</w:t>
      </w:r>
      <w:bookmarkEnd w:id="8"/>
    </w:p>
    <w:p w:rsidR="008A651F" w:rsidRPr="005243B2" w:rsidRDefault="008A651F" w:rsidP="00DE4C6B">
      <w:pPr>
        <w:pStyle w:val="Heading3"/>
        <w:numPr>
          <w:ilvl w:val="0"/>
          <w:numId w:val="0"/>
        </w:numPr>
        <w:spacing w:after="0" w:line="240" w:lineRule="auto"/>
        <w:ind w:left="1134"/>
        <w:contextualSpacing/>
        <w:rPr>
          <w:rFonts w:ascii="Arial" w:hAnsi="Arial" w:cs="Arial"/>
        </w:rPr>
      </w:pPr>
      <w:bookmarkStart w:id="9" w:name="_Toc460489482"/>
      <w:r w:rsidRPr="005243B2">
        <w:rPr>
          <w:rFonts w:ascii="Arial" w:hAnsi="Arial" w:cs="Arial"/>
        </w:rPr>
        <w:lastRenderedPageBreak/>
        <w:t>3. Protect and enhance a superb</w:t>
      </w:r>
      <w:r>
        <w:rPr>
          <w:rFonts w:ascii="Arial" w:hAnsi="Arial" w:cs="Arial"/>
        </w:rPr>
        <w:t xml:space="preserve"> </w:t>
      </w:r>
      <w:r w:rsidRPr="005243B2">
        <w:rPr>
          <w:rFonts w:ascii="Arial" w:hAnsi="Arial" w:cs="Arial"/>
        </w:rPr>
        <w:t>environment</w:t>
      </w:r>
      <w:bookmarkEnd w:id="9"/>
    </w:p>
    <w:p w:rsidR="008A651F" w:rsidRPr="005243B2" w:rsidRDefault="008A651F" w:rsidP="00DE4C6B">
      <w:pPr>
        <w:pStyle w:val="Heading3"/>
        <w:numPr>
          <w:ilvl w:val="0"/>
          <w:numId w:val="0"/>
        </w:numPr>
        <w:spacing w:after="0" w:line="240" w:lineRule="auto"/>
        <w:ind w:left="1134"/>
        <w:contextualSpacing/>
        <w:rPr>
          <w:rFonts w:ascii="Arial" w:hAnsi="Arial" w:cs="Arial"/>
        </w:rPr>
      </w:pPr>
      <w:bookmarkStart w:id="10" w:name="_Toc460489483"/>
      <w:r w:rsidRPr="005243B2">
        <w:rPr>
          <w:rFonts w:ascii="Arial" w:hAnsi="Arial" w:cs="Arial"/>
        </w:rPr>
        <w:t>4. Create more sustainable communities</w:t>
      </w:r>
      <w:r>
        <w:rPr>
          <w:rFonts w:ascii="Arial" w:hAnsi="Arial" w:cs="Arial"/>
        </w:rPr>
        <w:t xml:space="preserve"> </w:t>
      </w:r>
      <w:r w:rsidRPr="005243B2">
        <w:rPr>
          <w:rFonts w:ascii="Arial" w:hAnsi="Arial" w:cs="Arial"/>
        </w:rPr>
        <w:t>and better places</w:t>
      </w:r>
      <w:bookmarkEnd w:id="10"/>
    </w:p>
    <w:p w:rsidR="0086630A" w:rsidRDefault="008A651F" w:rsidP="0086630A">
      <w:pPr>
        <w:pStyle w:val="Heading3"/>
        <w:numPr>
          <w:ilvl w:val="0"/>
          <w:numId w:val="0"/>
        </w:numPr>
        <w:spacing w:after="0" w:line="240" w:lineRule="auto"/>
        <w:ind w:left="1134"/>
        <w:contextualSpacing/>
        <w:rPr>
          <w:rFonts w:ascii="Arial" w:hAnsi="Arial" w:cs="Arial"/>
        </w:rPr>
      </w:pPr>
      <w:bookmarkStart w:id="11" w:name="_Toc460489484"/>
      <w:r w:rsidRPr="005243B2">
        <w:rPr>
          <w:rFonts w:ascii="Arial" w:hAnsi="Arial" w:cs="Arial"/>
        </w:rPr>
        <w:t>5. Respond to climate change</w:t>
      </w:r>
      <w:r>
        <w:rPr>
          <w:rFonts w:ascii="Arial" w:hAnsi="Arial" w:cs="Arial"/>
        </w:rPr>
        <w:t>s</w:t>
      </w:r>
      <w:bookmarkEnd w:id="11"/>
      <w:r>
        <w:rPr>
          <w:rFonts w:ascii="Arial" w:hAnsi="Arial" w:cs="Arial"/>
        </w:rPr>
        <w:t xml:space="preserve"> </w:t>
      </w:r>
      <w:bookmarkStart w:id="12" w:name="_Toc460489488"/>
    </w:p>
    <w:p w:rsidR="0086630A" w:rsidRPr="0086630A" w:rsidRDefault="0086630A" w:rsidP="0086630A"/>
    <w:p w:rsidR="0086630A" w:rsidRDefault="0086630A" w:rsidP="0086630A">
      <w:pPr>
        <w:pStyle w:val="Heading3"/>
      </w:pPr>
      <w:r w:rsidRPr="0086630A">
        <w:t>Each aspiration and related set of objectives will be delivered through sustainable growth, using the Local Plan Policies, Neighbourhood Plan policies (once ‘made’), associated masterplans and Development Plan Documents (DPDs); supported by Supplementary Planning Documents (SPDs) and Guidance to steer that growth.</w:t>
      </w:r>
    </w:p>
    <w:p w:rsidR="0086630A" w:rsidRDefault="008364BF" w:rsidP="00157F51">
      <w:pPr>
        <w:pStyle w:val="Heading3"/>
        <w:spacing w:after="100" w:afterAutospacing="1" w:line="240" w:lineRule="auto"/>
        <w:contextualSpacing/>
      </w:pPr>
      <w:r>
        <w:t>D</w:t>
      </w:r>
      <w:r w:rsidR="008A651F">
        <w:t xml:space="preserve">elivery of the Plan will be </w:t>
      </w:r>
      <w:r w:rsidR="008A651F" w:rsidRPr="0086630A">
        <w:rPr>
          <w:color w:val="auto"/>
        </w:rPr>
        <w:t xml:space="preserve">reviewed </w:t>
      </w:r>
      <w:r w:rsidR="00516947" w:rsidRPr="0086630A">
        <w:rPr>
          <w:color w:val="auto"/>
        </w:rPr>
        <w:t xml:space="preserve">through the </w:t>
      </w:r>
      <w:r w:rsidR="00516947" w:rsidRPr="0086630A">
        <w:rPr>
          <w:b/>
          <w:color w:val="auto"/>
        </w:rPr>
        <w:t>A</w:t>
      </w:r>
      <w:r w:rsidR="000D3174" w:rsidRPr="0086630A">
        <w:rPr>
          <w:b/>
          <w:color w:val="auto"/>
        </w:rPr>
        <w:t>uthority Monitoring Report</w:t>
      </w:r>
      <w:r w:rsidR="008A651F" w:rsidRPr="0086630A">
        <w:rPr>
          <w:color w:val="auto"/>
        </w:rPr>
        <w:t xml:space="preserve"> and a </w:t>
      </w:r>
      <w:r w:rsidR="008449BF" w:rsidRPr="0086630A">
        <w:rPr>
          <w:color w:val="auto"/>
        </w:rPr>
        <w:t>major review will be undertaken</w:t>
      </w:r>
      <w:r w:rsidR="008A651F" w:rsidRPr="0086630A">
        <w:rPr>
          <w:color w:val="auto"/>
        </w:rPr>
        <w:t xml:space="preserve"> every</w:t>
      </w:r>
      <w:r w:rsidR="008A651F" w:rsidRPr="008364BF">
        <w:t xml:space="preserve"> 5 years</w:t>
      </w:r>
      <w:bookmarkEnd w:id="12"/>
      <w:r w:rsidR="0086630A">
        <w:t>.</w:t>
      </w:r>
    </w:p>
    <w:p w:rsidR="004E00E8" w:rsidRDefault="0086630A" w:rsidP="0086630A">
      <w:pPr>
        <w:pStyle w:val="Heading3"/>
        <w:numPr>
          <w:ilvl w:val="0"/>
          <w:numId w:val="0"/>
        </w:numPr>
        <w:spacing w:after="100" w:afterAutospacing="1" w:line="240" w:lineRule="auto"/>
        <w:contextualSpacing/>
      </w:pPr>
      <w:r w:rsidRPr="00C00D70">
        <w:rPr>
          <w:noProof/>
          <w:lang w:val="en-GB" w:eastAsia="en-GB" w:bidi="ar-SA"/>
        </w:rPr>
        <w:drawing>
          <wp:anchor distT="0" distB="0" distL="114300" distR="114300" simplePos="0" relativeHeight="251666432" behindDoc="0" locked="0" layoutInCell="1" allowOverlap="1">
            <wp:simplePos x="0" y="0"/>
            <wp:positionH relativeFrom="margin">
              <wp:align>center</wp:align>
            </wp:positionH>
            <wp:positionV relativeFrom="page">
              <wp:posOffset>2876550</wp:posOffset>
            </wp:positionV>
            <wp:extent cx="5486400" cy="3200400"/>
            <wp:effectExtent l="0" t="0" r="0" b="19050"/>
            <wp:wrapTopAndBottom/>
            <wp:docPr id="1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4E00E8">
        <w:br w:type="page"/>
      </w:r>
    </w:p>
    <w:p w:rsidR="008A651F" w:rsidRDefault="008A651F" w:rsidP="002659A6">
      <w:pPr>
        <w:pStyle w:val="Heading2"/>
      </w:pPr>
      <w:bookmarkStart w:id="13" w:name="_Toc460489489"/>
      <w:bookmarkStart w:id="14" w:name="_Toc508896037"/>
      <w:r>
        <w:lastRenderedPageBreak/>
        <w:t>Links with other Co</w:t>
      </w:r>
      <w:r w:rsidR="00945898">
        <w:t>uncil</w:t>
      </w:r>
      <w:r>
        <w:t xml:space="preserve"> Plans</w:t>
      </w:r>
      <w:bookmarkEnd w:id="13"/>
      <w:bookmarkEnd w:id="14"/>
    </w:p>
    <w:p w:rsidR="008A651F" w:rsidRPr="00F73887" w:rsidRDefault="008A651F" w:rsidP="003E692C">
      <w:pPr>
        <w:pStyle w:val="Heading3title"/>
      </w:pPr>
    </w:p>
    <w:p w:rsidR="002E7854" w:rsidRPr="005B19EB" w:rsidRDefault="008A651F" w:rsidP="002E7854">
      <w:pPr>
        <w:pStyle w:val="Heading3"/>
        <w:rPr>
          <w:rFonts w:ascii="Arial" w:hAnsi="Arial" w:cs="Arial"/>
        </w:rPr>
      </w:pPr>
      <w:bookmarkStart w:id="15" w:name="_Toc460489490"/>
      <w:r w:rsidRPr="00DA7953">
        <w:rPr>
          <w:rFonts w:ascii="Arial" w:hAnsi="Arial" w:cs="Arial"/>
        </w:rPr>
        <w:t>There ar</w:t>
      </w:r>
      <w:r w:rsidR="004358B3">
        <w:rPr>
          <w:rFonts w:ascii="Arial" w:hAnsi="Arial" w:cs="Arial"/>
        </w:rPr>
        <w:t>e several other Council plans and strategies</w:t>
      </w:r>
      <w:r w:rsidRPr="00DA7953">
        <w:rPr>
          <w:rFonts w:ascii="Arial" w:hAnsi="Arial" w:cs="Arial"/>
        </w:rPr>
        <w:t xml:space="preserve"> that set out a commitment to deliver a much improved and more prosperous Torbay.</w:t>
      </w:r>
      <w:r w:rsidR="0080456A">
        <w:rPr>
          <w:rFonts w:ascii="Arial" w:hAnsi="Arial" w:cs="Arial"/>
        </w:rPr>
        <w:t xml:space="preserve"> </w:t>
      </w:r>
      <w:r w:rsidRPr="00DA7953">
        <w:rPr>
          <w:rFonts w:ascii="Arial" w:hAnsi="Arial" w:cs="Arial"/>
        </w:rPr>
        <w:t xml:space="preserve"> The Local Plan also takes account of other strategies including Torbay </w:t>
      </w:r>
      <w:r w:rsidRPr="005B19EB">
        <w:rPr>
          <w:rFonts w:ascii="Arial" w:hAnsi="Arial" w:cs="Arial"/>
        </w:rPr>
        <w:t>Council’s Corporate Plan, Economic Strategy,</w:t>
      </w:r>
      <w:r w:rsidR="005B19EB" w:rsidRPr="005B19EB">
        <w:rPr>
          <w:rFonts w:ascii="Arial" w:hAnsi="Arial" w:cs="Arial"/>
        </w:rPr>
        <w:t xml:space="preserve"> Housing Strategy, Culture Startegy,</w:t>
      </w:r>
      <w:r w:rsidRPr="005B19EB">
        <w:rPr>
          <w:rFonts w:ascii="Arial" w:hAnsi="Arial" w:cs="Arial"/>
        </w:rPr>
        <w:t xml:space="preserve"> Local Transport Plan, </w:t>
      </w:r>
      <w:r w:rsidR="002E7854" w:rsidRPr="005B19EB">
        <w:rPr>
          <w:rFonts w:ascii="Arial" w:hAnsi="Arial" w:cs="Arial"/>
        </w:rPr>
        <w:t>Tor Bay Harbour A</w:t>
      </w:r>
      <w:r w:rsidR="004D0E3D" w:rsidRPr="005B19EB">
        <w:rPr>
          <w:rFonts w:ascii="Arial" w:hAnsi="Arial" w:cs="Arial"/>
        </w:rPr>
        <w:t>uthority Port</w:t>
      </w:r>
      <w:r w:rsidR="002E7854" w:rsidRPr="005B19EB">
        <w:rPr>
          <w:rFonts w:ascii="Arial" w:hAnsi="Arial" w:cs="Arial"/>
        </w:rPr>
        <w:t xml:space="preserve"> Masterplan, Green Infrastructure Delivery Plan and emerging Neighbourhood Plans</w:t>
      </w:r>
      <w:r w:rsidR="00A22DF6" w:rsidRPr="005B19EB">
        <w:rPr>
          <w:rFonts w:ascii="Arial" w:hAnsi="Arial" w:cs="Arial"/>
        </w:rPr>
        <w:t>.</w:t>
      </w:r>
    </w:p>
    <w:p w:rsidR="00187D6F" w:rsidRPr="00187D6F" w:rsidRDefault="005E105B" w:rsidP="00686749">
      <w:pPr>
        <w:pStyle w:val="Heading2"/>
      </w:pPr>
      <w:bookmarkStart w:id="16" w:name="_Toc460489491"/>
      <w:bookmarkStart w:id="17" w:name="_Toc508896038"/>
      <w:bookmarkEnd w:id="15"/>
      <w:r>
        <w:t>Issues and c</w:t>
      </w:r>
      <w:r w:rsidR="00187D6F">
        <w:t xml:space="preserve">hallenges over the </w:t>
      </w:r>
      <w:r w:rsidR="00686749">
        <w:t>Plan period</w:t>
      </w:r>
      <w:bookmarkEnd w:id="16"/>
      <w:bookmarkEnd w:id="17"/>
    </w:p>
    <w:p w:rsidR="00DB6B47" w:rsidRPr="00876619" w:rsidRDefault="000A1D3D" w:rsidP="00DB6B47">
      <w:pPr>
        <w:pStyle w:val="Heading3"/>
        <w:rPr>
          <w:rFonts w:ascii="Arial" w:hAnsi="Arial" w:cs="Arial"/>
        </w:rPr>
      </w:pPr>
      <w:bookmarkStart w:id="18" w:name="_Toc460489492"/>
      <w:r w:rsidRPr="006B1E70">
        <w:rPr>
          <w:rFonts w:ascii="Arial" w:hAnsi="Arial" w:cs="Arial"/>
        </w:rPr>
        <w:t xml:space="preserve">There are some big issues facing the Bay, which the </w:t>
      </w:r>
      <w:r w:rsidR="004E00E8" w:rsidRPr="006B1E70">
        <w:rPr>
          <w:rFonts w:ascii="Arial" w:hAnsi="Arial" w:cs="Arial"/>
        </w:rPr>
        <w:t xml:space="preserve">Local </w:t>
      </w:r>
      <w:r w:rsidRPr="006B1E70">
        <w:rPr>
          <w:rFonts w:ascii="Arial" w:hAnsi="Arial" w:cs="Arial"/>
        </w:rPr>
        <w:t>Plan seeks to deal with</w:t>
      </w:r>
      <w:r w:rsidR="004E00E8" w:rsidRPr="006B1E70">
        <w:rPr>
          <w:rFonts w:ascii="Arial" w:hAnsi="Arial" w:cs="Arial"/>
        </w:rPr>
        <w:t>, including</w:t>
      </w:r>
      <w:r w:rsidR="000009CF" w:rsidRPr="006B1E70">
        <w:rPr>
          <w:rFonts w:ascii="Arial" w:hAnsi="Arial" w:cs="Arial"/>
        </w:rPr>
        <w:t xml:space="preserve"> overall economic performance.</w:t>
      </w:r>
      <w:r w:rsidR="000009CF" w:rsidRPr="006B1E70">
        <w:t xml:space="preserve"> </w:t>
      </w:r>
      <w:bookmarkStart w:id="19" w:name="_Toc460489494"/>
      <w:r w:rsidR="00DB6B47" w:rsidRPr="006B1E70">
        <w:rPr>
          <w:rFonts w:ascii="Arial" w:hAnsi="Arial" w:cs="Arial"/>
        </w:rPr>
        <w:t xml:space="preserve">The Plan identifies the broad number and location of new jobs and homes to 2030 and beyond through the growth strategy (Policy SS1). </w:t>
      </w:r>
      <w:r w:rsidR="00DB6B47">
        <w:rPr>
          <w:rFonts w:ascii="Arial" w:hAnsi="Arial" w:cs="Arial"/>
        </w:rPr>
        <w:t>This includes broad locations for the delivery of new homes, at a rate of 400-500 per annum, to meet demand over at least the first 15 years of the Plan and probably longer if local economic conditions and market delivery do not improve.</w:t>
      </w:r>
      <w:bookmarkEnd w:id="19"/>
      <w:r w:rsidR="00DB6B47" w:rsidRPr="00876619">
        <w:rPr>
          <w:rFonts w:ascii="Arial" w:hAnsi="Arial" w:cs="Arial"/>
        </w:rPr>
        <w:t xml:space="preserve">  </w:t>
      </w:r>
    </w:p>
    <w:p w:rsidR="00DB6B47" w:rsidRPr="00DB6B47" w:rsidRDefault="000009CF" w:rsidP="00362C14">
      <w:pPr>
        <w:pStyle w:val="Heading3"/>
      </w:pPr>
      <w:r w:rsidRPr="00DB6B47">
        <w:rPr>
          <w:rFonts w:ascii="Arial" w:hAnsi="Arial" w:cs="Arial"/>
        </w:rPr>
        <w:t>Torbay’s key sectors can, with support, grow and create around 5,000–5,</w:t>
      </w:r>
      <w:r w:rsidR="00686749" w:rsidRPr="00DB6B47">
        <w:rPr>
          <w:rFonts w:ascii="Arial" w:hAnsi="Arial" w:cs="Arial"/>
        </w:rPr>
        <w:t>500 net new jobs over the next 15</w:t>
      </w:r>
      <w:r w:rsidRPr="00DB6B47">
        <w:rPr>
          <w:rFonts w:ascii="Arial" w:hAnsi="Arial" w:cs="Arial"/>
        </w:rPr>
        <w:t xml:space="preserve"> years or so</w:t>
      </w:r>
      <w:r w:rsidR="004E00E8" w:rsidRPr="00DB6B47">
        <w:rPr>
          <w:rFonts w:ascii="Arial" w:hAnsi="Arial" w:cs="Arial"/>
        </w:rPr>
        <w:t xml:space="preserve"> (equating to an average of around 275-300 jobs per annum</w:t>
      </w:r>
      <w:r w:rsidR="00876619" w:rsidRPr="00DB6B47">
        <w:rPr>
          <w:rFonts w:ascii="Arial" w:hAnsi="Arial" w:cs="Arial"/>
        </w:rPr>
        <w:t>)</w:t>
      </w:r>
      <w:r w:rsidR="00686749" w:rsidRPr="00DB6B47">
        <w:rPr>
          <w:rFonts w:ascii="Arial" w:hAnsi="Arial" w:cs="Arial"/>
        </w:rPr>
        <w:t xml:space="preserve">. </w:t>
      </w:r>
      <w:r w:rsidRPr="00DB6B47">
        <w:rPr>
          <w:rFonts w:ascii="Arial" w:hAnsi="Arial" w:cs="Arial"/>
        </w:rPr>
        <w:t>Progress towards creating jobs and improving the local economy will be assessed as part of the Local Plan revie</w:t>
      </w:r>
      <w:r w:rsidR="00657964" w:rsidRPr="00DB6B47">
        <w:rPr>
          <w:rFonts w:ascii="Arial" w:hAnsi="Arial" w:cs="Arial"/>
        </w:rPr>
        <w:t>w.</w:t>
      </w:r>
      <w:bookmarkEnd w:id="18"/>
    </w:p>
    <w:p w:rsidR="00DB6B47" w:rsidRDefault="00DB6B47" w:rsidP="00DB6B47">
      <w:pPr>
        <w:pStyle w:val="Heading3"/>
      </w:pPr>
      <w:bookmarkStart w:id="20" w:name="_Toc460489493"/>
      <w:r w:rsidRPr="006B1E70">
        <w:t>IT and transport connectivity has a significant role in addressing the development challenges we face now and in the future.  The Plan supports and promotes strategic transport improvements (see Policy SS6) to improve movement within the Bay.</w:t>
      </w:r>
    </w:p>
    <w:p w:rsidR="00DB6B47" w:rsidRDefault="00DB6B47" w:rsidP="00AE133A">
      <w:pPr>
        <w:pStyle w:val="Heading3"/>
        <w:rPr>
          <w:rFonts w:ascii="Arial" w:hAnsi="Arial" w:cs="Arial"/>
        </w:rPr>
      </w:pPr>
      <w:r>
        <w:rPr>
          <w:rFonts w:ascii="Arial" w:hAnsi="Arial" w:cs="Arial"/>
        </w:rPr>
        <w:t>The Local Plan seeks to integrate new development with strategic green infrastructure and to protect and provide high quality green space at a local level, proposing new Country Parks and a new Countryside Access and Enhancement Scheme (Policy SS9).</w:t>
      </w:r>
    </w:p>
    <w:bookmarkEnd w:id="20"/>
    <w:p w:rsidR="00DB6B47" w:rsidRPr="00DB6B47" w:rsidRDefault="00DB6B47" w:rsidP="00DB6B47"/>
    <w:p w:rsidR="00652B2C" w:rsidRPr="00652B2C" w:rsidRDefault="002659A6" w:rsidP="00070370">
      <w:pPr>
        <w:pStyle w:val="Heading1"/>
      </w:pPr>
      <w:r>
        <w:br w:type="page"/>
      </w:r>
      <w:bookmarkStart w:id="21" w:name="_Toc508896039"/>
      <w:r w:rsidR="00683F46" w:rsidRPr="0086630A">
        <w:rPr>
          <w:color w:val="7030A0"/>
        </w:rPr>
        <w:lastRenderedPageBreak/>
        <w:t>TORBAY LOCAL DEVELOPMENT SCHEME</w:t>
      </w:r>
      <w:bookmarkEnd w:id="21"/>
    </w:p>
    <w:p w:rsidR="006505A1" w:rsidRDefault="006505A1" w:rsidP="006505A1">
      <w:pPr>
        <w:pStyle w:val="Heading2"/>
      </w:pPr>
      <w:bookmarkStart w:id="22" w:name="_Toc460489496"/>
      <w:bookmarkStart w:id="23" w:name="_Toc508896040"/>
      <w:r w:rsidRPr="00ED1E61">
        <w:t>The Local Development Scheme</w:t>
      </w:r>
      <w:r w:rsidR="008437B8">
        <w:t xml:space="preserve"> (LDS)</w:t>
      </w:r>
      <w:r w:rsidRPr="00ED1E61">
        <w:t xml:space="preserve"> and spatial planning system</w:t>
      </w:r>
      <w:bookmarkEnd w:id="22"/>
      <w:bookmarkEnd w:id="23"/>
    </w:p>
    <w:p w:rsidR="003B3098" w:rsidRPr="006B1E70" w:rsidRDefault="006505A1" w:rsidP="006B1E70">
      <w:pPr>
        <w:pStyle w:val="Heading3"/>
        <w:rPr>
          <w:rFonts w:ascii="Arial" w:hAnsi="Arial" w:cs="Arial"/>
        </w:rPr>
      </w:pPr>
      <w:bookmarkStart w:id="24" w:name="_Toc460489497"/>
      <w:r w:rsidRPr="00A709B9">
        <w:rPr>
          <w:rFonts w:ascii="Arial" w:hAnsi="Arial" w:cs="Arial"/>
          <w:lang w:val="en-GB"/>
        </w:rPr>
        <w:t>The LDS is the project management document for an authority’s Development Plan, setting out the range of documents that will be prepared and the timescales for their production</w:t>
      </w:r>
      <w:bookmarkEnd w:id="24"/>
      <w:r w:rsidR="00A22DF6" w:rsidRPr="00A709B9">
        <w:rPr>
          <w:rFonts w:ascii="Arial" w:hAnsi="Arial" w:cs="Arial"/>
          <w:lang w:val="en-GB"/>
        </w:rPr>
        <w:t>.</w:t>
      </w:r>
      <w:r w:rsidR="006B1E70">
        <w:rPr>
          <w:rFonts w:ascii="Arial" w:hAnsi="Arial" w:cs="Arial"/>
          <w:lang w:val="en-GB"/>
        </w:rPr>
        <w:t xml:space="preserve"> As required, t</w:t>
      </w:r>
      <w:r w:rsidR="006247EB">
        <w:rPr>
          <w:rFonts w:ascii="Arial" w:hAnsi="Arial" w:cs="Arial"/>
          <w:lang w:val="en-GB"/>
        </w:rPr>
        <w:t>he most recent (</w:t>
      </w:r>
      <w:r w:rsidR="00514E21">
        <w:rPr>
          <w:rFonts w:ascii="Arial" w:hAnsi="Arial" w:cs="Arial"/>
          <w:lang w:val="en-GB"/>
        </w:rPr>
        <w:t>March 2017</w:t>
      </w:r>
      <w:r w:rsidR="006247EB">
        <w:rPr>
          <w:rFonts w:ascii="Arial" w:hAnsi="Arial" w:cs="Arial"/>
          <w:lang w:val="en-GB"/>
        </w:rPr>
        <w:t xml:space="preserve">) version is referred to. </w:t>
      </w:r>
    </w:p>
    <w:p w:rsidR="006F24A3" w:rsidRPr="006F24A3" w:rsidRDefault="004E19A5" w:rsidP="00BE6671">
      <w:pPr>
        <w:pStyle w:val="Heading2"/>
      </w:pPr>
      <w:bookmarkStart w:id="25" w:name="_Toc508896041"/>
      <w:r>
        <w:t>Implementation of the LDS</w:t>
      </w:r>
      <w:bookmarkEnd w:id="25"/>
    </w:p>
    <w:p w:rsidR="006F24A3" w:rsidRPr="00303E71" w:rsidRDefault="004E19A5" w:rsidP="009405DA">
      <w:pPr>
        <w:pStyle w:val="Heading3"/>
        <w:rPr>
          <w:color w:val="632E62" w:themeColor="text2"/>
        </w:rPr>
      </w:pPr>
      <w:bookmarkStart w:id="26" w:name="_Toc460489501"/>
      <w:r>
        <w:t>The 201</w:t>
      </w:r>
      <w:r w:rsidR="00514E21">
        <w:t>7</w:t>
      </w:r>
      <w:r>
        <w:t xml:space="preserve"> LDS prioritise</w:t>
      </w:r>
      <w:r w:rsidR="009405DA">
        <w:t>s</w:t>
      </w:r>
      <w:r>
        <w:t xml:space="preserve"> work on the Local Plan, a high corporate priority. </w:t>
      </w:r>
      <w:bookmarkEnd w:id="26"/>
      <w:r w:rsidR="009405DA">
        <w:t xml:space="preserve">It seeks to utilize fully the available resources in the most cost effective way; in this context, the importance of a streamlined LDS is recognised. The LDS can be viewed at </w:t>
      </w:r>
      <w:hyperlink r:id="rId17" w:history="1">
        <w:r w:rsidR="009405DA" w:rsidRPr="001A6F1F">
          <w:rPr>
            <w:rStyle w:val="Hyperlink"/>
          </w:rPr>
          <w:t>www.torbay.gov.uk/local-development-scheme</w:t>
        </w:r>
      </w:hyperlink>
      <w:r w:rsidR="009405DA">
        <w:t xml:space="preserve">.  </w:t>
      </w:r>
    </w:p>
    <w:p w:rsidR="006F24A3" w:rsidRPr="006F24A3" w:rsidRDefault="006F24A3" w:rsidP="006F24A3">
      <w:pPr>
        <w:pStyle w:val="Heading2"/>
      </w:pPr>
      <w:bookmarkStart w:id="27" w:name="_Toc460489515"/>
      <w:bookmarkStart w:id="28" w:name="_Toc508896042"/>
      <w:r>
        <w:t>Content</w:t>
      </w:r>
      <w:bookmarkEnd w:id="27"/>
      <w:r w:rsidR="006033A7">
        <w:t xml:space="preserve"> of the LDS</w:t>
      </w:r>
      <w:bookmarkEnd w:id="28"/>
    </w:p>
    <w:p w:rsidR="00561D92" w:rsidRDefault="007E5472" w:rsidP="007E5472">
      <w:pPr>
        <w:pStyle w:val="Heading3"/>
        <w:rPr>
          <w:lang w:val="en-GB"/>
        </w:rPr>
      </w:pPr>
      <w:bookmarkStart w:id="29" w:name="_Toc460489516"/>
      <w:r>
        <w:rPr>
          <w:lang w:val="en-GB"/>
        </w:rPr>
        <w:t>The project plan below details an annual review of delivery proposed for the Torbay Local Plan</w:t>
      </w:r>
      <w:r w:rsidR="00561D92">
        <w:rPr>
          <w:lang w:val="en-GB"/>
        </w:rPr>
        <w:t xml:space="preserve">, and the indicative time period for the 5 year review of the Local Plan, which should be completed by December 2020. Preparatory work on required evidence base is likely to start during 2018. </w:t>
      </w:r>
    </w:p>
    <w:p w:rsidR="00615EEA" w:rsidRPr="007E5472" w:rsidRDefault="00D453E2" w:rsidP="007E5472">
      <w:pPr>
        <w:pStyle w:val="Heading3"/>
        <w:rPr>
          <w:lang w:val="en-GB"/>
        </w:rPr>
        <w:sectPr w:rsidR="00615EEA" w:rsidRPr="007E5472" w:rsidSect="007A0999">
          <w:headerReference w:type="even" r:id="rId18"/>
          <w:footerReference w:type="even" r:id="rId19"/>
          <w:footerReference w:type="default" r:id="rId20"/>
          <w:headerReference w:type="first" r:id="rId21"/>
          <w:endnotePr>
            <w:numFmt w:val="decimal"/>
          </w:endnotePr>
          <w:pgSz w:w="11906" w:h="16838" w:code="9"/>
          <w:pgMar w:top="851" w:right="851" w:bottom="1418" w:left="851" w:header="709" w:footer="284" w:gutter="0"/>
          <w:cols w:space="708"/>
          <w:docGrid w:linePitch="360"/>
        </w:sectPr>
      </w:pPr>
      <w:r>
        <w:rPr>
          <w:noProof/>
          <w:lang w:val="en-GB" w:eastAsia="en-GB" w:bidi="ar-SA"/>
        </w:rPr>
        <w:drawing>
          <wp:anchor distT="0" distB="0" distL="114300" distR="114300" simplePos="0" relativeHeight="251664384" behindDoc="1" locked="0" layoutInCell="1" allowOverlap="1">
            <wp:simplePos x="0" y="0"/>
            <wp:positionH relativeFrom="margin">
              <wp:posOffset>133350</wp:posOffset>
            </wp:positionH>
            <wp:positionV relativeFrom="paragraph">
              <wp:posOffset>1069340</wp:posOffset>
            </wp:positionV>
            <wp:extent cx="6405245" cy="1495425"/>
            <wp:effectExtent l="0" t="0" r="0" b="0"/>
            <wp:wrapTight wrapText="bothSides">
              <wp:wrapPolygon edited="0">
                <wp:start x="0" y="0"/>
                <wp:lineTo x="0" y="21187"/>
                <wp:lineTo x="21521" y="21187"/>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5245" cy="1495425"/>
                    </a:xfrm>
                    <a:prstGeom prst="rect">
                      <a:avLst/>
                    </a:prstGeom>
                  </pic:spPr>
                </pic:pic>
              </a:graphicData>
            </a:graphic>
          </wp:anchor>
        </w:drawing>
      </w:r>
      <w:r w:rsidR="007E5472">
        <w:rPr>
          <w:lang w:val="en-GB"/>
        </w:rPr>
        <w:t xml:space="preserve">Also shown, for information, are predicted timescales for each of the three Neighbourhood Plans. The indicative timetable for these reflect advice from Neighbourhood Forums (as production of Neighbourhood Plans is the responsibility of Neighbourhood Forums rather than the Local Authority). </w:t>
      </w:r>
    </w:p>
    <w:p w:rsidR="00792FB1" w:rsidRDefault="00792FB1" w:rsidP="0006171D">
      <w:pPr>
        <w:pStyle w:val="Heading2"/>
        <w:rPr>
          <w:lang w:val="en-GB"/>
        </w:rPr>
      </w:pPr>
      <w:bookmarkStart w:id="30" w:name="_Toc508896043"/>
      <w:r>
        <w:rPr>
          <w:lang w:val="en-GB"/>
        </w:rPr>
        <w:lastRenderedPageBreak/>
        <w:t>The Adopted Torbay Local Plan</w:t>
      </w:r>
      <w:bookmarkEnd w:id="30"/>
    </w:p>
    <w:p w:rsidR="00D63F05" w:rsidRPr="0086630A" w:rsidRDefault="00E758E5" w:rsidP="00D63F05">
      <w:pPr>
        <w:pStyle w:val="Heading3"/>
        <w:rPr>
          <w:rFonts w:ascii="Arial" w:hAnsi="Arial" w:cs="Arial"/>
          <w:lang w:val="en-GB"/>
        </w:rPr>
      </w:pPr>
      <w:r w:rsidRPr="0086630A">
        <w:rPr>
          <w:rFonts w:ascii="Arial" w:hAnsi="Arial" w:cs="Arial"/>
          <w:lang w:val="en-GB"/>
        </w:rPr>
        <w:t xml:space="preserve">The Local Plan was submitted to the Secretary of State on time, in July 2014. Public hearings commenced on 18 November 2014 and concluded on 20 December 2014. In light of the Inspector’s findings and further work by the Local Authority, the Council produced proposed modifications to the Local Plan and consulted on these in February 2015, leading to a delay in meeting further milestones as set out in the project plan. The Inspector considered </w:t>
      </w:r>
      <w:r w:rsidR="00F139DB" w:rsidRPr="0086630A">
        <w:rPr>
          <w:rFonts w:ascii="Arial" w:hAnsi="Arial" w:cs="Arial"/>
          <w:lang w:val="en-GB"/>
        </w:rPr>
        <w:t xml:space="preserve">the </w:t>
      </w:r>
      <w:r w:rsidRPr="0086630A">
        <w:rPr>
          <w:rFonts w:ascii="Arial" w:hAnsi="Arial" w:cs="Arial"/>
          <w:lang w:val="en-GB"/>
        </w:rPr>
        <w:t>Council’s responses to the representations received on the proposed modifications to the submitted Local Plan, and provided further advice to the Council regarding progression of the Examination. Subsequently, Torbay Council suggested reducing the plan period to 15 years from adoption, with a review of the new Local Plan in 5 years, and the Inspector agreed to this approach.</w:t>
      </w:r>
      <w:r w:rsidR="0009711D" w:rsidRPr="0086630A">
        <w:rPr>
          <w:rFonts w:ascii="Arial" w:hAnsi="Arial" w:cs="Arial"/>
          <w:lang w:val="en-GB"/>
        </w:rPr>
        <w:t xml:space="preserve"> The Local Authority therefore withdrew the previous proposed modifications and produced replacement modifications to the submission Local Plan, consulting on these for a six week period from 22 June 2015. </w:t>
      </w:r>
      <w:r w:rsidR="00D63F05" w:rsidRPr="0086630A">
        <w:rPr>
          <w:rFonts w:ascii="Arial" w:hAnsi="Arial" w:cs="Arial"/>
          <w:lang w:val="en-GB"/>
        </w:rPr>
        <w:t>The representations received and the Council’s responses were submitted to and considered by the Inspector.</w:t>
      </w:r>
    </w:p>
    <w:p w:rsidR="00D63F05" w:rsidRPr="0086630A" w:rsidRDefault="00D63F05" w:rsidP="006F24A3">
      <w:pPr>
        <w:pStyle w:val="Heading3"/>
        <w:rPr>
          <w:rFonts w:ascii="Arial" w:hAnsi="Arial" w:cs="Arial"/>
          <w:lang w:val="en-GB"/>
        </w:rPr>
      </w:pPr>
      <w:r w:rsidRPr="0086630A">
        <w:rPr>
          <w:rFonts w:ascii="Arial" w:hAnsi="Arial" w:cs="Arial"/>
          <w:lang w:val="en-GB"/>
        </w:rPr>
        <w:t xml:space="preserve">The Council subsequently received the Inspector’s Report in October 2015, concluding that the Local Plan could be found sound subject to a series of modifications, and </w:t>
      </w:r>
      <w:r w:rsidR="00395223" w:rsidRPr="0086630A">
        <w:rPr>
          <w:rFonts w:ascii="Arial" w:hAnsi="Arial" w:cs="Arial"/>
          <w:lang w:val="en-GB"/>
        </w:rPr>
        <w:t xml:space="preserve">it </w:t>
      </w:r>
      <w:r w:rsidRPr="0086630A">
        <w:rPr>
          <w:rFonts w:ascii="Arial" w:hAnsi="Arial" w:cs="Arial"/>
          <w:lang w:val="en-GB"/>
        </w:rPr>
        <w:t>was</w:t>
      </w:r>
      <w:r w:rsidR="00395223" w:rsidRPr="0086630A">
        <w:rPr>
          <w:rFonts w:ascii="Arial" w:hAnsi="Arial" w:cs="Arial"/>
          <w:lang w:val="en-GB"/>
        </w:rPr>
        <w:t xml:space="preserve"> therefore</w:t>
      </w:r>
      <w:r w:rsidRPr="0086630A">
        <w:rPr>
          <w:rFonts w:ascii="Arial" w:hAnsi="Arial" w:cs="Arial"/>
          <w:lang w:val="en-GB"/>
        </w:rPr>
        <w:t xml:space="preserve"> adopted on 10 December 2015.</w:t>
      </w:r>
      <w:r w:rsidR="00395223" w:rsidRPr="0086630A">
        <w:rPr>
          <w:rFonts w:ascii="Arial" w:hAnsi="Arial" w:cs="Arial"/>
          <w:lang w:val="en-GB"/>
        </w:rPr>
        <w:t xml:space="preserve"> It contains policies and proposals that provide relevant policy guidance and a sound basis for decision making. </w:t>
      </w:r>
    </w:p>
    <w:p w:rsidR="0006171D" w:rsidRPr="0006171D" w:rsidRDefault="0006171D" w:rsidP="0006171D">
      <w:pPr>
        <w:pStyle w:val="Heading2"/>
        <w:rPr>
          <w:lang w:val="en-GB"/>
        </w:rPr>
      </w:pPr>
      <w:bookmarkStart w:id="31" w:name="_Toc508896044"/>
      <w:bookmarkStart w:id="32" w:name="_Toc460489519"/>
      <w:bookmarkEnd w:id="29"/>
      <w:r>
        <w:rPr>
          <w:lang w:val="en-GB"/>
        </w:rPr>
        <w:t>Neighbourhood Plans</w:t>
      </w:r>
      <w:bookmarkEnd w:id="31"/>
    </w:p>
    <w:p w:rsidR="003423EC" w:rsidRPr="0086630A" w:rsidRDefault="0006171D" w:rsidP="006F24A3">
      <w:pPr>
        <w:pStyle w:val="Heading3"/>
        <w:rPr>
          <w:rFonts w:ascii="Arial" w:hAnsi="Arial" w:cs="Arial"/>
          <w:lang w:val="en-GB"/>
        </w:rPr>
      </w:pPr>
      <w:r>
        <w:rPr>
          <w:rFonts w:ascii="Arial" w:hAnsi="Arial" w:cs="Arial"/>
          <w:lang w:val="en-GB"/>
        </w:rPr>
        <w:t>The adopted Local Plan</w:t>
      </w:r>
      <w:r w:rsidR="0098721A" w:rsidRPr="00903FC2">
        <w:rPr>
          <w:rFonts w:ascii="Arial" w:hAnsi="Arial" w:cs="Arial"/>
          <w:lang w:val="en-GB"/>
        </w:rPr>
        <w:t xml:space="preserve"> also supports the development of ‘compatible’ Neighbourhood Plans</w:t>
      </w:r>
      <w:r w:rsidR="0098721A" w:rsidRPr="0098721A">
        <w:rPr>
          <w:rFonts w:ascii="Arial" w:hAnsi="Arial" w:cs="Arial"/>
          <w:color w:val="1F497D"/>
          <w:lang w:val="en-GB"/>
        </w:rPr>
        <w:t xml:space="preserve"> </w:t>
      </w:r>
      <w:r w:rsidR="0098721A" w:rsidRPr="00903FC2">
        <w:rPr>
          <w:rFonts w:ascii="Arial" w:hAnsi="Arial" w:cs="Arial"/>
          <w:lang w:val="en-GB"/>
        </w:rPr>
        <w:t>or alternative measures to ensure that there is a framework for regeneration and delivery of housing and jobs</w:t>
      </w:r>
      <w:bookmarkEnd w:id="32"/>
      <w:r w:rsidR="00FF4C89" w:rsidRPr="00903FC2">
        <w:rPr>
          <w:rFonts w:ascii="Arial" w:hAnsi="Arial" w:cs="Arial"/>
          <w:lang w:val="en-GB"/>
        </w:rPr>
        <w:t xml:space="preserve"> in the Strategic Policy and Delivery Areas</w:t>
      </w:r>
      <w:r w:rsidR="0049212D" w:rsidRPr="00903FC2">
        <w:rPr>
          <w:rFonts w:ascii="Arial" w:hAnsi="Arial" w:cs="Arial"/>
          <w:lang w:val="en-GB"/>
        </w:rPr>
        <w:t xml:space="preserve"> </w:t>
      </w:r>
      <w:r w:rsidR="0049212D" w:rsidRPr="0086630A">
        <w:rPr>
          <w:rFonts w:ascii="Arial" w:hAnsi="Arial" w:cs="Arial"/>
          <w:lang w:val="en-GB"/>
        </w:rPr>
        <w:t>defined in the Local Plan</w:t>
      </w:r>
      <w:r w:rsidR="003F2E18" w:rsidRPr="0086630A">
        <w:rPr>
          <w:rFonts w:ascii="Arial" w:hAnsi="Arial" w:cs="Arial"/>
          <w:lang w:val="en-GB"/>
        </w:rPr>
        <w:t xml:space="preserve"> (SD policies)</w:t>
      </w:r>
      <w:r w:rsidR="00FF4C89" w:rsidRPr="0086630A">
        <w:rPr>
          <w:rFonts w:ascii="Arial" w:hAnsi="Arial" w:cs="Arial"/>
          <w:lang w:val="en-GB"/>
        </w:rPr>
        <w:t>.</w:t>
      </w:r>
      <w:r w:rsidR="00464904" w:rsidRPr="0086630A">
        <w:rPr>
          <w:rFonts w:ascii="Arial" w:hAnsi="Arial" w:cs="Arial"/>
          <w:lang w:val="en-GB"/>
        </w:rPr>
        <w:t xml:space="preserve"> Neighbourhood Plans must be consistent with the Torbay Local Plan, in accordance with current Neighbourhood Planning Regulations. </w:t>
      </w:r>
    </w:p>
    <w:p w:rsidR="00B4400C" w:rsidRPr="00B4400C" w:rsidRDefault="003423EC" w:rsidP="00B4400C">
      <w:pPr>
        <w:pStyle w:val="Heading3"/>
        <w:rPr>
          <w:rFonts w:ascii="Arial" w:hAnsi="Arial" w:cs="Arial"/>
        </w:rPr>
      </w:pPr>
      <w:bookmarkStart w:id="33" w:name="_Toc460489520"/>
      <w:r w:rsidRPr="002562E5">
        <w:rPr>
          <w:rFonts w:ascii="Arial" w:hAnsi="Arial" w:cs="Arial"/>
          <w:lang w:val="en-GB"/>
        </w:rPr>
        <w:t xml:space="preserve">The Council considers that it remains appropriate and helpful to include </w:t>
      </w:r>
      <w:r w:rsidRPr="002562E5">
        <w:rPr>
          <w:rFonts w:ascii="Arial" w:hAnsi="Arial" w:cs="Arial"/>
          <w:i/>
          <w:lang w:val="en-GB"/>
        </w:rPr>
        <w:t>for information</w:t>
      </w:r>
      <w:r w:rsidRPr="002562E5">
        <w:rPr>
          <w:rFonts w:ascii="Arial" w:hAnsi="Arial" w:cs="Arial"/>
          <w:lang w:val="en-GB"/>
        </w:rPr>
        <w:t xml:space="preserve"> details of the community’s intentions for the production of Neighbourhood Plans, since</w:t>
      </w:r>
      <w:r w:rsidR="0049212D" w:rsidRPr="002562E5">
        <w:rPr>
          <w:rFonts w:ascii="Arial" w:hAnsi="Arial" w:cs="Arial"/>
          <w:lang w:val="en-GB"/>
        </w:rPr>
        <w:t>,</w:t>
      </w:r>
      <w:r w:rsidRPr="002562E5">
        <w:rPr>
          <w:rFonts w:ascii="Arial" w:hAnsi="Arial" w:cs="Arial"/>
          <w:lang w:val="en-GB"/>
        </w:rPr>
        <w:t xml:space="preserve"> when adopted they will form part of the T</w:t>
      </w:r>
      <w:r w:rsidR="000F6DCD">
        <w:rPr>
          <w:rFonts w:ascii="Arial" w:hAnsi="Arial" w:cs="Arial"/>
          <w:lang w:val="en-GB"/>
        </w:rPr>
        <w:t>orbay Development Plan. They should</w:t>
      </w:r>
      <w:r w:rsidR="005E44C9">
        <w:rPr>
          <w:rFonts w:ascii="Arial" w:hAnsi="Arial" w:cs="Arial"/>
          <w:lang w:val="en-GB"/>
        </w:rPr>
        <w:t xml:space="preserve"> also allocate</w:t>
      </w:r>
      <w:r w:rsidRPr="002562E5">
        <w:rPr>
          <w:rFonts w:ascii="Arial" w:hAnsi="Arial" w:cs="Arial"/>
          <w:lang w:val="en-GB"/>
        </w:rPr>
        <w:t xml:space="preserve"> </w:t>
      </w:r>
      <w:r w:rsidR="00915759" w:rsidRPr="002562E5">
        <w:rPr>
          <w:rFonts w:ascii="Arial" w:hAnsi="Arial" w:cs="Arial"/>
          <w:lang w:val="en-GB"/>
        </w:rPr>
        <w:t>h</w:t>
      </w:r>
      <w:r w:rsidRPr="002562E5">
        <w:rPr>
          <w:rFonts w:ascii="Arial" w:hAnsi="Arial" w:cs="Arial"/>
          <w:lang w:val="en-GB"/>
        </w:rPr>
        <w:t>ousing sites for years 6-10 of the Plan period (i.e</w:t>
      </w:r>
      <w:r w:rsidR="00350009" w:rsidRPr="002562E5">
        <w:rPr>
          <w:rFonts w:ascii="Arial" w:hAnsi="Arial" w:cs="Arial"/>
          <w:lang w:val="en-GB"/>
        </w:rPr>
        <w:t>.</w:t>
      </w:r>
      <w:r w:rsidRPr="002562E5">
        <w:rPr>
          <w:rFonts w:ascii="Arial" w:hAnsi="Arial" w:cs="Arial"/>
          <w:lang w:val="en-GB"/>
        </w:rPr>
        <w:t xml:space="preserve"> 2017-22).  The LDS therefore sets out broad timelines for the key stages for production of the Torquay, Paignton and Brixham Peninsula Neighbourhood Plans</w:t>
      </w:r>
      <w:r w:rsidR="007A2D86" w:rsidRPr="002562E5">
        <w:rPr>
          <w:rFonts w:ascii="Arial" w:hAnsi="Arial" w:cs="Arial"/>
          <w:lang w:val="en-GB"/>
        </w:rPr>
        <w:t xml:space="preserve">.  </w:t>
      </w:r>
      <w:r w:rsidRPr="002562E5">
        <w:rPr>
          <w:rFonts w:ascii="Arial" w:hAnsi="Arial" w:cs="Arial"/>
          <w:lang w:val="en-GB"/>
        </w:rPr>
        <w:t>The progression and timing of these documents is largely in the hands of third parties</w:t>
      </w:r>
      <w:r w:rsidR="002562E5" w:rsidRPr="002562E5">
        <w:rPr>
          <w:rFonts w:ascii="Arial" w:hAnsi="Arial" w:cs="Arial"/>
          <w:lang w:val="en-GB"/>
        </w:rPr>
        <w:t>, with</w:t>
      </w:r>
      <w:r w:rsidRPr="002562E5">
        <w:rPr>
          <w:rFonts w:ascii="Arial" w:hAnsi="Arial" w:cs="Arial"/>
          <w:lang w:val="en-GB"/>
        </w:rPr>
        <w:t xml:space="preserve"> </w:t>
      </w:r>
      <w:r w:rsidR="002562E5" w:rsidRPr="002562E5">
        <w:rPr>
          <w:rFonts w:ascii="Arial" w:hAnsi="Arial" w:cs="Arial"/>
          <w:lang w:val="en-GB"/>
        </w:rPr>
        <w:t>timings shown on the project plan having slipped</w:t>
      </w:r>
      <w:r w:rsidR="00B4400C">
        <w:rPr>
          <w:rFonts w:ascii="Arial" w:hAnsi="Arial" w:cs="Arial"/>
          <w:lang w:val="en-GB"/>
        </w:rPr>
        <w:t>.</w:t>
      </w:r>
    </w:p>
    <w:p w:rsidR="00B4400C" w:rsidRPr="0086630A" w:rsidRDefault="005E44C9" w:rsidP="00B4400C">
      <w:pPr>
        <w:pStyle w:val="Heading3"/>
        <w:rPr>
          <w:rFonts w:ascii="Arial" w:hAnsi="Arial" w:cs="Arial"/>
        </w:rPr>
      </w:pPr>
      <w:r w:rsidRPr="0086630A">
        <w:rPr>
          <w:rFonts w:ascii="Arial" w:hAnsi="Arial" w:cs="Arial"/>
        </w:rPr>
        <w:t>The three Forums have</w:t>
      </w:r>
      <w:r w:rsidR="00B4400C" w:rsidRPr="0086630A">
        <w:rPr>
          <w:rFonts w:ascii="Arial" w:hAnsi="Arial" w:cs="Arial"/>
        </w:rPr>
        <w:t xml:space="preserve"> prepar</w:t>
      </w:r>
      <w:r w:rsidRPr="0086630A">
        <w:rPr>
          <w:rFonts w:ascii="Arial" w:hAnsi="Arial" w:cs="Arial"/>
        </w:rPr>
        <w:t>ed</w:t>
      </w:r>
      <w:r w:rsidR="00B4400C" w:rsidRPr="0086630A">
        <w:rPr>
          <w:rFonts w:ascii="Arial" w:hAnsi="Arial" w:cs="Arial"/>
        </w:rPr>
        <w:t xml:space="preserve"> Neighbourhood Plans through their steering groups and topic groups, in the context of the adopted Torbay Local Plan and in order to meet the requirements of Local Plan Policy SS1. </w:t>
      </w:r>
    </w:p>
    <w:p w:rsidR="00B4400C" w:rsidRDefault="00B4400C" w:rsidP="00B4400C">
      <w:pPr>
        <w:pStyle w:val="Heading3"/>
        <w:rPr>
          <w:rFonts w:ascii="Arial" w:hAnsi="Arial" w:cs="Arial"/>
        </w:rPr>
      </w:pPr>
      <w:r w:rsidRPr="003721E4">
        <w:rPr>
          <w:rFonts w:ascii="Arial" w:hAnsi="Arial" w:cs="Arial"/>
        </w:rPr>
        <w:t>Al</w:t>
      </w:r>
      <w:r w:rsidR="005E44C9" w:rsidRPr="003721E4">
        <w:rPr>
          <w:rFonts w:ascii="Arial" w:hAnsi="Arial" w:cs="Arial"/>
        </w:rPr>
        <w:t>l three Forums have</w:t>
      </w:r>
      <w:r w:rsidRPr="003721E4">
        <w:rPr>
          <w:rFonts w:ascii="Arial" w:hAnsi="Arial" w:cs="Arial"/>
        </w:rPr>
        <w:t xml:space="preserve"> carr</w:t>
      </w:r>
      <w:r w:rsidR="005E44C9" w:rsidRPr="003721E4">
        <w:rPr>
          <w:rFonts w:ascii="Arial" w:hAnsi="Arial" w:cs="Arial"/>
        </w:rPr>
        <w:t>ied</w:t>
      </w:r>
      <w:r w:rsidRPr="003721E4">
        <w:rPr>
          <w:rFonts w:ascii="Arial" w:hAnsi="Arial" w:cs="Arial"/>
        </w:rPr>
        <w:t xml:space="preserve"> out pre-submission consultations, and submit</w:t>
      </w:r>
      <w:r w:rsidR="005E44C9" w:rsidRPr="003721E4">
        <w:rPr>
          <w:rFonts w:ascii="Arial" w:hAnsi="Arial" w:cs="Arial"/>
        </w:rPr>
        <w:t>ted</w:t>
      </w:r>
      <w:r w:rsidRPr="003721E4">
        <w:rPr>
          <w:rFonts w:ascii="Arial" w:hAnsi="Arial" w:cs="Arial"/>
        </w:rPr>
        <w:t xml:space="preserve"> their plans to Torbay Council in </w:t>
      </w:r>
      <w:r w:rsidR="005E44C9" w:rsidRPr="003721E4">
        <w:rPr>
          <w:rFonts w:ascii="Arial" w:hAnsi="Arial" w:cs="Arial"/>
        </w:rPr>
        <w:t>Au</w:t>
      </w:r>
      <w:r w:rsidR="003721E4" w:rsidRPr="003721E4">
        <w:rPr>
          <w:rFonts w:ascii="Arial" w:hAnsi="Arial" w:cs="Arial"/>
        </w:rPr>
        <w:t>gust (Paignton and Brixham Peninsula) and October (Torquay)</w:t>
      </w:r>
      <w:r w:rsidR="005E44C9" w:rsidRPr="003721E4">
        <w:rPr>
          <w:rFonts w:ascii="Arial" w:hAnsi="Arial" w:cs="Arial"/>
        </w:rPr>
        <w:t xml:space="preserve"> </w:t>
      </w:r>
      <w:r w:rsidRPr="003721E4">
        <w:rPr>
          <w:rFonts w:ascii="Arial" w:hAnsi="Arial" w:cs="Arial"/>
        </w:rPr>
        <w:t>2017.</w:t>
      </w:r>
      <w:r w:rsidR="003721E4">
        <w:rPr>
          <w:rFonts w:ascii="Arial" w:hAnsi="Arial" w:cs="Arial"/>
        </w:rPr>
        <w:t xml:space="preserve"> The Council published these for consultation on 1 November 2017, with a consultation end date of 18 December 2017.</w:t>
      </w:r>
    </w:p>
    <w:p w:rsidR="003721E4" w:rsidRDefault="003721E4" w:rsidP="003721E4"/>
    <w:p w:rsidR="00657964" w:rsidRPr="0086630A" w:rsidRDefault="00EB296A" w:rsidP="00EB3D75">
      <w:pPr>
        <w:pStyle w:val="Heading1"/>
        <w:rPr>
          <w:color w:val="7030A0"/>
        </w:rPr>
      </w:pPr>
      <w:bookmarkStart w:id="34" w:name="_Toc508896045"/>
      <w:bookmarkEnd w:id="33"/>
      <w:r w:rsidRPr="0086630A">
        <w:rPr>
          <w:color w:val="7030A0"/>
        </w:rPr>
        <w:lastRenderedPageBreak/>
        <w:t>ADDITIONAL KEY DEVELOPMENT PLAN WORK AREAS</w:t>
      </w:r>
      <w:bookmarkEnd w:id="34"/>
    </w:p>
    <w:p w:rsidR="008E4050" w:rsidRPr="008E4050" w:rsidRDefault="0023604B" w:rsidP="005F214C">
      <w:pPr>
        <w:pStyle w:val="Heading2"/>
      </w:pPr>
      <w:bookmarkStart w:id="35" w:name="_Toc508896046"/>
      <w:r>
        <w:rPr>
          <w:noProof/>
          <w:lang w:val="en-GB" w:eastAsia="en-GB" w:bidi="ar-SA"/>
        </w:rPr>
        <w:drawing>
          <wp:anchor distT="0" distB="0" distL="114300" distR="114300" simplePos="0" relativeHeight="251663360" behindDoc="1" locked="0" layoutInCell="1" allowOverlap="1">
            <wp:simplePos x="0" y="0"/>
            <wp:positionH relativeFrom="column">
              <wp:posOffset>3297555</wp:posOffset>
            </wp:positionH>
            <wp:positionV relativeFrom="paragraph">
              <wp:posOffset>453390</wp:posOffset>
            </wp:positionV>
            <wp:extent cx="3724275" cy="6858000"/>
            <wp:effectExtent l="0" t="19050" r="0" b="76200"/>
            <wp:wrapTight wrapText="bothSides">
              <wp:wrapPolygon edited="0">
                <wp:start x="3094" y="-60"/>
                <wp:lineTo x="2873" y="0"/>
                <wp:lineTo x="2762" y="21120"/>
                <wp:lineTo x="2983" y="21720"/>
                <wp:lineTo x="3094" y="21780"/>
                <wp:lineTo x="18341" y="21780"/>
                <wp:lineTo x="18451" y="21720"/>
                <wp:lineTo x="18672" y="21240"/>
                <wp:lineTo x="18562" y="120"/>
                <wp:lineTo x="18451" y="-60"/>
                <wp:lineTo x="3094" y="-60"/>
              </wp:wrapPolygon>
            </wp:wrapTight>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DD2ED2">
        <w:t>Planning Framework</w:t>
      </w:r>
      <w:bookmarkEnd w:id="35"/>
    </w:p>
    <w:p w:rsidR="00DD2ED2" w:rsidRPr="00DD2ED2" w:rsidRDefault="00AF6336" w:rsidP="002B200F">
      <w:pPr>
        <w:pStyle w:val="Heading3"/>
      </w:pPr>
      <w:bookmarkStart w:id="36" w:name="_Toc460489560"/>
      <w:r>
        <w:t>The planning framework for Torbay is shown in the diagram to the right. Work is underway on those documents not already adopted.</w:t>
      </w:r>
    </w:p>
    <w:p w:rsidR="002B200F" w:rsidRPr="002B200F" w:rsidRDefault="00CE2784" w:rsidP="002B200F">
      <w:pPr>
        <w:pStyle w:val="Heading3"/>
      </w:pPr>
      <w:r w:rsidRPr="00CE2784">
        <w:rPr>
          <w:rFonts w:ascii="Arial" w:hAnsi="Arial" w:cs="Arial"/>
        </w:rPr>
        <w:t>There is a chance that a Site Allocations document will need to be prepared</w:t>
      </w:r>
      <w:r w:rsidR="008E4050" w:rsidRPr="00CE2784">
        <w:rPr>
          <w:rFonts w:ascii="Arial" w:hAnsi="Arial" w:cs="Arial"/>
        </w:rPr>
        <w:t xml:space="preserve"> </w:t>
      </w:r>
      <w:r w:rsidR="00BB5C3D" w:rsidRPr="00CE2784">
        <w:rPr>
          <w:rFonts w:ascii="Arial" w:hAnsi="Arial" w:cs="Arial"/>
        </w:rPr>
        <w:t xml:space="preserve">if </w:t>
      </w:r>
      <w:r w:rsidR="008E4050" w:rsidRPr="00CE2784">
        <w:rPr>
          <w:rFonts w:ascii="Arial" w:hAnsi="Arial" w:cs="Arial"/>
        </w:rPr>
        <w:t xml:space="preserve">Neighbourhood Plans </w:t>
      </w:r>
      <w:r w:rsidR="00BB5C3D" w:rsidRPr="00CE2784">
        <w:rPr>
          <w:rFonts w:ascii="Arial" w:hAnsi="Arial" w:cs="Arial"/>
        </w:rPr>
        <w:t xml:space="preserve">fail to allocate sufficient sites in a timely manner, </w:t>
      </w:r>
      <w:r w:rsidRPr="00CE2784">
        <w:rPr>
          <w:rFonts w:ascii="Arial" w:hAnsi="Arial" w:cs="Arial"/>
        </w:rPr>
        <w:t>as this would</w:t>
      </w:r>
      <w:r w:rsidR="008E4050" w:rsidRPr="00CE2784">
        <w:rPr>
          <w:rFonts w:ascii="Arial" w:hAnsi="Arial" w:cs="Arial"/>
        </w:rPr>
        <w:t xml:space="preserve"> pose a risk to the delivery of the Local Plan’s strategy, particularly from year 6 of the Plan period (2017</w:t>
      </w:r>
      <w:r w:rsidRPr="00CE2784">
        <w:rPr>
          <w:rFonts w:ascii="Arial" w:hAnsi="Arial" w:cs="Arial"/>
        </w:rPr>
        <w:t>/18</w:t>
      </w:r>
      <w:r w:rsidR="008E4050" w:rsidRPr="00CE2784">
        <w:rPr>
          <w:rFonts w:ascii="Arial" w:hAnsi="Arial" w:cs="Arial"/>
        </w:rPr>
        <w:t xml:space="preserve">). </w:t>
      </w:r>
      <w:r w:rsidRPr="00CE2784">
        <w:rPr>
          <w:rFonts w:ascii="Arial" w:hAnsi="Arial" w:cs="Arial"/>
        </w:rPr>
        <w:t>O</w:t>
      </w:r>
      <w:r w:rsidR="008E4050" w:rsidRPr="00CE2784">
        <w:rPr>
          <w:rFonts w:ascii="Arial" w:hAnsi="Arial" w:cs="Arial"/>
        </w:rPr>
        <w:t xml:space="preserve">ther methods such as </w:t>
      </w:r>
      <w:r w:rsidRPr="00CE2784">
        <w:rPr>
          <w:rFonts w:ascii="Arial" w:hAnsi="Arial" w:cs="Arial"/>
        </w:rPr>
        <w:t xml:space="preserve">the forthcoming </w:t>
      </w:r>
      <w:r w:rsidR="008E4050" w:rsidRPr="00CE2784">
        <w:rPr>
          <w:rFonts w:ascii="Arial" w:hAnsi="Arial" w:cs="Arial"/>
        </w:rPr>
        <w:t>Brownfield Register</w:t>
      </w:r>
      <w:r w:rsidRPr="00CE2784">
        <w:rPr>
          <w:rFonts w:ascii="Arial" w:hAnsi="Arial" w:cs="Arial"/>
        </w:rPr>
        <w:t xml:space="preserve"> and</w:t>
      </w:r>
      <w:r w:rsidR="008E4050" w:rsidRPr="00CE2784">
        <w:rPr>
          <w:rFonts w:ascii="Arial" w:hAnsi="Arial" w:cs="Arial"/>
        </w:rPr>
        <w:t xml:space="preserve"> Permission in Principl</w:t>
      </w:r>
      <w:r w:rsidR="00BB5C3D" w:rsidRPr="00CE2784">
        <w:rPr>
          <w:rFonts w:ascii="Arial" w:hAnsi="Arial" w:cs="Arial"/>
        </w:rPr>
        <w:t>e</w:t>
      </w:r>
      <w:r w:rsidRPr="00CE2784">
        <w:rPr>
          <w:rFonts w:ascii="Arial" w:hAnsi="Arial" w:cs="Arial"/>
        </w:rPr>
        <w:t>,</w:t>
      </w:r>
      <w:r w:rsidR="00BB5C3D" w:rsidRPr="00CE2784">
        <w:rPr>
          <w:rFonts w:ascii="Arial" w:hAnsi="Arial" w:cs="Arial"/>
        </w:rPr>
        <w:t xml:space="preserve"> and promoting development in </w:t>
      </w:r>
      <w:r w:rsidR="008E4050" w:rsidRPr="00CE2784">
        <w:rPr>
          <w:rFonts w:ascii="Arial" w:hAnsi="Arial" w:cs="Arial"/>
        </w:rPr>
        <w:t>Masterplans to ensure that a rolling 5 year supply of housing is maintained</w:t>
      </w:r>
      <w:r w:rsidR="0079381A" w:rsidRPr="00CE2784">
        <w:rPr>
          <w:rFonts w:ascii="Arial" w:hAnsi="Arial" w:cs="Arial"/>
        </w:rPr>
        <w:t xml:space="preserve"> </w:t>
      </w:r>
      <w:bookmarkEnd w:id="36"/>
      <w:r w:rsidR="0093294C">
        <w:rPr>
          <w:rFonts w:ascii="Arial" w:hAnsi="Arial" w:cs="Arial"/>
        </w:rPr>
        <w:t>are likely to</w:t>
      </w:r>
      <w:r>
        <w:rPr>
          <w:rFonts w:ascii="Arial" w:hAnsi="Arial" w:cs="Arial"/>
        </w:rPr>
        <w:t xml:space="preserve"> be explored prior to undertaking work on a Site Allocations document.</w:t>
      </w:r>
    </w:p>
    <w:p w:rsidR="00AF6336" w:rsidRPr="00684521" w:rsidRDefault="00AF6336" w:rsidP="00AF6336">
      <w:pPr>
        <w:pStyle w:val="Heading2"/>
        <w:rPr>
          <w:lang w:val="en-GB"/>
        </w:rPr>
      </w:pPr>
      <w:bookmarkStart w:id="37" w:name="_Toc508896047"/>
      <w:r>
        <w:rPr>
          <w:lang w:val="en-GB"/>
        </w:rPr>
        <w:t>Masterplans</w:t>
      </w:r>
      <w:bookmarkEnd w:id="37"/>
    </w:p>
    <w:p w:rsidR="00AF6336" w:rsidRPr="00B641C5" w:rsidRDefault="00AF6336" w:rsidP="00AF6336">
      <w:pPr>
        <w:pStyle w:val="Heading3"/>
        <w:rPr>
          <w:rFonts w:ascii="Arial" w:hAnsi="Arial" w:cs="Arial"/>
          <w:lang w:val="en-GB"/>
        </w:rPr>
      </w:pPr>
      <w:r>
        <w:rPr>
          <w:rFonts w:ascii="Arial" w:hAnsi="Arial" w:cs="Arial"/>
          <w:lang w:val="en-GB"/>
        </w:rPr>
        <w:t>Although not included in the project plan, but a</w:t>
      </w:r>
      <w:r w:rsidR="002F5A79">
        <w:rPr>
          <w:rFonts w:ascii="Arial" w:hAnsi="Arial" w:cs="Arial"/>
          <w:lang w:val="en-GB"/>
        </w:rPr>
        <w:t>s anticipated in the 2014 LDS, t</w:t>
      </w:r>
      <w:r w:rsidRPr="002562E5">
        <w:rPr>
          <w:rFonts w:ascii="Arial" w:hAnsi="Arial" w:cs="Arial"/>
          <w:lang w:val="en-GB"/>
        </w:rPr>
        <w:t>he Council has adopted a number of</w:t>
      </w:r>
      <w:r w:rsidRPr="002562E5">
        <w:rPr>
          <w:rFonts w:ascii="Arial" w:hAnsi="Arial" w:cs="Arial"/>
          <w:b/>
          <w:lang w:val="en-GB"/>
        </w:rPr>
        <w:t xml:space="preserve"> Masterplans</w:t>
      </w:r>
      <w:r w:rsidRPr="002562E5">
        <w:rPr>
          <w:rFonts w:ascii="Arial" w:hAnsi="Arial" w:cs="Arial"/>
          <w:lang w:val="en-GB"/>
        </w:rPr>
        <w:t xml:space="preserve"> as supplementary planning documents (SPDs) to guide the development of areas identified in the Adopted Local Plan.  These are listed chronologically below: </w:t>
      </w:r>
    </w:p>
    <w:p w:rsidR="00AF6336" w:rsidRPr="00B641C5" w:rsidRDefault="00AF6336" w:rsidP="00AF6336">
      <w:pPr>
        <w:pStyle w:val="Heading3"/>
        <w:numPr>
          <w:ilvl w:val="0"/>
          <w:numId w:val="8"/>
        </w:numPr>
        <w:spacing w:line="240" w:lineRule="auto"/>
        <w:ind w:left="1434" w:hanging="357"/>
        <w:contextualSpacing/>
        <w:rPr>
          <w:rFonts w:ascii="Arial" w:hAnsi="Arial" w:cs="Arial"/>
          <w:lang w:val="en-GB"/>
        </w:rPr>
      </w:pPr>
      <w:r w:rsidRPr="00B641C5">
        <w:rPr>
          <w:rFonts w:ascii="Arial" w:hAnsi="Arial" w:cs="Arial"/>
          <w:lang w:val="en-GB"/>
        </w:rPr>
        <w:t>Great Parks, Paignton  - Planning Guidance, November 2013</w:t>
      </w:r>
    </w:p>
    <w:p w:rsidR="00AF6336" w:rsidRPr="00B641C5" w:rsidRDefault="00AF6336" w:rsidP="00AF6336">
      <w:pPr>
        <w:pStyle w:val="Heading3"/>
        <w:numPr>
          <w:ilvl w:val="0"/>
          <w:numId w:val="8"/>
        </w:numPr>
        <w:spacing w:line="240" w:lineRule="auto"/>
        <w:ind w:left="1434" w:hanging="357"/>
        <w:contextualSpacing/>
        <w:rPr>
          <w:rFonts w:ascii="Arial" w:hAnsi="Arial" w:cs="Arial"/>
          <w:lang w:val="en-GB"/>
        </w:rPr>
      </w:pPr>
      <w:r w:rsidRPr="00B641C5">
        <w:rPr>
          <w:rFonts w:ascii="Arial" w:hAnsi="Arial" w:cs="Arial"/>
          <w:lang w:val="en-GB"/>
        </w:rPr>
        <w:t>Torquay Town Centre - adopted as SPD, June 2015</w:t>
      </w:r>
    </w:p>
    <w:p w:rsidR="00AF6336" w:rsidRPr="00B641C5" w:rsidRDefault="00AF6336" w:rsidP="00AF6336">
      <w:pPr>
        <w:pStyle w:val="Heading3"/>
        <w:numPr>
          <w:ilvl w:val="0"/>
          <w:numId w:val="8"/>
        </w:numPr>
        <w:spacing w:line="240" w:lineRule="auto"/>
        <w:ind w:left="1434" w:hanging="357"/>
        <w:contextualSpacing/>
        <w:rPr>
          <w:rFonts w:ascii="Arial" w:hAnsi="Arial" w:cs="Arial"/>
          <w:lang w:val="en-GB"/>
        </w:rPr>
      </w:pPr>
      <w:r w:rsidRPr="00B641C5">
        <w:rPr>
          <w:rFonts w:ascii="Arial" w:hAnsi="Arial" w:cs="Arial"/>
          <w:lang w:val="en-GB"/>
        </w:rPr>
        <w:t xml:space="preserve">Paignton Town Centre - adopted as SPD, June 2015 </w:t>
      </w:r>
    </w:p>
    <w:p w:rsidR="00AF6336" w:rsidRPr="00B641C5" w:rsidRDefault="00AF6336" w:rsidP="00AF6336">
      <w:pPr>
        <w:pStyle w:val="Heading3"/>
        <w:numPr>
          <w:ilvl w:val="0"/>
          <w:numId w:val="8"/>
        </w:numPr>
        <w:spacing w:line="240" w:lineRule="auto"/>
        <w:ind w:left="1434" w:hanging="357"/>
        <w:contextualSpacing/>
        <w:rPr>
          <w:rFonts w:ascii="Arial" w:hAnsi="Arial" w:cs="Arial"/>
          <w:lang w:val="en-GB"/>
        </w:rPr>
      </w:pPr>
      <w:r w:rsidRPr="00B641C5">
        <w:rPr>
          <w:rFonts w:ascii="Arial" w:hAnsi="Arial" w:cs="Arial"/>
          <w:lang w:val="en-GB"/>
        </w:rPr>
        <w:t>Torquay Gateway (Edginswell) - adopted as SPD, December 2015</w:t>
      </w:r>
    </w:p>
    <w:p w:rsidR="00AF6336" w:rsidRDefault="00AF6336" w:rsidP="00AF6336">
      <w:pPr>
        <w:pStyle w:val="Heading3"/>
        <w:numPr>
          <w:ilvl w:val="0"/>
          <w:numId w:val="8"/>
        </w:numPr>
        <w:spacing w:line="240" w:lineRule="auto"/>
        <w:ind w:left="1434" w:hanging="357"/>
        <w:contextualSpacing/>
        <w:rPr>
          <w:rFonts w:ascii="Arial" w:hAnsi="Arial" w:cs="Arial"/>
          <w:lang w:val="en-GB"/>
        </w:rPr>
      </w:pPr>
      <w:r w:rsidRPr="00B641C5">
        <w:rPr>
          <w:rFonts w:ascii="Arial" w:hAnsi="Arial" w:cs="Arial"/>
          <w:lang w:val="en-GB"/>
        </w:rPr>
        <w:t>Collaton St Mary - adopted as SPD, February 2016</w:t>
      </w:r>
    </w:p>
    <w:p w:rsidR="00E575A7" w:rsidRDefault="00E575A7" w:rsidP="00E575A7">
      <w:pPr>
        <w:rPr>
          <w:lang w:val="en-GB"/>
        </w:rPr>
      </w:pPr>
    </w:p>
    <w:p w:rsidR="00C543B7" w:rsidRDefault="00C543B7" w:rsidP="005F214C">
      <w:pPr>
        <w:pStyle w:val="Heading2"/>
      </w:pPr>
      <w:bookmarkStart w:id="38" w:name="_Toc508896048"/>
      <w:r w:rsidRPr="00C543B7">
        <w:lastRenderedPageBreak/>
        <w:t>Healthy Torbay Supplementary Planning Document</w:t>
      </w:r>
      <w:bookmarkEnd w:id="38"/>
    </w:p>
    <w:p w:rsidR="00000D0F" w:rsidRPr="00000D0F" w:rsidRDefault="00C543B7" w:rsidP="00000D0F">
      <w:pPr>
        <w:pStyle w:val="Heading3"/>
        <w:rPr>
          <w:rFonts w:ascii="Arial" w:hAnsi="Arial" w:cs="Arial"/>
        </w:rPr>
      </w:pPr>
      <w:r w:rsidRPr="00C543B7">
        <w:rPr>
          <w:rFonts w:ascii="Arial" w:hAnsi="Arial" w:cs="Arial"/>
        </w:rPr>
        <w:t>This SPD add</w:t>
      </w:r>
      <w:r w:rsidR="00E575A7">
        <w:rPr>
          <w:rFonts w:ascii="Arial" w:hAnsi="Arial" w:cs="Arial"/>
        </w:rPr>
        <w:t>s</w:t>
      </w:r>
      <w:r w:rsidRPr="00C543B7">
        <w:rPr>
          <w:rFonts w:ascii="Arial" w:hAnsi="Arial" w:cs="Arial"/>
        </w:rPr>
        <w:t xml:space="preserve"> additional guidance to the key </w:t>
      </w:r>
      <w:r w:rsidR="007F30E4">
        <w:rPr>
          <w:rFonts w:ascii="Arial" w:hAnsi="Arial" w:cs="Arial"/>
        </w:rPr>
        <w:t xml:space="preserve">related </w:t>
      </w:r>
      <w:r w:rsidRPr="00C543B7">
        <w:rPr>
          <w:rFonts w:ascii="Arial" w:hAnsi="Arial" w:cs="Arial"/>
        </w:rPr>
        <w:t xml:space="preserve">policies in the Local Plan </w:t>
      </w:r>
      <w:r w:rsidR="00B700EE">
        <w:rPr>
          <w:rFonts w:ascii="Arial" w:hAnsi="Arial" w:cs="Arial"/>
        </w:rPr>
        <w:t>(in particular, Policy SC1 Healthy Bay</w:t>
      </w:r>
      <w:r w:rsidR="00493BFA">
        <w:rPr>
          <w:rFonts w:ascii="Arial" w:hAnsi="Arial" w:cs="Arial"/>
        </w:rPr>
        <w:t xml:space="preserve"> and SS11 Sustainable Communities</w:t>
      </w:r>
      <w:r w:rsidR="00B700EE">
        <w:rPr>
          <w:rFonts w:ascii="Arial" w:hAnsi="Arial" w:cs="Arial"/>
        </w:rPr>
        <w:t xml:space="preserve">) </w:t>
      </w:r>
      <w:r w:rsidRPr="00C543B7">
        <w:rPr>
          <w:rFonts w:ascii="Arial" w:hAnsi="Arial" w:cs="Arial"/>
        </w:rPr>
        <w:t xml:space="preserve">which are fundamental </w:t>
      </w:r>
      <w:r w:rsidR="007F30E4">
        <w:rPr>
          <w:rFonts w:ascii="Arial" w:hAnsi="Arial" w:cs="Arial"/>
        </w:rPr>
        <w:t>to</w:t>
      </w:r>
      <w:r w:rsidRPr="00C543B7">
        <w:rPr>
          <w:rFonts w:ascii="Arial" w:hAnsi="Arial" w:cs="Arial"/>
        </w:rPr>
        <w:t xml:space="preserve"> supporting the objective for new development to create a</w:t>
      </w:r>
      <w:r w:rsidR="005F0821">
        <w:rPr>
          <w:rFonts w:ascii="Arial" w:hAnsi="Arial" w:cs="Arial"/>
        </w:rPr>
        <w:t xml:space="preserve"> ‘Healthy Torbay’. T</w:t>
      </w:r>
      <w:r w:rsidR="00E575A7">
        <w:rPr>
          <w:rFonts w:ascii="Arial" w:hAnsi="Arial" w:cs="Arial"/>
        </w:rPr>
        <w:t>he issues that this document</w:t>
      </w:r>
      <w:r w:rsidRPr="00C543B7">
        <w:rPr>
          <w:rFonts w:ascii="Arial" w:hAnsi="Arial" w:cs="Arial"/>
        </w:rPr>
        <w:t xml:space="preserve"> cover</w:t>
      </w:r>
      <w:r w:rsidR="00E575A7">
        <w:rPr>
          <w:rFonts w:ascii="Arial" w:hAnsi="Arial" w:cs="Arial"/>
        </w:rPr>
        <w:t>s</w:t>
      </w:r>
      <w:r w:rsidRPr="00C543B7">
        <w:rPr>
          <w:rFonts w:ascii="Arial" w:hAnsi="Arial" w:cs="Arial"/>
        </w:rPr>
        <w:t xml:space="preserve"> include Health Impact Assessment, healthy food environments, and the role of planning in tackling deprivation and reducing health inequalities. This will help developers to better understand how they can meet the Council’s</w:t>
      </w:r>
      <w:r w:rsidR="00E575A7">
        <w:rPr>
          <w:rFonts w:ascii="Arial" w:hAnsi="Arial" w:cs="Arial"/>
        </w:rPr>
        <w:t xml:space="preserve"> Local Plan requirements and</w:t>
      </w:r>
      <w:r w:rsidRPr="00C543B7">
        <w:rPr>
          <w:rFonts w:ascii="Arial" w:hAnsi="Arial" w:cs="Arial"/>
        </w:rPr>
        <w:t xml:space="preserve"> provide</w:t>
      </w:r>
      <w:r w:rsidR="00E575A7">
        <w:rPr>
          <w:rFonts w:ascii="Arial" w:hAnsi="Arial" w:cs="Arial"/>
        </w:rPr>
        <w:t>s</w:t>
      </w:r>
      <w:r w:rsidRPr="00C543B7">
        <w:rPr>
          <w:rFonts w:ascii="Arial" w:hAnsi="Arial" w:cs="Arial"/>
        </w:rPr>
        <w:t xml:space="preserve"> development management planning officers with further guidance to aid effective decision-making based on local evidence and need</w:t>
      </w:r>
      <w:r w:rsidR="00000D0F">
        <w:rPr>
          <w:rFonts w:ascii="Arial" w:hAnsi="Arial" w:cs="Arial"/>
        </w:rPr>
        <w:t>.</w:t>
      </w:r>
      <w:r w:rsidR="0093294C">
        <w:rPr>
          <w:rFonts w:ascii="Arial" w:hAnsi="Arial" w:cs="Arial"/>
        </w:rPr>
        <w:t xml:space="preserve"> The SPD </w:t>
      </w:r>
      <w:r w:rsidR="00E575A7">
        <w:rPr>
          <w:rFonts w:ascii="Arial" w:hAnsi="Arial" w:cs="Arial"/>
        </w:rPr>
        <w:t>was adopted on 6 April</w:t>
      </w:r>
      <w:r w:rsidR="0093294C">
        <w:rPr>
          <w:rFonts w:ascii="Arial" w:hAnsi="Arial" w:cs="Arial"/>
        </w:rPr>
        <w:t xml:space="preserve"> 2017.</w:t>
      </w:r>
    </w:p>
    <w:p w:rsidR="00914332" w:rsidRPr="00914332" w:rsidRDefault="00914332" w:rsidP="00914332">
      <w:pPr>
        <w:pStyle w:val="Heading2"/>
      </w:pPr>
      <w:bookmarkStart w:id="39" w:name="_Toc508896049"/>
      <w:r w:rsidRPr="00914332">
        <w:t>Planning Contributions and Affordable Housing SPD</w:t>
      </w:r>
      <w:bookmarkEnd w:id="39"/>
    </w:p>
    <w:p w:rsidR="00633488" w:rsidRPr="005B22E3" w:rsidRDefault="00565CCB" w:rsidP="00633488">
      <w:pPr>
        <w:pStyle w:val="Heading3"/>
        <w:rPr>
          <w:rFonts w:ascii="Arial" w:hAnsi="Arial" w:cs="Arial"/>
        </w:rPr>
      </w:pPr>
      <w:r w:rsidRPr="005B22E3">
        <w:rPr>
          <w:rFonts w:ascii="Arial" w:hAnsi="Arial" w:cs="Arial"/>
        </w:rPr>
        <w:t xml:space="preserve">The </w:t>
      </w:r>
      <w:r w:rsidR="004B2CEE" w:rsidRPr="005B22E3">
        <w:rPr>
          <w:rFonts w:ascii="Arial" w:hAnsi="Arial" w:cs="Arial"/>
        </w:rPr>
        <w:t>P</w:t>
      </w:r>
      <w:r w:rsidRPr="005B22E3">
        <w:rPr>
          <w:rFonts w:ascii="Arial" w:hAnsi="Arial" w:cs="Arial"/>
        </w:rPr>
        <w:t xml:space="preserve">lanning and Affordable Housing SPD sets out the Council’s approach to planning obligations. </w:t>
      </w:r>
      <w:r w:rsidR="00000D0F" w:rsidRPr="005B22E3">
        <w:rPr>
          <w:rFonts w:ascii="Arial" w:hAnsi="Arial" w:cs="Arial"/>
        </w:rPr>
        <w:t>It provides additional detail to deliver the Adopted Torbay Local Plan 2012-</w:t>
      </w:r>
      <w:r w:rsidR="006E75AC" w:rsidRPr="005B22E3">
        <w:rPr>
          <w:rFonts w:ascii="Arial" w:hAnsi="Arial" w:cs="Arial"/>
        </w:rPr>
        <w:t>20</w:t>
      </w:r>
      <w:r w:rsidR="00000D0F" w:rsidRPr="005B22E3">
        <w:rPr>
          <w:rFonts w:ascii="Arial" w:hAnsi="Arial" w:cs="Arial"/>
        </w:rPr>
        <w:t xml:space="preserve">30 as set out in Policy SS7 </w:t>
      </w:r>
      <w:r w:rsidRPr="005B22E3">
        <w:rPr>
          <w:rFonts w:ascii="Arial" w:hAnsi="Arial" w:cs="Arial"/>
        </w:rPr>
        <w:t xml:space="preserve">(infrastructure, phasing and delivery) </w:t>
      </w:r>
      <w:r w:rsidR="00000D0F" w:rsidRPr="005B22E3">
        <w:rPr>
          <w:rFonts w:ascii="Arial" w:hAnsi="Arial" w:cs="Arial"/>
        </w:rPr>
        <w:t>and p</w:t>
      </w:r>
      <w:r w:rsidR="00CF02F3" w:rsidRPr="005B22E3">
        <w:rPr>
          <w:rFonts w:ascii="Arial" w:hAnsi="Arial" w:cs="Arial"/>
        </w:rPr>
        <w:t>aragraph 4.3.35-36 of the Plan and Policy H2 (Affordable Housing)</w:t>
      </w:r>
      <w:r w:rsidR="00633488" w:rsidRPr="005B22E3">
        <w:rPr>
          <w:rFonts w:ascii="Arial" w:hAnsi="Arial" w:cs="Arial"/>
        </w:rPr>
        <w:t>.</w:t>
      </w:r>
      <w:r w:rsidR="005B22E3">
        <w:rPr>
          <w:rFonts w:ascii="Arial" w:hAnsi="Arial" w:cs="Arial"/>
        </w:rPr>
        <w:t xml:space="preserve"> The most recent version was adopted in February 2017.</w:t>
      </w:r>
    </w:p>
    <w:p w:rsidR="00023409" w:rsidRDefault="00000D0F" w:rsidP="001714C5">
      <w:pPr>
        <w:pStyle w:val="Heading3"/>
        <w:rPr>
          <w:rFonts w:ascii="Arial" w:hAnsi="Arial" w:cs="Arial"/>
        </w:rPr>
      </w:pPr>
      <w:r w:rsidRPr="001714C5">
        <w:rPr>
          <w:rFonts w:ascii="Arial" w:hAnsi="Arial" w:cs="Arial"/>
        </w:rPr>
        <w:t>Planning Obligations should be considered in conjunction with Community Infrastructure Levy (CIL</w:t>
      </w:r>
      <w:r w:rsidR="001714C5">
        <w:rPr>
          <w:rFonts w:ascii="Arial" w:hAnsi="Arial" w:cs="Arial"/>
        </w:rPr>
        <w:t>), as detailed in the section below.</w:t>
      </w:r>
    </w:p>
    <w:p w:rsidR="00096B1D" w:rsidRDefault="00096B1D" w:rsidP="00096B1D">
      <w:pPr>
        <w:pStyle w:val="Heading2"/>
      </w:pPr>
      <w:bookmarkStart w:id="40" w:name="_Toc508896050"/>
      <w:r>
        <w:t>South Hams Special Area of Conservation (SAC) SPD</w:t>
      </w:r>
      <w:bookmarkEnd w:id="40"/>
    </w:p>
    <w:p w:rsidR="00096B1D" w:rsidRPr="00096B1D" w:rsidRDefault="00096B1D" w:rsidP="00096B1D">
      <w:pPr>
        <w:pStyle w:val="Heading3"/>
      </w:pPr>
      <w:r>
        <w:t xml:space="preserve">Torbay Council is working with partners (Natural England, Dartmoor National Park Authority, Devon County Council, Teignbridge District Council and South Hams District Council) on a jointly prepared South Hams SAC SPD. It will provide specific formal guidance on development in or affecting the South Hams SAC (Greater Horseshoe Bats).  </w:t>
      </w:r>
    </w:p>
    <w:p w:rsidR="00096B1D" w:rsidRDefault="00096B1D" w:rsidP="00096B1D">
      <w:pPr>
        <w:pStyle w:val="Heading2"/>
      </w:pPr>
      <w:bookmarkStart w:id="41" w:name="_Toc460489537"/>
      <w:bookmarkStart w:id="42" w:name="_Toc508896051"/>
      <w:bookmarkStart w:id="43" w:name="_Toc461098522"/>
      <w:r>
        <w:t>Adopted Local Development Documents</w:t>
      </w:r>
      <w:bookmarkEnd w:id="41"/>
      <w:bookmarkEnd w:id="42"/>
    </w:p>
    <w:p w:rsidR="00096B1D" w:rsidRDefault="00096B1D" w:rsidP="00096B1D">
      <w:pPr>
        <w:pStyle w:val="Heading3"/>
      </w:pPr>
      <w:bookmarkStart w:id="44" w:name="_Toc460489538"/>
      <w:r>
        <w:t>The following Local Development Documents (Supplementary Planning Documents) have been adopted by Torbay Council and are a formal part of the Torbay Local Development Plan</w:t>
      </w:r>
      <w:r>
        <w:rPr>
          <w:rStyle w:val="FootnoteReference"/>
        </w:rPr>
        <w:footnoteReference w:id="3"/>
      </w:r>
      <w:r>
        <w:t xml:space="preserve"> (formerly the Local Development Framework).</w:t>
      </w:r>
    </w:p>
    <w:p w:rsidR="00096B1D" w:rsidRDefault="00096B1D" w:rsidP="00096B1D">
      <w:pPr>
        <w:pStyle w:val="Heading3"/>
        <w:numPr>
          <w:ilvl w:val="0"/>
          <w:numId w:val="15"/>
        </w:numPr>
        <w:spacing w:after="0"/>
        <w:ind w:left="1434" w:hanging="357"/>
        <w:contextualSpacing/>
      </w:pPr>
      <w:bookmarkStart w:id="45" w:name="_Toc460489539"/>
      <w:r>
        <w:t>LDD1</w:t>
      </w:r>
      <w:r>
        <w:tab/>
        <w:t>Statement of Community Involvement DPD (Adopted 2014</w:t>
      </w:r>
      <w:bookmarkEnd w:id="45"/>
      <w:r>
        <w:t xml:space="preserve">) </w:t>
      </w:r>
    </w:p>
    <w:p w:rsidR="00096B1D" w:rsidRPr="007158D2" w:rsidRDefault="00096B1D" w:rsidP="00096B1D">
      <w:pPr>
        <w:pStyle w:val="Heading3"/>
        <w:numPr>
          <w:ilvl w:val="0"/>
          <w:numId w:val="15"/>
        </w:numPr>
        <w:spacing w:after="0"/>
        <w:ind w:left="1434" w:hanging="357"/>
        <w:contextualSpacing/>
        <w:rPr>
          <w:color w:val="C00000"/>
        </w:rPr>
      </w:pPr>
      <w:bookmarkStart w:id="46" w:name="_Toc460489540"/>
      <w:r>
        <w:t>LDD6</w:t>
      </w:r>
      <w:r>
        <w:tab/>
        <w:t>Planning Contributions and Affordable Housing SPD (Adopted 02/02/17)</w:t>
      </w:r>
      <w:bookmarkEnd w:id="46"/>
      <w:r>
        <w:t xml:space="preserve"> </w:t>
      </w:r>
      <w:bookmarkStart w:id="47" w:name="_Toc460489541"/>
    </w:p>
    <w:p w:rsidR="00096B1D" w:rsidRPr="007158D2" w:rsidRDefault="00096B1D" w:rsidP="00096B1D">
      <w:pPr>
        <w:pStyle w:val="Heading3"/>
        <w:numPr>
          <w:ilvl w:val="0"/>
          <w:numId w:val="15"/>
        </w:numPr>
        <w:spacing w:after="0"/>
        <w:ind w:left="1434" w:hanging="357"/>
        <w:contextualSpacing/>
        <w:rPr>
          <w:color w:val="C00000"/>
        </w:rPr>
      </w:pPr>
      <w:r>
        <w:t>LDD7</w:t>
      </w:r>
      <w:r>
        <w:tab/>
        <w:t>Urban Design Guide (Adopted 07/02/07)</w:t>
      </w:r>
      <w:bookmarkEnd w:id="47"/>
      <w:r w:rsidRPr="007158D2">
        <w:rPr>
          <w:color w:val="632E62" w:themeColor="text2"/>
        </w:rPr>
        <w:t xml:space="preserve"> </w:t>
      </w:r>
    </w:p>
    <w:p w:rsidR="00096B1D" w:rsidRDefault="00096B1D" w:rsidP="00096B1D">
      <w:pPr>
        <w:pStyle w:val="Heading3"/>
        <w:numPr>
          <w:ilvl w:val="0"/>
          <w:numId w:val="15"/>
        </w:numPr>
        <w:spacing w:after="0"/>
        <w:ind w:left="1434" w:hanging="357"/>
        <w:contextualSpacing/>
        <w:rPr>
          <w:color w:val="632E62" w:themeColor="text2"/>
        </w:rPr>
      </w:pPr>
      <w:bookmarkStart w:id="48" w:name="_Toc460489542"/>
      <w:r>
        <w:t>LDD8</w:t>
      </w:r>
      <w:r>
        <w:tab/>
        <w:t>Greenspace Strategy (Adopted 14/12/06)</w:t>
      </w:r>
      <w:bookmarkEnd w:id="48"/>
      <w:r w:rsidRPr="007158D2">
        <w:rPr>
          <w:color w:val="632E62" w:themeColor="text2"/>
        </w:rPr>
        <w:t xml:space="preserve"> </w:t>
      </w:r>
    </w:p>
    <w:bookmarkEnd w:id="43"/>
    <w:bookmarkEnd w:id="44"/>
    <w:p w:rsidR="00096B1D" w:rsidRPr="00096B1D" w:rsidRDefault="00096B1D" w:rsidP="00096B1D"/>
    <w:p w:rsidR="001714C5" w:rsidRPr="001714C5" w:rsidRDefault="001714C5" w:rsidP="001714C5">
      <w:pPr>
        <w:pStyle w:val="Heading2"/>
        <w:rPr>
          <w:rFonts w:cstheme="majorHAnsi"/>
        </w:rPr>
      </w:pPr>
      <w:bookmarkStart w:id="49" w:name="_Toc508896052"/>
      <w:r w:rsidRPr="001714C5">
        <w:rPr>
          <w:rFonts w:cstheme="majorHAnsi"/>
        </w:rPr>
        <w:lastRenderedPageBreak/>
        <w:t>Community Infrastructure Levy</w:t>
      </w:r>
      <w:bookmarkEnd w:id="49"/>
      <w:r w:rsidRPr="001714C5">
        <w:rPr>
          <w:rFonts w:cstheme="majorHAnsi"/>
        </w:rPr>
        <w:t xml:space="preserve"> </w:t>
      </w:r>
    </w:p>
    <w:p w:rsidR="001714C5" w:rsidRPr="005B22E3" w:rsidRDefault="001714C5" w:rsidP="001714C5">
      <w:pPr>
        <w:pStyle w:val="Heading3"/>
        <w:rPr>
          <w:rFonts w:ascii="Arial" w:hAnsi="Arial" w:cs="Arial"/>
        </w:rPr>
      </w:pPr>
      <w:r w:rsidRPr="005B22E3">
        <w:rPr>
          <w:rFonts w:ascii="Arial" w:hAnsi="Arial" w:cs="Arial"/>
          <w:lang w:val="en-GB"/>
        </w:rPr>
        <w:t xml:space="preserve">The </w:t>
      </w:r>
      <w:r w:rsidRPr="005B22E3">
        <w:rPr>
          <w:rFonts w:ascii="Arial" w:hAnsi="Arial" w:cs="Arial"/>
          <w:b/>
          <w:lang w:val="en-GB"/>
        </w:rPr>
        <w:t>Community Infrastructure Levy</w:t>
      </w:r>
      <w:r w:rsidRPr="005B22E3">
        <w:rPr>
          <w:rFonts w:ascii="Arial" w:hAnsi="Arial" w:cs="Arial"/>
          <w:lang w:val="en-GB"/>
        </w:rPr>
        <w:t xml:space="preserve"> (CIL) is a planning charge, introduced by the Planning Act 2008 as a tool for local authorities in England and Wales, to help deliver infrastructure to support the development of their area. It came into force on 6</w:t>
      </w:r>
      <w:r w:rsidRPr="005B22E3">
        <w:rPr>
          <w:rFonts w:ascii="Arial" w:hAnsi="Arial" w:cs="Arial"/>
          <w:vertAlign w:val="superscript"/>
          <w:lang w:val="en-GB"/>
        </w:rPr>
        <w:t>th</w:t>
      </w:r>
      <w:r w:rsidRPr="005B22E3">
        <w:rPr>
          <w:rFonts w:ascii="Arial" w:hAnsi="Arial" w:cs="Arial"/>
          <w:lang w:val="en-GB"/>
        </w:rPr>
        <w:t xml:space="preserve"> April 2010 through the Community Infrastructure Levy Regulations 2010 (now as amended).</w:t>
      </w:r>
      <w:r w:rsidRPr="005B22E3">
        <w:rPr>
          <w:rFonts w:ascii="Arial" w:hAnsi="Arial" w:cs="Arial"/>
        </w:rPr>
        <w:t xml:space="preserve">  </w:t>
      </w:r>
    </w:p>
    <w:p w:rsidR="006D1C4B" w:rsidRPr="006D1C4B" w:rsidRDefault="005B22E3" w:rsidP="006D1C4B">
      <w:pPr>
        <w:pStyle w:val="Heading3"/>
        <w:rPr>
          <w:rFonts w:ascii="Arial" w:hAnsi="Arial" w:cs="Arial"/>
        </w:rPr>
      </w:pPr>
      <w:r>
        <w:rPr>
          <w:rFonts w:ascii="Arial" w:hAnsi="Arial" w:cs="Arial"/>
        </w:rPr>
        <w:t>In Torbay, a</w:t>
      </w:r>
      <w:r w:rsidR="006D1C4B" w:rsidRPr="007271F2">
        <w:rPr>
          <w:rFonts w:ascii="Arial" w:hAnsi="Arial" w:cs="Arial"/>
        </w:rPr>
        <w:t xml:space="preserve"> revised draft Charging Schedule was consulted on in March-April 2015 following consultation on a Draft Charging Schedule in February 201</w:t>
      </w:r>
      <w:r w:rsidR="006D1C4B">
        <w:rPr>
          <w:rFonts w:ascii="Arial" w:hAnsi="Arial" w:cs="Arial"/>
        </w:rPr>
        <w:t>4</w:t>
      </w:r>
      <w:r w:rsidR="006D1C4B" w:rsidRPr="007271F2">
        <w:rPr>
          <w:rFonts w:ascii="Arial" w:hAnsi="Arial" w:cs="Arial"/>
        </w:rPr>
        <w:t>.  Full Council resolved in May 2015 to submi</w:t>
      </w:r>
      <w:r>
        <w:rPr>
          <w:rFonts w:ascii="Arial" w:hAnsi="Arial" w:cs="Arial"/>
        </w:rPr>
        <w:t>t for Independent E</w:t>
      </w:r>
      <w:r w:rsidR="006D1C4B" w:rsidRPr="007271F2">
        <w:rPr>
          <w:rFonts w:ascii="Arial" w:hAnsi="Arial" w:cs="Arial"/>
        </w:rPr>
        <w:t xml:space="preserve">xamination.  The CIL was submitted in September </w:t>
      </w:r>
      <w:r w:rsidR="006D1C4B">
        <w:rPr>
          <w:rFonts w:ascii="Arial" w:hAnsi="Arial" w:cs="Arial"/>
        </w:rPr>
        <w:t xml:space="preserve">2016 </w:t>
      </w:r>
      <w:r w:rsidR="006D1C4B" w:rsidRPr="007271F2">
        <w:rPr>
          <w:rFonts w:ascii="Arial" w:hAnsi="Arial" w:cs="Arial"/>
        </w:rPr>
        <w:t xml:space="preserve">for Examination in </w:t>
      </w:r>
      <w:r w:rsidR="006D1C4B">
        <w:rPr>
          <w:rFonts w:ascii="Arial" w:hAnsi="Arial" w:cs="Arial"/>
        </w:rPr>
        <w:t xml:space="preserve">November 2016, with the Examiner’s Report published in early December 2016.  The </w:t>
      </w:r>
      <w:r w:rsidR="004B2CEE">
        <w:rPr>
          <w:rFonts w:ascii="Arial" w:hAnsi="Arial" w:cs="Arial"/>
        </w:rPr>
        <w:t xml:space="preserve">CIL </w:t>
      </w:r>
      <w:r w:rsidR="006D1C4B">
        <w:rPr>
          <w:rFonts w:ascii="Arial" w:hAnsi="Arial" w:cs="Arial"/>
        </w:rPr>
        <w:t>Charging Schedule</w:t>
      </w:r>
      <w:r w:rsidR="006D1C4B" w:rsidRPr="007271F2">
        <w:rPr>
          <w:rFonts w:ascii="Arial" w:hAnsi="Arial" w:cs="Arial"/>
        </w:rPr>
        <w:t xml:space="preserve"> w</w:t>
      </w:r>
      <w:r w:rsidR="004B2CEE">
        <w:rPr>
          <w:rFonts w:ascii="Arial" w:hAnsi="Arial" w:cs="Arial"/>
        </w:rPr>
        <w:t xml:space="preserve">as </w:t>
      </w:r>
      <w:r w:rsidR="006D1C4B">
        <w:rPr>
          <w:rFonts w:ascii="Arial" w:hAnsi="Arial" w:cs="Arial"/>
        </w:rPr>
        <w:t xml:space="preserve">reported to full Council </w:t>
      </w:r>
      <w:r w:rsidR="004B2CEE">
        <w:rPr>
          <w:rFonts w:ascii="Arial" w:hAnsi="Arial" w:cs="Arial"/>
        </w:rPr>
        <w:t>and adopted on 2 February 2017</w:t>
      </w:r>
      <w:r w:rsidR="006D1C4B">
        <w:rPr>
          <w:rFonts w:ascii="Arial" w:hAnsi="Arial" w:cs="Arial"/>
        </w:rPr>
        <w:t>.</w:t>
      </w:r>
      <w:r w:rsidR="004B2CEE">
        <w:rPr>
          <w:rFonts w:ascii="Arial" w:hAnsi="Arial" w:cs="Arial"/>
        </w:rPr>
        <w:t xml:space="preserve"> Torbay Council commenced charging CIL on 1 June 2017. </w:t>
      </w:r>
    </w:p>
    <w:p w:rsidR="0008143C" w:rsidRPr="0008143C" w:rsidRDefault="0008143C" w:rsidP="005D7FF0">
      <w:pPr>
        <w:pStyle w:val="Heading2"/>
      </w:pPr>
      <w:bookmarkStart w:id="50" w:name="_Toc508896053"/>
      <w:r w:rsidRPr="00BB1719">
        <w:t>Brown</w:t>
      </w:r>
      <w:r>
        <w:t xml:space="preserve">field Register and Permission </w:t>
      </w:r>
      <w:r w:rsidR="00E9642A">
        <w:t>i</w:t>
      </w:r>
      <w:r w:rsidRPr="00BB1719">
        <w:t>n Principle</w:t>
      </w:r>
      <w:r w:rsidR="00E9642A">
        <w:t xml:space="preserve"> (P</w:t>
      </w:r>
      <w:r w:rsidR="008F15D1">
        <w:t>i</w:t>
      </w:r>
      <w:r w:rsidR="00E9642A">
        <w:t>P)</w:t>
      </w:r>
      <w:bookmarkEnd w:id="50"/>
    </w:p>
    <w:p w:rsidR="003B5948" w:rsidRDefault="0081309F" w:rsidP="0081309F">
      <w:pPr>
        <w:pStyle w:val="Heading3"/>
        <w:rPr>
          <w:rFonts w:ascii="Arial" w:hAnsi="Arial" w:cs="Arial"/>
        </w:rPr>
      </w:pPr>
      <w:bookmarkStart w:id="51" w:name="_Toc460489574"/>
      <w:r w:rsidRPr="0081309F">
        <w:rPr>
          <w:rFonts w:ascii="Arial" w:hAnsi="Arial" w:cs="Arial"/>
        </w:rPr>
        <w:t>Torbay participat</w:t>
      </w:r>
      <w:r w:rsidR="00013C54">
        <w:rPr>
          <w:rFonts w:ascii="Arial" w:hAnsi="Arial" w:cs="Arial"/>
        </w:rPr>
        <w:t>ed</w:t>
      </w:r>
      <w:r w:rsidRPr="0081309F">
        <w:rPr>
          <w:rFonts w:ascii="Arial" w:hAnsi="Arial" w:cs="Arial"/>
        </w:rPr>
        <w:t xml:space="preserve"> in the pilot brownfield register project</w:t>
      </w:r>
      <w:r w:rsidR="00013C54">
        <w:rPr>
          <w:rFonts w:ascii="Arial" w:hAnsi="Arial" w:cs="Arial"/>
        </w:rPr>
        <w:t xml:space="preserve"> in 2016</w:t>
      </w:r>
      <w:r w:rsidRPr="0081309F">
        <w:rPr>
          <w:rFonts w:ascii="Arial" w:hAnsi="Arial" w:cs="Arial"/>
        </w:rPr>
        <w:t>, working with other local authorities and DCLG to shape and develop policy with regards to brownfield registers, which bec</w:t>
      </w:r>
      <w:r w:rsidR="00013C54">
        <w:rPr>
          <w:rFonts w:ascii="Arial" w:hAnsi="Arial" w:cs="Arial"/>
        </w:rPr>
        <w:t>a</w:t>
      </w:r>
      <w:r w:rsidRPr="0081309F">
        <w:rPr>
          <w:rFonts w:ascii="Arial" w:hAnsi="Arial" w:cs="Arial"/>
        </w:rPr>
        <w:t>me mandatory for all councils as part of the Housing and Planning Act</w:t>
      </w:r>
      <w:r w:rsidR="00BB1719">
        <w:rPr>
          <w:rFonts w:ascii="Arial" w:hAnsi="Arial" w:cs="Arial"/>
        </w:rPr>
        <w:t xml:space="preserve"> 201</w:t>
      </w:r>
      <w:r w:rsidR="0075588F">
        <w:rPr>
          <w:rFonts w:ascii="Arial" w:hAnsi="Arial" w:cs="Arial"/>
        </w:rPr>
        <w:t>6</w:t>
      </w:r>
      <w:r w:rsidRPr="0081309F">
        <w:rPr>
          <w:rFonts w:ascii="Arial" w:hAnsi="Arial" w:cs="Arial"/>
        </w:rPr>
        <w:t xml:space="preserve">. </w:t>
      </w:r>
      <w:r w:rsidRPr="00BB1719">
        <w:rPr>
          <w:rFonts w:ascii="Arial" w:hAnsi="Arial" w:cs="Arial"/>
          <w:b/>
        </w:rPr>
        <w:t>Brownfield Registers</w:t>
      </w:r>
      <w:r w:rsidRPr="0081309F">
        <w:rPr>
          <w:rFonts w:ascii="Arial" w:hAnsi="Arial" w:cs="Arial"/>
        </w:rPr>
        <w:t xml:space="preserve"> will be kept up-to-date and made publicly available to help provide certainty for developers and communities and encourage investment in local areas</w:t>
      </w:r>
      <w:r w:rsidR="00013C54">
        <w:rPr>
          <w:rFonts w:ascii="Arial" w:hAnsi="Arial" w:cs="Arial"/>
        </w:rPr>
        <w:t>. They should be reviewed at least annually (by 31</w:t>
      </w:r>
      <w:r w:rsidR="00013C54" w:rsidRPr="00013C54">
        <w:rPr>
          <w:rFonts w:ascii="Arial" w:hAnsi="Arial" w:cs="Arial"/>
          <w:vertAlign w:val="superscript"/>
        </w:rPr>
        <w:t>st</w:t>
      </w:r>
      <w:r w:rsidR="00013C54">
        <w:rPr>
          <w:rFonts w:ascii="Arial" w:hAnsi="Arial" w:cs="Arial"/>
        </w:rPr>
        <w:t xml:space="preserve"> December).</w:t>
      </w:r>
    </w:p>
    <w:p w:rsidR="0081309F" w:rsidRDefault="003B5948" w:rsidP="0081309F">
      <w:pPr>
        <w:pStyle w:val="Heading3"/>
        <w:rPr>
          <w:rFonts w:ascii="Arial" w:hAnsi="Arial" w:cs="Arial"/>
        </w:rPr>
      </w:pPr>
      <w:r>
        <w:rPr>
          <w:rFonts w:ascii="Arial" w:hAnsi="Arial" w:cs="Arial"/>
        </w:rPr>
        <w:t>T</w:t>
      </w:r>
      <w:r w:rsidRPr="003B5948">
        <w:rPr>
          <w:rFonts w:ascii="Arial" w:hAnsi="Arial" w:cs="Arial"/>
        </w:rPr>
        <w:t>he Government has pledged to ensure that 90% of suitable brownfield sites have planning permission for housing by 2020. Other measures in the Housing and Planning Act enable ‘permission in principle’ to be granted for suitable housing-led development sites listed on</w:t>
      </w:r>
      <w:r w:rsidR="00013C54">
        <w:rPr>
          <w:rFonts w:ascii="Arial" w:hAnsi="Arial" w:cs="Arial"/>
        </w:rPr>
        <w:t xml:space="preserve"> part 2</w:t>
      </w:r>
      <w:r w:rsidR="005D4276">
        <w:rPr>
          <w:rFonts w:ascii="Arial" w:hAnsi="Arial" w:cs="Arial"/>
        </w:rPr>
        <w:t xml:space="preserve"> </w:t>
      </w:r>
      <w:r w:rsidR="00013C54">
        <w:rPr>
          <w:rFonts w:ascii="Arial" w:hAnsi="Arial" w:cs="Arial"/>
        </w:rPr>
        <w:t xml:space="preserve">of </w:t>
      </w:r>
      <w:r w:rsidRPr="003B5948">
        <w:rPr>
          <w:rFonts w:ascii="Arial" w:hAnsi="Arial" w:cs="Arial"/>
        </w:rPr>
        <w:t>the new brownfield registers, or housing-led sites allocated in a development plan (not retrospectively), therefore providing certainty on ‘in principle issues’ of land use, location and the amount of development</w:t>
      </w:r>
      <w:bookmarkEnd w:id="51"/>
      <w:r w:rsidR="008F15D1">
        <w:rPr>
          <w:rFonts w:ascii="Arial" w:hAnsi="Arial" w:cs="Arial"/>
        </w:rPr>
        <w:t>.</w:t>
      </w:r>
    </w:p>
    <w:p w:rsidR="00335BD9" w:rsidRPr="007271F2" w:rsidRDefault="00CC3DCA" w:rsidP="00335BD9">
      <w:pPr>
        <w:pStyle w:val="Heading3"/>
        <w:spacing w:line="240" w:lineRule="auto"/>
        <w:contextualSpacing/>
        <w:rPr>
          <w:rFonts w:ascii="Arial" w:hAnsi="Arial" w:cs="Arial"/>
        </w:rPr>
      </w:pPr>
      <w:r w:rsidRPr="007271F2">
        <w:rPr>
          <w:rFonts w:ascii="Arial" w:hAnsi="Arial" w:cs="Arial"/>
        </w:rPr>
        <w:t>To be considered suitable for housing, sites must meet the definition of brownfield land and be</w:t>
      </w:r>
      <w:r w:rsidR="001C1281">
        <w:rPr>
          <w:rStyle w:val="FootnoteReference"/>
          <w:rFonts w:ascii="Arial" w:hAnsi="Arial" w:cs="Arial"/>
        </w:rPr>
        <w:footnoteReference w:id="4"/>
      </w:r>
      <w:r w:rsidR="00335BD9" w:rsidRPr="007271F2">
        <w:rPr>
          <w:rFonts w:ascii="Arial" w:hAnsi="Arial" w:cs="Arial"/>
        </w:rPr>
        <w:t>.</w:t>
      </w:r>
    </w:p>
    <w:p w:rsidR="00335BD9" w:rsidRDefault="00335BD9" w:rsidP="00335BD9">
      <w:pPr>
        <w:pStyle w:val="Heading3"/>
        <w:numPr>
          <w:ilvl w:val="0"/>
          <w:numId w:val="19"/>
        </w:numPr>
        <w:spacing w:line="240" w:lineRule="auto"/>
        <w:ind w:left="1417" w:hanging="357"/>
        <w:contextualSpacing/>
        <w:rPr>
          <w:rFonts w:ascii="Arial" w:hAnsi="Arial" w:cs="Arial"/>
        </w:rPr>
      </w:pPr>
      <w:r w:rsidRPr="00CC3DCA">
        <w:rPr>
          <w:rFonts w:ascii="Arial" w:hAnsi="Arial" w:cs="Arial"/>
        </w:rPr>
        <w:t>Available (willing landowner),</w:t>
      </w:r>
    </w:p>
    <w:p w:rsidR="00335BD9" w:rsidRPr="00CC3DCA" w:rsidRDefault="00335BD9" w:rsidP="00335BD9">
      <w:pPr>
        <w:pStyle w:val="Heading3"/>
        <w:numPr>
          <w:ilvl w:val="0"/>
          <w:numId w:val="19"/>
        </w:numPr>
        <w:spacing w:line="240" w:lineRule="auto"/>
        <w:ind w:left="1417" w:hanging="357"/>
        <w:contextualSpacing/>
        <w:rPr>
          <w:rFonts w:ascii="Arial" w:hAnsi="Arial" w:cs="Arial"/>
        </w:rPr>
      </w:pPr>
      <w:r w:rsidRPr="00CC3DCA">
        <w:rPr>
          <w:rFonts w:ascii="Arial" w:hAnsi="Arial" w:cs="Arial"/>
        </w:rPr>
        <w:t>In a suitable location for housing (in accordance with policies in the adopted Torbay Local Plan 2012-2030 and the NPPF) and free from constraints that cannot be mitigated,</w:t>
      </w:r>
    </w:p>
    <w:p w:rsidR="00335BD9" w:rsidRPr="00CC3DCA" w:rsidRDefault="00335BD9" w:rsidP="00335BD9">
      <w:pPr>
        <w:pStyle w:val="Heading3"/>
        <w:numPr>
          <w:ilvl w:val="0"/>
          <w:numId w:val="19"/>
        </w:numPr>
        <w:spacing w:line="240" w:lineRule="auto"/>
        <w:ind w:left="1417" w:hanging="357"/>
        <w:contextualSpacing/>
        <w:rPr>
          <w:rFonts w:ascii="Arial" w:hAnsi="Arial" w:cs="Arial"/>
        </w:rPr>
      </w:pPr>
      <w:r w:rsidRPr="00CC3DCA">
        <w:rPr>
          <w:rFonts w:ascii="Arial" w:hAnsi="Arial" w:cs="Arial"/>
        </w:rPr>
        <w:t>Viable and capable of being delivered within 5 years or developed later on (e.g. between 6 and 10 years),</w:t>
      </w:r>
    </w:p>
    <w:p w:rsidR="001C1281" w:rsidRDefault="00335BD9" w:rsidP="001C1281">
      <w:pPr>
        <w:pStyle w:val="Heading3"/>
        <w:numPr>
          <w:ilvl w:val="0"/>
          <w:numId w:val="19"/>
        </w:numPr>
        <w:spacing w:line="240" w:lineRule="auto"/>
        <w:ind w:left="1417" w:hanging="357"/>
        <w:contextualSpacing/>
        <w:rPr>
          <w:rFonts w:ascii="Arial" w:hAnsi="Arial" w:cs="Arial"/>
        </w:rPr>
      </w:pPr>
      <w:r w:rsidRPr="00CC3DCA">
        <w:rPr>
          <w:rFonts w:ascii="Arial" w:hAnsi="Arial" w:cs="Arial"/>
        </w:rPr>
        <w:t>Capable of supporting five or more dwellings or more than 0.25 hectares</w:t>
      </w:r>
    </w:p>
    <w:p w:rsidR="00406501" w:rsidRPr="00406501" w:rsidRDefault="005D4276" w:rsidP="00406501">
      <w:pPr>
        <w:pStyle w:val="Heading3"/>
      </w:pPr>
      <w:r>
        <w:rPr>
          <w:rFonts w:ascii="Arial" w:hAnsi="Arial" w:cs="Arial"/>
        </w:rPr>
        <w:t xml:space="preserve">The </w:t>
      </w:r>
      <w:r w:rsidR="001C1281" w:rsidRPr="00362945">
        <w:rPr>
          <w:rFonts w:ascii="Arial" w:hAnsi="Arial" w:cs="Arial"/>
        </w:rPr>
        <w:t xml:space="preserve">Brownfield Register </w:t>
      </w:r>
      <w:r w:rsidRPr="005D4276">
        <w:rPr>
          <w:rFonts w:ascii="Arial" w:hAnsi="Arial" w:cs="Arial"/>
          <w:color w:val="auto"/>
        </w:rPr>
        <w:t>is</w:t>
      </w:r>
      <w:r w:rsidR="00EB47C8" w:rsidRPr="005D4276">
        <w:rPr>
          <w:rFonts w:ascii="Arial" w:hAnsi="Arial" w:cs="Arial"/>
          <w:color w:val="auto"/>
        </w:rPr>
        <w:t xml:space="preserve"> published on the Council’s website as a tool to promote and enable suitable development sites.  </w:t>
      </w:r>
      <w:r w:rsidRPr="005D4276">
        <w:rPr>
          <w:rFonts w:ascii="Arial" w:hAnsi="Arial" w:cs="Arial"/>
          <w:color w:val="auto"/>
        </w:rPr>
        <w:t xml:space="preserve">It </w:t>
      </w:r>
      <w:r>
        <w:rPr>
          <w:rFonts w:ascii="Arial" w:hAnsi="Arial" w:cs="Arial"/>
        </w:rPr>
        <w:t xml:space="preserve">is available at </w:t>
      </w:r>
      <w:hyperlink r:id="rId28" w:history="1">
        <w:r w:rsidRPr="00677287">
          <w:rPr>
            <w:rStyle w:val="Hyperlink"/>
            <w:rFonts w:ascii="Arial" w:hAnsi="Arial" w:cs="Arial"/>
          </w:rPr>
          <w:t>www.torbay.gov.uk/brownfield-register</w:t>
        </w:r>
      </w:hyperlink>
      <w:r>
        <w:rPr>
          <w:rFonts w:ascii="Arial" w:hAnsi="Arial" w:cs="Arial"/>
        </w:rPr>
        <w:t xml:space="preserve">. </w:t>
      </w:r>
    </w:p>
    <w:p w:rsidR="004F6D64" w:rsidRDefault="0081309F" w:rsidP="004F6D64">
      <w:pPr>
        <w:pStyle w:val="Heading2"/>
      </w:pPr>
      <w:r w:rsidRPr="007271F2">
        <w:lastRenderedPageBreak/>
        <w:t xml:space="preserve"> </w:t>
      </w:r>
      <w:bookmarkStart w:id="52" w:name="_Toc508896054"/>
      <w:r w:rsidR="004F6D64" w:rsidRPr="0090676C">
        <w:t xml:space="preserve">Sustainability Appraisal </w:t>
      </w:r>
      <w:r w:rsidR="004F6D64">
        <w:t>a</w:t>
      </w:r>
      <w:r w:rsidR="004F6D64" w:rsidRPr="0090676C">
        <w:t>nd Habitats Regulations Assessment</w:t>
      </w:r>
      <w:bookmarkEnd w:id="52"/>
    </w:p>
    <w:p w:rsidR="0075588F" w:rsidRDefault="0075588F" w:rsidP="004F6D64">
      <w:pPr>
        <w:pStyle w:val="Heading3"/>
      </w:pPr>
      <w:bookmarkStart w:id="53" w:name="_Toc460489605"/>
      <w:r>
        <w:t>There is a legal requirement to consider whether new planning policy documents are likely to have a significant effect on European sites of nature conservation importance, prior to the Plan being given effect. Habitats Regulations Assessment (HRA) will be produced for DPDs.</w:t>
      </w:r>
    </w:p>
    <w:p w:rsidR="004F6D64" w:rsidRDefault="004F6D64" w:rsidP="004F6D64">
      <w:pPr>
        <w:pStyle w:val="Heading3"/>
      </w:pPr>
      <w:r>
        <w:t>The Planning and Compulsory Purchase Act 2004 requires local development documents to be prepared with a view to contributing to the achievement of sustainable development (Section 39).  There is a parallel requirement for the Council to comply with the European Union Directive 2001/42/EC which stipulates the need for formal strategic environmental assessment of certain plans and programmes impacting on the environment. Under Section 19(5) (b) of the 2004 Act, the Council is required to produce a sustainability appraisal report.</w:t>
      </w:r>
      <w:bookmarkEnd w:id="53"/>
      <w:r>
        <w:t xml:space="preserve"> </w:t>
      </w:r>
    </w:p>
    <w:p w:rsidR="0075588F" w:rsidRDefault="0075588F" w:rsidP="0075588F">
      <w:pPr>
        <w:pStyle w:val="Heading3"/>
      </w:pPr>
      <w:bookmarkStart w:id="54" w:name="_Toc460489606"/>
      <w:r>
        <w:t>In addition, the Council is required to comply with the EU Habitats Directive by carrying out Appropriate Assessment under the Habitats Regulations Assessment. These requirements will all apply to all of the plans being prepared as part of the Torbay Development Plan, as set out in th</w:t>
      </w:r>
      <w:r w:rsidR="005D4276">
        <w:t>e</w:t>
      </w:r>
      <w:r>
        <w:t xml:space="preserve"> Local Development Scheme. Currently, the NPPF sets out a presumption in favour of sustainable development (paragraph 14).</w:t>
      </w:r>
    </w:p>
    <w:p w:rsidR="0075588F" w:rsidRPr="00A5075E" w:rsidRDefault="0075588F" w:rsidP="0075588F">
      <w:pPr>
        <w:pStyle w:val="Heading3"/>
      </w:pPr>
      <w:r w:rsidRPr="00A5075E">
        <w:t xml:space="preserve">The Sustainability Appraisal (SA) monitoring framework is currently being updated, and will be reported on in the next AMR. </w:t>
      </w:r>
    </w:p>
    <w:bookmarkEnd w:id="54"/>
    <w:p w:rsidR="0081309F" w:rsidRPr="007271F2" w:rsidRDefault="000F7846" w:rsidP="004F6D64">
      <w:pPr>
        <w:pStyle w:val="Heading2"/>
      </w:pPr>
      <w:r>
        <w:t xml:space="preserve"> </w:t>
      </w:r>
      <w:bookmarkStart w:id="55" w:name="_Toc508896055"/>
      <w:r w:rsidR="00674DC3">
        <w:t xml:space="preserve">Local </w:t>
      </w:r>
      <w:r w:rsidR="000D69AB">
        <w:t xml:space="preserve">&amp; Neighbourhood </w:t>
      </w:r>
      <w:r w:rsidR="00674DC3">
        <w:t>Development Orders</w:t>
      </w:r>
      <w:bookmarkEnd w:id="55"/>
    </w:p>
    <w:p w:rsidR="005D4276" w:rsidRPr="005D4276" w:rsidRDefault="005D4276" w:rsidP="005D4276">
      <w:pPr>
        <w:pStyle w:val="Heading3"/>
        <w:rPr>
          <w:rFonts w:asciiTheme="minorHAnsi" w:hAnsiTheme="minorHAnsi" w:cstheme="minorHAnsi"/>
        </w:rPr>
      </w:pPr>
      <w:r w:rsidRPr="00DC51E1">
        <w:rPr>
          <w:rFonts w:ascii="Arial" w:hAnsi="Arial" w:cs="Arial"/>
          <w:color w:val="auto"/>
        </w:rPr>
        <w:t xml:space="preserve">The LDO at </w:t>
      </w:r>
      <w:r w:rsidR="00FC7738" w:rsidRPr="00DC51E1">
        <w:rPr>
          <w:rFonts w:ascii="Arial" w:hAnsi="Arial" w:cs="Arial"/>
          <w:color w:val="auto"/>
        </w:rPr>
        <w:t>South Devon College</w:t>
      </w:r>
      <w:r w:rsidRPr="00DC51E1">
        <w:rPr>
          <w:rFonts w:ascii="Arial" w:hAnsi="Arial" w:cs="Arial"/>
          <w:color w:val="auto"/>
        </w:rPr>
        <w:t xml:space="preserve"> was adopted in August </w:t>
      </w:r>
      <w:r w:rsidRPr="00DC51E1">
        <w:rPr>
          <w:rFonts w:asciiTheme="minorHAnsi" w:hAnsiTheme="minorHAnsi" w:cstheme="minorHAnsi"/>
          <w:color w:val="auto"/>
        </w:rPr>
        <w:t xml:space="preserve">2016 </w:t>
      </w:r>
      <w:r w:rsidRPr="005D4276">
        <w:rPr>
          <w:rFonts w:asciiTheme="minorHAnsi" w:hAnsiTheme="minorHAnsi" w:cstheme="minorHAnsi"/>
          <w:color w:val="333333"/>
        </w:rPr>
        <w:t>and provides a positive framework for growth and change on the site over the following 15 years. It will simplify the planning process over the college site in order to help deliver flexibility and confidence for the College to implement an expansion program and to develop and adapt its facilities, helping to unlock the educational and employment benefits that will come from expansion.</w:t>
      </w:r>
      <w:r w:rsidR="00A25FE7" w:rsidRPr="005D4276">
        <w:rPr>
          <w:rFonts w:asciiTheme="minorHAnsi" w:hAnsiTheme="minorHAnsi" w:cstheme="minorHAnsi"/>
          <w:color w:val="FF0000"/>
        </w:rPr>
        <w:t xml:space="preserve"> </w:t>
      </w:r>
      <w:bookmarkStart w:id="56" w:name="_Toc460489584"/>
    </w:p>
    <w:p w:rsidR="0081309F" w:rsidRPr="005D4276" w:rsidRDefault="007271F2" w:rsidP="005D4276">
      <w:pPr>
        <w:pStyle w:val="Heading3"/>
        <w:rPr>
          <w:rFonts w:ascii="Arial" w:hAnsi="Arial" w:cs="Arial"/>
        </w:rPr>
      </w:pPr>
      <w:r w:rsidRPr="005D4276">
        <w:rPr>
          <w:rFonts w:ascii="Arial" w:hAnsi="Arial" w:cs="Arial"/>
        </w:rPr>
        <w:t xml:space="preserve">No </w:t>
      </w:r>
      <w:r w:rsidR="0081309F" w:rsidRPr="005D4276">
        <w:rPr>
          <w:rFonts w:ascii="Arial" w:hAnsi="Arial" w:cs="Arial"/>
          <w:b/>
        </w:rPr>
        <w:t>Neighbourhood Development Orders</w:t>
      </w:r>
      <w:bookmarkEnd w:id="56"/>
      <w:r w:rsidR="00DC51E1">
        <w:rPr>
          <w:rFonts w:ascii="Arial" w:hAnsi="Arial" w:cs="Arial"/>
        </w:rPr>
        <w:t xml:space="preserve"> </w:t>
      </w:r>
      <w:r w:rsidRPr="005D4276">
        <w:rPr>
          <w:rFonts w:ascii="Arial" w:hAnsi="Arial" w:cs="Arial"/>
        </w:rPr>
        <w:t>are currently proposed</w:t>
      </w:r>
      <w:r w:rsidR="00FC7738" w:rsidRPr="005D4276">
        <w:rPr>
          <w:rFonts w:ascii="Arial" w:hAnsi="Arial" w:cs="Arial"/>
        </w:rPr>
        <w:t>.</w:t>
      </w:r>
    </w:p>
    <w:p w:rsidR="000D69AB" w:rsidRPr="000D69AB" w:rsidRDefault="000F7846" w:rsidP="000D69AB">
      <w:pPr>
        <w:pStyle w:val="Heading2"/>
      </w:pPr>
      <w:r>
        <w:t xml:space="preserve"> </w:t>
      </w:r>
      <w:bookmarkStart w:id="57" w:name="_Toc508896056"/>
      <w:r w:rsidR="000D69AB">
        <w:t>Local Transport Plan</w:t>
      </w:r>
      <w:r w:rsidR="00B74F34">
        <w:t xml:space="preserve"> (LTP)</w:t>
      </w:r>
      <w:bookmarkEnd w:id="57"/>
    </w:p>
    <w:p w:rsidR="00B72901" w:rsidRPr="00B72901" w:rsidRDefault="00104429" w:rsidP="00B72901">
      <w:pPr>
        <w:pStyle w:val="Heading3"/>
      </w:pPr>
      <w:bookmarkStart w:id="58" w:name="_Toc460489601"/>
      <w:bookmarkStart w:id="59" w:name="_Toc460489592"/>
      <w:r>
        <w:t>T</w:t>
      </w:r>
      <w:r w:rsidR="007271F2">
        <w:t xml:space="preserve">he </w:t>
      </w:r>
      <w:r w:rsidR="005B22E3">
        <w:t>Strategy and Project Delivery</w:t>
      </w:r>
      <w:r w:rsidR="007271F2">
        <w:t xml:space="preserve"> team has responsibility for strategic transport matters. This includes </w:t>
      </w:r>
      <w:r w:rsidR="007271F2" w:rsidRPr="005B22E3">
        <w:t xml:space="preserve">the LTP </w:t>
      </w:r>
      <w:r w:rsidR="00B72901" w:rsidRPr="005B22E3">
        <w:t xml:space="preserve">Implementation Plan </w:t>
      </w:r>
      <w:r w:rsidR="002402F4" w:rsidRPr="005B22E3">
        <w:t xml:space="preserve">which sets out the approach the Council will take to delivering transport projects and investment over the </w:t>
      </w:r>
      <w:r w:rsidRPr="005B22E3">
        <w:t xml:space="preserve">period </w:t>
      </w:r>
      <w:r w:rsidR="002402F4" w:rsidRPr="005B22E3">
        <w:t>2016/17 – 2020/21.</w:t>
      </w:r>
      <w:r w:rsidR="00B72901" w:rsidRPr="005B22E3">
        <w:t xml:space="preserve"> </w:t>
      </w:r>
      <w:r w:rsidR="006D6C75" w:rsidRPr="005B22E3">
        <w:t>This Implementation Plan for Torbay acts as a delivery mechanism for a wider Local</w:t>
      </w:r>
      <w:r w:rsidR="006D6C75" w:rsidRPr="005B22E3">
        <w:rPr>
          <w:color w:val="808080" w:themeColor="background1" w:themeShade="80"/>
        </w:rPr>
        <w:t xml:space="preserve"> </w:t>
      </w:r>
      <w:r w:rsidR="006D6C75" w:rsidRPr="006D6C75">
        <w:t xml:space="preserve">Transport Plan (LTP) Strategy </w:t>
      </w:r>
      <w:r w:rsidR="002402F4" w:rsidRPr="002402F4">
        <w:t xml:space="preserve">2011 </w:t>
      </w:r>
      <w:r w:rsidR="002402F4">
        <w:t>–</w:t>
      </w:r>
      <w:r w:rsidR="002402F4" w:rsidRPr="002402F4">
        <w:t xml:space="preserve"> 2026</w:t>
      </w:r>
      <w:r w:rsidR="002402F4">
        <w:t xml:space="preserve"> </w:t>
      </w:r>
      <w:r w:rsidR="006D6C75" w:rsidRPr="006D6C75">
        <w:t>which Torbay Council shares jointly with Devon County Council.</w:t>
      </w:r>
      <w:bookmarkEnd w:id="58"/>
      <w:r w:rsidR="002402F4" w:rsidRPr="002402F4">
        <w:t xml:space="preserve"> </w:t>
      </w:r>
    </w:p>
    <w:p w:rsidR="00362945" w:rsidRPr="00362945" w:rsidRDefault="007271F2" w:rsidP="007271F2">
      <w:pPr>
        <w:pStyle w:val="Heading3"/>
        <w:rPr>
          <w:color w:val="C00000"/>
        </w:rPr>
      </w:pPr>
      <w:bookmarkStart w:id="60" w:name="_Toc460489602"/>
      <w:r>
        <w:t xml:space="preserve">The team also oversee the management of a number of key transport projects including the delivery of a new train station at Edginswell, town centre </w:t>
      </w:r>
      <w:r w:rsidR="0050332A">
        <w:t>management</w:t>
      </w:r>
      <w:r>
        <w:t xml:space="preserve"> and transport schemes and last stages of the South Devon Highway, which opened in December 2015.  The team is also responsible </w:t>
      </w:r>
      <w:r w:rsidR="003276D2">
        <w:t>for providing transport comment</w:t>
      </w:r>
      <w:r>
        <w:t>s</w:t>
      </w:r>
      <w:r w:rsidR="003276D2">
        <w:t xml:space="preserve"> </w:t>
      </w:r>
      <w:r>
        <w:t>on major and commercial planning applications.</w:t>
      </w:r>
      <w:bookmarkEnd w:id="60"/>
      <w:r w:rsidR="003276D2">
        <w:t xml:space="preserve">  </w:t>
      </w:r>
    </w:p>
    <w:bookmarkEnd w:id="59"/>
    <w:p w:rsidR="00BB4835" w:rsidRDefault="00861B00" w:rsidP="00BB4835">
      <w:pPr>
        <w:pStyle w:val="Heading2"/>
      </w:pPr>
      <w:r>
        <w:lastRenderedPageBreak/>
        <w:t xml:space="preserve"> </w:t>
      </w:r>
      <w:bookmarkStart w:id="61" w:name="_Toc508896057"/>
      <w:r w:rsidR="00BB4835">
        <w:t>Duty to Co-operate</w:t>
      </w:r>
      <w:bookmarkEnd w:id="61"/>
    </w:p>
    <w:p w:rsidR="00EC2D17" w:rsidRDefault="00BB4835" w:rsidP="00BB4835">
      <w:pPr>
        <w:pStyle w:val="Heading3"/>
      </w:pPr>
      <w:r>
        <w:t>In economic, social and environmental terms, Torbay functions as part of a much wider area. Inevitably, this involves tackling issues that don’t always conform to administrative boundaries – geographic markets for new homes and jobs, for example. In addition, looking after the needs of the Bay’s unique landscape and wildlife requires a ‘cross-border’ approach and there are examples of strategic infrastructure that cannot be delivered locally. Retail centres also depend on wider than local expenditure. Where spatial planning has influences beyond Torbay, there is a need to work with adjoining and nearby local authorities, statutory bodies</w:t>
      </w:r>
      <w:r w:rsidR="002E650A">
        <w:t xml:space="preserve"> and other relevant organisations.</w:t>
      </w:r>
    </w:p>
    <w:p w:rsidR="00BB4835" w:rsidRPr="000E1B34" w:rsidRDefault="000E1B34" w:rsidP="00BB4835">
      <w:pPr>
        <w:pStyle w:val="Heading3"/>
        <w:rPr>
          <w:rFonts w:cstheme="majorHAnsi"/>
        </w:rPr>
      </w:pPr>
      <w:r w:rsidRPr="000E1B34">
        <w:rPr>
          <w:rStyle w:val="Strong"/>
          <w:rFonts w:cstheme="majorHAnsi"/>
          <w:b w:val="0"/>
        </w:rPr>
        <w:t>Whilst there is no actual requirement for neighbouring Council’s to agree, Torbay, Teignbridge and South Hams have agreed on a range of key issues, including provision of new homes.  There is agreement that Torbay forms a separate housing market area from the Exeter and South Devon Housing Market Area, which includes most of Teignbridge. On the important issue of new homes, Torbay and Teignbridge</w:t>
      </w:r>
      <w:r w:rsidRPr="000E1B34">
        <w:rPr>
          <w:rFonts w:cstheme="majorHAnsi"/>
          <w:b/>
        </w:rPr>
        <w:t xml:space="preserve"> </w:t>
      </w:r>
      <w:r w:rsidRPr="000E1B34">
        <w:rPr>
          <w:rFonts w:cstheme="majorHAnsi"/>
        </w:rPr>
        <w:t>Councils have identified sufficient and deliverable land to meet demand for new homes</w:t>
      </w:r>
      <w:r w:rsidR="005B22E3">
        <w:rPr>
          <w:rFonts w:cstheme="majorHAnsi"/>
        </w:rPr>
        <w:t xml:space="preserve"> until at least 2030.</w:t>
      </w:r>
      <w:r w:rsidRPr="000E1B34">
        <w:rPr>
          <w:rFonts w:cstheme="majorHAnsi"/>
        </w:rPr>
        <w:t xml:space="preserve">  The Councils have agreed to a coordinated and positive review of Local Plan delivery, including new homes, every five years.  This review will consider the need for and location of further development, and sites to satisfy that demand, across South Devon, taking account of jointly prepared evidence, in order to inform future reviews of </w:t>
      </w:r>
      <w:r w:rsidR="007E2216">
        <w:rPr>
          <w:rFonts w:cstheme="majorHAnsi"/>
        </w:rPr>
        <w:t>L</w:t>
      </w:r>
      <w:r w:rsidRPr="000E1B34">
        <w:rPr>
          <w:rFonts w:cstheme="majorHAnsi"/>
        </w:rPr>
        <w:t xml:space="preserve">ocal Plans.  </w:t>
      </w:r>
    </w:p>
    <w:p w:rsidR="00BB4835" w:rsidRPr="00BB4835" w:rsidRDefault="00BB4835" w:rsidP="00BB4835"/>
    <w:p w:rsidR="0081309F" w:rsidRDefault="004F6D64" w:rsidP="00362945">
      <w:pPr>
        <w:pStyle w:val="Heading1"/>
      </w:pPr>
      <w:r>
        <w:br w:type="page"/>
      </w:r>
      <w:r w:rsidR="008E4050" w:rsidRPr="007271F2">
        <w:rPr>
          <w:color w:val="C00000"/>
        </w:rPr>
        <w:lastRenderedPageBreak/>
        <w:t xml:space="preserve"> </w:t>
      </w:r>
      <w:bookmarkStart w:id="62" w:name="_Toc460489597"/>
      <w:bookmarkStart w:id="63" w:name="_Toc508896058"/>
      <w:bookmarkEnd w:id="62"/>
      <w:r w:rsidR="006C177E" w:rsidRPr="0086630A">
        <w:rPr>
          <w:color w:val="7030A0"/>
        </w:rPr>
        <w:t>PLAN MONITORING</w:t>
      </w:r>
      <w:bookmarkEnd w:id="63"/>
    </w:p>
    <w:p w:rsidR="004F6D64" w:rsidRPr="004F6D64" w:rsidRDefault="006C177E" w:rsidP="004F6D64">
      <w:pPr>
        <w:pStyle w:val="Heading2"/>
      </w:pPr>
      <w:bookmarkStart w:id="64" w:name="_Toc508896059"/>
      <w:bookmarkStart w:id="65" w:name="_Toc460489600"/>
      <w:r>
        <w:t>Torbay Context</w:t>
      </w:r>
      <w:bookmarkEnd w:id="64"/>
    </w:p>
    <w:p w:rsidR="006C177E" w:rsidRPr="006C177E" w:rsidRDefault="006C177E" w:rsidP="006C177E">
      <w:pPr>
        <w:pStyle w:val="Heading3"/>
      </w:pPr>
      <w:r>
        <w:t>Torbay covers an area of just under 25 square miles and comprises the three towns of Torquay, Paignton and Brixham, each with very different, yet complimentary, identities and facilities. Each have picturesque harbours, with 20 beaches in total, along 22 miles of coastline.</w:t>
      </w:r>
    </w:p>
    <w:p w:rsidR="006C177E" w:rsidRPr="005B22E3" w:rsidRDefault="006C177E" w:rsidP="006C177E">
      <w:pPr>
        <w:pStyle w:val="Heading3"/>
        <w:rPr>
          <w:rFonts w:ascii="Arial" w:hAnsi="Arial" w:cs="Arial"/>
          <w:sz w:val="20"/>
        </w:rPr>
      </w:pPr>
      <w:r>
        <w:t xml:space="preserve">The economy of the Bay is focused in particular on the tourist industry, </w:t>
      </w:r>
      <w:r w:rsidRPr="006C177E">
        <w:rPr>
          <w:rFonts w:cstheme="majorHAnsi"/>
        </w:rPr>
        <w:t xml:space="preserve">with Torbay also known as the ‘English Riviera’.  Tourism creates many seasonal, part-time jobs, with a major influx of visitors over the summer period inflating the population considerably.  This is especially true in Torquay, the largest of the three towns, which is home to </w:t>
      </w:r>
      <w:r w:rsidRPr="005B22E3">
        <w:rPr>
          <w:rFonts w:cstheme="majorHAnsi"/>
        </w:rPr>
        <w:t xml:space="preserve">nearly </w:t>
      </w:r>
      <w:r w:rsidR="005B22E3">
        <w:rPr>
          <w:rFonts w:cstheme="majorHAnsi"/>
        </w:rPr>
        <w:t>half</w:t>
      </w:r>
      <w:r w:rsidRPr="005B22E3">
        <w:rPr>
          <w:rFonts w:cstheme="majorHAnsi"/>
        </w:rPr>
        <w:t xml:space="preserve"> of the population of Torbay.</w:t>
      </w:r>
      <w:r w:rsidRPr="005B22E3">
        <w:rPr>
          <w:rFonts w:ascii="Arial" w:hAnsi="Arial" w:cs="Arial"/>
          <w:sz w:val="20"/>
        </w:rPr>
        <w:t xml:space="preserve">  </w:t>
      </w:r>
    </w:p>
    <w:p w:rsidR="00855855" w:rsidRDefault="00855855" w:rsidP="00855855">
      <w:pPr>
        <w:pStyle w:val="Heading3"/>
      </w:pPr>
      <w:r>
        <w:t xml:space="preserve">A </w:t>
      </w:r>
      <w:r w:rsidRPr="006C177E">
        <w:t>high number of people retiring to the area</w:t>
      </w:r>
      <w:r>
        <w:t>, alongside rising house prices and low wages</w:t>
      </w:r>
      <w:r w:rsidRPr="006C177E">
        <w:t xml:space="preserve"> cause problems with housing. There are few properties available to purchase in the lower quartile and with household incomes below the national average, an increased need for affordable housing is highlighted.</w:t>
      </w:r>
    </w:p>
    <w:p w:rsidR="00855855" w:rsidRDefault="00855855" w:rsidP="00855855">
      <w:pPr>
        <w:pStyle w:val="Heading3"/>
      </w:pPr>
      <w:r w:rsidRPr="004420A3">
        <w:t>Torbay has high profile businesses, a fantastic marine setting and internationally important environmental assets. It also has lots of potential, with an increasingly skilled workforce, increasing numbers of small and micro businesses, a large catchment population and increasingly good connections to national and international markets.</w:t>
      </w:r>
    </w:p>
    <w:p w:rsidR="00855855" w:rsidRDefault="00855855" w:rsidP="00855855">
      <w:pPr>
        <w:pStyle w:val="Heading3"/>
      </w:pPr>
      <w:r w:rsidRPr="004420A3">
        <w:t>However, an over-reliance on tourism in the past has created a poor economic profile of low paid, low skilled and part-time seasonal work.  There is a very real need to improve Torbay’s economic profile by providing opportunities to introduce better paid, higher skilled employment opportunities to encourage a rise in income levels through economic diversification.</w:t>
      </w:r>
    </w:p>
    <w:p w:rsidR="000D58F0" w:rsidRDefault="000D58F0" w:rsidP="000D58F0">
      <w:pPr>
        <w:pStyle w:val="Heading2"/>
      </w:pPr>
      <w:bookmarkStart w:id="66" w:name="_Toc508896060"/>
      <w:bookmarkEnd w:id="65"/>
      <w:r>
        <w:t>Securing Economic Recovery and Success</w:t>
      </w:r>
      <w:bookmarkEnd w:id="66"/>
    </w:p>
    <w:p w:rsidR="00E83BC0" w:rsidRPr="00E83BC0" w:rsidRDefault="000D58F0" w:rsidP="00E83BC0">
      <w:pPr>
        <w:pStyle w:val="Heading3"/>
      </w:pPr>
      <w:r>
        <w:t>Torbay has a proactive and positive approach to growth, with the new Local Plan, Economic Strategy and Masterplans for growth areas all agreed. Torbay’s economy i</w:t>
      </w:r>
      <w:r w:rsidR="008B3A87">
        <w:t>s highly entrepreneurial</w:t>
      </w:r>
      <w:r>
        <w:t>, made up predominantly of micro and SME sized companies alongside a number of large private and public sector employers.</w:t>
      </w:r>
    </w:p>
    <w:p w:rsidR="00E83BC0" w:rsidRDefault="00E83BC0" w:rsidP="000D58F0">
      <w:pPr>
        <w:pStyle w:val="Heading3"/>
      </w:pPr>
      <w:r>
        <w:t>Over the past few years, Torbay has invested in providing improved and modern employment space, through a programme of innovation centres and work hubs. These provide flexible work and meeting space which can be used on an ad-hoc or more permanent basis</w:t>
      </w:r>
      <w:r w:rsidR="005577EF">
        <w:t xml:space="preserve"> and are available across the Bay. As one of the top five locations in England for photonics expertise, Torbay will soon be home to a new Electronics and Photonics Innovation Centre (EPIC)</w:t>
      </w:r>
      <w:r w:rsidR="006530E2">
        <w:t xml:space="preserve"> which will respond directly to the needs of the sector, supporting prototyping, test development methodology, R&amp;D and shared space f</w:t>
      </w:r>
      <w:r w:rsidR="00D66156">
        <w:t xml:space="preserve">or innovative hi tech start-ups and will complement the proposed development of South Devon College’s new Hi-tech Skills Training Centre – providing a new Institute of Technology. </w:t>
      </w:r>
    </w:p>
    <w:tbl>
      <w:tblPr>
        <w:tblStyle w:val="GridTable2-Accent21"/>
        <w:tblW w:w="0" w:type="auto"/>
        <w:tblLook w:val="04A0" w:firstRow="1" w:lastRow="0" w:firstColumn="1" w:lastColumn="0" w:noHBand="0" w:noVBand="1"/>
      </w:tblPr>
      <w:tblGrid>
        <w:gridCol w:w="3398"/>
        <w:gridCol w:w="3398"/>
        <w:gridCol w:w="3398"/>
      </w:tblGrid>
      <w:tr w:rsidR="00E31C2D" w:rsidRPr="00E31C2D" w:rsidTr="00866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rsidR="00E31C2D" w:rsidRPr="00E31C2D" w:rsidRDefault="00E31C2D" w:rsidP="00E31C2D">
            <w:pPr>
              <w:rPr>
                <w:b w:val="0"/>
                <w:color w:val="000000" w:themeColor="text1" w:themeShade="BF"/>
                <w:sz w:val="20"/>
                <w:szCs w:val="20"/>
              </w:rPr>
            </w:pPr>
            <w:r w:rsidRPr="00E31C2D">
              <w:rPr>
                <w:b w:val="0"/>
                <w:color w:val="000000" w:themeColor="text1" w:themeShade="BF"/>
                <w:sz w:val="20"/>
                <w:szCs w:val="20"/>
              </w:rPr>
              <w:lastRenderedPageBreak/>
              <w:t>Relevant Local Plan Policy</w:t>
            </w:r>
          </w:p>
        </w:tc>
        <w:tc>
          <w:tcPr>
            <w:tcW w:w="3398" w:type="dxa"/>
          </w:tcPr>
          <w:p w:rsidR="00E31C2D" w:rsidRPr="00E31C2D" w:rsidRDefault="00E31C2D" w:rsidP="00E31C2D">
            <w:pPr>
              <w:cnfStyle w:val="100000000000" w:firstRow="1" w:lastRow="0" w:firstColumn="0" w:lastColumn="0" w:oddVBand="0" w:evenVBand="0" w:oddHBand="0" w:evenHBand="0" w:firstRowFirstColumn="0" w:firstRowLastColumn="0" w:lastRowFirstColumn="0" w:lastRowLastColumn="0"/>
              <w:rPr>
                <w:b w:val="0"/>
                <w:color w:val="000000" w:themeColor="text1" w:themeShade="BF"/>
                <w:sz w:val="20"/>
                <w:szCs w:val="20"/>
              </w:rPr>
            </w:pPr>
            <w:r w:rsidRPr="00E31C2D">
              <w:rPr>
                <w:b w:val="0"/>
                <w:color w:val="000000" w:themeColor="text1" w:themeShade="BF"/>
                <w:sz w:val="20"/>
                <w:szCs w:val="20"/>
              </w:rPr>
              <w:t>Target</w:t>
            </w:r>
          </w:p>
        </w:tc>
        <w:tc>
          <w:tcPr>
            <w:tcW w:w="3398" w:type="dxa"/>
          </w:tcPr>
          <w:p w:rsidR="00E31C2D" w:rsidRPr="00E31C2D" w:rsidRDefault="00B64C0E" w:rsidP="00E31C2D">
            <w:pPr>
              <w:cnfStyle w:val="100000000000" w:firstRow="1" w:lastRow="0" w:firstColumn="0" w:lastColumn="0" w:oddVBand="0" w:evenVBand="0" w:oddHBand="0" w:evenHBand="0" w:firstRowFirstColumn="0" w:firstRowLastColumn="0" w:lastRowFirstColumn="0" w:lastRowLastColumn="0"/>
              <w:rPr>
                <w:b w:val="0"/>
                <w:color w:val="000000" w:themeColor="text1" w:themeShade="BF"/>
                <w:sz w:val="20"/>
                <w:szCs w:val="20"/>
              </w:rPr>
            </w:pPr>
            <w:r>
              <w:rPr>
                <w:b w:val="0"/>
                <w:color w:val="000000" w:themeColor="text1" w:themeShade="BF"/>
                <w:sz w:val="20"/>
                <w:szCs w:val="20"/>
              </w:rPr>
              <w:t>Data</w:t>
            </w:r>
          </w:p>
        </w:tc>
      </w:tr>
      <w:tr w:rsidR="00E31C2D" w:rsidRPr="00E31C2D" w:rsidTr="00866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rsidR="00E31C2D" w:rsidRPr="00E31C2D" w:rsidRDefault="00E31C2D" w:rsidP="00E31C2D">
            <w:pPr>
              <w:rPr>
                <w:sz w:val="20"/>
                <w:szCs w:val="20"/>
              </w:rPr>
            </w:pPr>
            <w:r w:rsidRPr="00E31C2D">
              <w:rPr>
                <w:sz w:val="20"/>
                <w:szCs w:val="20"/>
              </w:rPr>
              <w:t>SS1</w:t>
            </w:r>
          </w:p>
        </w:tc>
        <w:tc>
          <w:tcPr>
            <w:tcW w:w="3398" w:type="dxa"/>
          </w:tcPr>
          <w:p w:rsidR="00E31C2D" w:rsidRPr="00E31C2D" w:rsidRDefault="00E31C2D" w:rsidP="00E31C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275 -330 jobs per annum</w:t>
            </w:r>
          </w:p>
        </w:tc>
        <w:tc>
          <w:tcPr>
            <w:tcW w:w="3398" w:type="dxa"/>
          </w:tcPr>
          <w:p w:rsidR="00E31C2D" w:rsidRPr="00E31C2D" w:rsidRDefault="00B64C0E" w:rsidP="00E31C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Approx. 57,000 jobs in Torbay (2016)</w:t>
            </w:r>
            <w:r>
              <w:rPr>
                <w:rStyle w:val="FootnoteReference"/>
                <w:sz w:val="20"/>
                <w:szCs w:val="20"/>
              </w:rPr>
              <w:footnoteReference w:id="5"/>
            </w:r>
          </w:p>
        </w:tc>
      </w:tr>
      <w:tr w:rsidR="00E31C2D" w:rsidRPr="00E31C2D" w:rsidTr="0086630A">
        <w:tc>
          <w:tcPr>
            <w:cnfStyle w:val="001000000000" w:firstRow="0" w:lastRow="0" w:firstColumn="1" w:lastColumn="0" w:oddVBand="0" w:evenVBand="0" w:oddHBand="0" w:evenHBand="0" w:firstRowFirstColumn="0" w:firstRowLastColumn="0" w:lastRowFirstColumn="0" w:lastRowLastColumn="0"/>
            <w:tcW w:w="3398" w:type="dxa"/>
          </w:tcPr>
          <w:p w:rsidR="00E31C2D" w:rsidRPr="00E31C2D" w:rsidRDefault="00E31C2D" w:rsidP="00E31C2D">
            <w:pPr>
              <w:rPr>
                <w:sz w:val="20"/>
                <w:szCs w:val="20"/>
              </w:rPr>
            </w:pPr>
          </w:p>
        </w:tc>
        <w:tc>
          <w:tcPr>
            <w:tcW w:w="3398" w:type="dxa"/>
          </w:tcPr>
          <w:p w:rsidR="00E31C2D" w:rsidRPr="00E31C2D" w:rsidRDefault="00E31C2D" w:rsidP="00E31C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At least 17ha employment land over plan period (65,000 sq m)</w:t>
            </w:r>
          </w:p>
        </w:tc>
        <w:tc>
          <w:tcPr>
            <w:tcW w:w="3398" w:type="dxa"/>
          </w:tcPr>
          <w:p w:rsidR="00E31C2D" w:rsidRPr="00E31C2D" w:rsidRDefault="00E31C2D" w:rsidP="00E31C2D">
            <w:pPr>
              <w:cnfStyle w:val="000000000000" w:firstRow="0" w:lastRow="0" w:firstColumn="0" w:lastColumn="0" w:oddVBand="0" w:evenVBand="0" w:oddHBand="0" w:evenHBand="0" w:firstRowFirstColumn="0" w:firstRowLastColumn="0" w:lastRowFirstColumn="0" w:lastRowLastColumn="0"/>
              <w:rPr>
                <w:sz w:val="20"/>
                <w:szCs w:val="20"/>
              </w:rPr>
            </w:pPr>
          </w:p>
        </w:tc>
      </w:tr>
    </w:tbl>
    <w:p w:rsidR="00E31C2D" w:rsidRPr="00E31C2D" w:rsidRDefault="00E31C2D" w:rsidP="00E31C2D"/>
    <w:p w:rsidR="00137169" w:rsidRDefault="00137169" w:rsidP="000D58F0">
      <w:pPr>
        <w:pStyle w:val="Heading3"/>
      </w:pPr>
      <w:r>
        <w:t>Projects in the pipeline along with the EPIC mentioned above include a new business park at Claylands Cross, Paignton – a brownfield site due to deliver around 10,200 sq m of high quality employment space, town centre regeneration projects as part of the £130m Town Centre Regeneration Programme (covering va</w:t>
      </w:r>
      <w:r w:rsidR="00516B99">
        <w:t>rious sites in all three towns).</w:t>
      </w:r>
    </w:p>
    <w:p w:rsidR="00915BD9" w:rsidRDefault="00D7170B" w:rsidP="00915BD9">
      <w:pPr>
        <w:pStyle w:val="Heading3"/>
      </w:pPr>
      <w:r>
        <w:t>Annual retail monitoring shows that Torquay town centre</w:t>
      </w:r>
      <w:r w:rsidR="0004590A">
        <w:t xml:space="preserve"> has seen a slight decrease of 2% on last year’s vacancy rate, from 20% to 18%, </w:t>
      </w:r>
      <w:r w:rsidR="0083034B">
        <w:t>a result of national retailers such as Deichmann, Waterstones and Greggs (having opened two stores in the town centre in the past year) opening new stores in Torquay. Vacancy rates in both Paignton and Brixham have only changed by 1% in the past year, Paignton having decreased from 18% to 17%, and Brixham having increased from 10% to 11%.</w:t>
      </w:r>
      <w:r w:rsidR="00915BD9">
        <w:t xml:space="preserve"> K</w:t>
      </w:r>
      <w:r w:rsidR="00A55F44">
        <w:t xml:space="preserve">ey retail sites </w:t>
      </w:r>
      <w:r w:rsidR="00915BD9">
        <w:t xml:space="preserve">have been </w:t>
      </w:r>
      <w:r w:rsidR="00A55F44">
        <w:t xml:space="preserve">identified as in need of investment in the Local </w:t>
      </w:r>
      <w:r w:rsidR="00915BD9">
        <w:t xml:space="preserve">Plan, </w:t>
      </w:r>
      <w:r w:rsidR="00A55F44">
        <w:t>Neighbourhood Plan</w:t>
      </w:r>
      <w:r w:rsidR="00915BD9">
        <w:t>s and the town centre masterplans</w:t>
      </w:r>
      <w:r w:rsidR="00A55F44">
        <w:t xml:space="preserve">. </w:t>
      </w:r>
      <w:r w:rsidR="00915BD9">
        <w:t>Most notable</w:t>
      </w:r>
      <w:r w:rsidR="00A55F44">
        <w:t xml:space="preserve"> sites </w:t>
      </w:r>
      <w:r w:rsidR="00915BD9">
        <w:t xml:space="preserve">are in Paignton and </w:t>
      </w:r>
      <w:r w:rsidR="00A55F44">
        <w:t xml:space="preserve">include Crossways, Victoria Square and the area around the bus and train station.  </w:t>
      </w:r>
    </w:p>
    <w:p w:rsidR="00882271" w:rsidRDefault="00882271" w:rsidP="00882271">
      <w:pPr>
        <w:pStyle w:val="Heading2"/>
      </w:pPr>
      <w:bookmarkStart w:id="67" w:name="_Toc508896061"/>
      <w:r>
        <w:t>Achieve a better connected, accessible Torbay and essential infrastructure</w:t>
      </w:r>
      <w:bookmarkEnd w:id="67"/>
    </w:p>
    <w:p w:rsidR="007243EC" w:rsidRDefault="00E5043F" w:rsidP="00882271">
      <w:pPr>
        <w:pStyle w:val="Heading3"/>
      </w:pPr>
      <w:r>
        <w:t>In line with Policy SS6 ‘Strategic transport improvements’</w:t>
      </w:r>
      <w:r w:rsidR="007243EC">
        <w:t>,</w:t>
      </w:r>
      <w:r>
        <w:t xml:space="preserve"> </w:t>
      </w:r>
      <w:r w:rsidR="00DF221F">
        <w:t xml:space="preserve">Torbay </w:t>
      </w:r>
      <w:r w:rsidR="007243EC">
        <w:t>is investing in improvements to the strategic transport system that enhance the connections between the three towns and ‘open up’ development sites to encourage inward investment.</w:t>
      </w:r>
    </w:p>
    <w:p w:rsidR="00882271" w:rsidRDefault="005E0670" w:rsidP="00882271">
      <w:pPr>
        <w:pStyle w:val="Heading3"/>
      </w:pPr>
      <w:r>
        <w:t xml:space="preserve">Torbay </w:t>
      </w:r>
      <w:r w:rsidR="00DF221F">
        <w:t xml:space="preserve">has greatly benefitted from the opening of the South Devon Highway in </w:t>
      </w:r>
      <w:r w:rsidR="006B75F5">
        <w:t xml:space="preserve">December 2015, reducing journey times and opening up Torbay further to investors. </w:t>
      </w:r>
      <w:r w:rsidR="00E5043F">
        <w:t>2017 saw a brand new Eden Vauxhall motor dealership built and opened at Edginswell Business Park, conveniently located at the Torbay end of the South Devon Highway.</w:t>
      </w:r>
    </w:p>
    <w:p w:rsidR="00E5043F" w:rsidRDefault="00E5043F" w:rsidP="00E5043F">
      <w:pPr>
        <w:pStyle w:val="Heading3"/>
      </w:pPr>
      <w:r>
        <w:t>Other improvements to major routes in Torbay include road widening works on the main route into Paignton (Kings Ash) and to accommodate new development within Future Growth Areas off Brixham Road.</w:t>
      </w:r>
    </w:p>
    <w:p w:rsidR="006912E1" w:rsidRDefault="006912E1" w:rsidP="006912E1">
      <w:pPr>
        <w:pStyle w:val="Heading3"/>
      </w:pPr>
      <w:r>
        <w:t xml:space="preserve">Torbay is committed to facilitating the use of various </w:t>
      </w:r>
      <w:r w:rsidR="001405D7">
        <w:t>modes of sustainable transport, which will prove attractive to both residents and visitors alike.</w:t>
      </w:r>
    </w:p>
    <w:p w:rsidR="006912E1" w:rsidRDefault="006912E1" w:rsidP="006912E1">
      <w:pPr>
        <w:pStyle w:val="Heading3"/>
      </w:pPr>
      <w:r>
        <w:t>A year-round frequent ferry service was set up in December 2014, to provide an alternative route between Brixham and Torquay</w:t>
      </w:r>
      <w:r w:rsidR="001405D7">
        <w:t xml:space="preserve"> for both commuters and pleasure users</w:t>
      </w:r>
      <w:r>
        <w:t>.</w:t>
      </w:r>
    </w:p>
    <w:p w:rsidR="00E5043F" w:rsidRDefault="00D92532" w:rsidP="00882271">
      <w:pPr>
        <w:pStyle w:val="Heading3"/>
      </w:pPr>
      <w:r>
        <w:t xml:space="preserve">The site for a new railway station at </w:t>
      </w:r>
      <w:r w:rsidR="00E5043F">
        <w:t>Edginswell</w:t>
      </w:r>
      <w:r>
        <w:t xml:space="preserve">, Torquay has planning permission but was unsuccessful in a recent funding bid, although partial funding has been secured. The </w:t>
      </w:r>
      <w:r>
        <w:lastRenderedPageBreak/>
        <w:t>project is currently going through Network Rail approval processes in preparation for the next round of funding bids.</w:t>
      </w:r>
    </w:p>
    <w:p w:rsidR="00E5043F" w:rsidRDefault="00D92532" w:rsidP="00FE2426">
      <w:pPr>
        <w:pStyle w:val="Heading3"/>
      </w:pPr>
      <w:r>
        <w:t>We are part of ongoing discussions with Sustrans regarding including Torbay o</w:t>
      </w:r>
      <w:r w:rsidR="006912E1">
        <w:t>n</w:t>
      </w:r>
      <w:r>
        <w:t xml:space="preserve"> the officia</w:t>
      </w:r>
      <w:r w:rsidR="001405D7">
        <w:t xml:space="preserve">l National Cycle Network (NCN) and are working with other organisations on a number of projects to improve the use of the South </w:t>
      </w:r>
      <w:r w:rsidR="00E917DF">
        <w:t>West Coast Path. Both the NCN and SWCP are valuable tourism and recreation assets.</w:t>
      </w:r>
    </w:p>
    <w:p w:rsidR="00AA4945" w:rsidRDefault="00AA4945" w:rsidP="00AA4945">
      <w:pPr>
        <w:pStyle w:val="Heading2"/>
      </w:pPr>
      <w:bookmarkStart w:id="68" w:name="_Toc508896062"/>
      <w:r>
        <w:t>Protect and enhance a superb environment</w:t>
      </w:r>
      <w:bookmarkEnd w:id="68"/>
    </w:p>
    <w:p w:rsidR="0070662D" w:rsidRDefault="0070662D" w:rsidP="00AA4945">
      <w:pPr>
        <w:pStyle w:val="Heading3"/>
      </w:pPr>
      <w:r>
        <w:t xml:space="preserve">Torbay has a natural environment of international importance in terms of its biodiversity, geodiversity and landscape beauty. We have a high concentration of designated conservation sites, including two European Special Areas of Conservation, a National Nature Reserve and </w:t>
      </w:r>
      <w:r w:rsidR="00D500E1">
        <w:t>twelve</w:t>
      </w:r>
      <w:r>
        <w:t xml:space="preserve"> Sites of Special Scientific Interest.</w:t>
      </w:r>
      <w:r w:rsidR="008B5DD5">
        <w:t xml:space="preserve"> The English Riviera is the only urban Global Geopark designated by UNESCO, recognizing Torbay’s varied and internationally significant geology across a range of geological periods.</w:t>
      </w:r>
    </w:p>
    <w:p w:rsidR="006F5B44" w:rsidRDefault="006F5B44" w:rsidP="00CF21B8">
      <w:pPr>
        <w:pStyle w:val="Heading3"/>
      </w:pPr>
      <w:r>
        <w:t>Torbay, with its rich urban heritage contains</w:t>
      </w:r>
      <w:r w:rsidR="00242EB2">
        <w:t xml:space="preserve"> 6 Grade I Listed Buildings, 29 Grade II* Listed Buildings and</w:t>
      </w:r>
      <w:r>
        <w:t xml:space="preserve"> 24 designated Conservation Areas</w:t>
      </w:r>
      <w:r w:rsidR="00242EB2">
        <w:t xml:space="preserve">. There are currently 10 entries on the </w:t>
      </w:r>
      <w:hyperlink r:id="rId29" w:history="1">
        <w:r w:rsidR="00242EB2" w:rsidRPr="00242EB2">
          <w:rPr>
            <w:rStyle w:val="Hyperlink"/>
          </w:rPr>
          <w:t>Heritage at Risk register (2016)</w:t>
        </w:r>
      </w:hyperlink>
      <w:r w:rsidR="00242EB2">
        <w:t xml:space="preserve"> </w:t>
      </w:r>
    </w:p>
    <w:p w:rsidR="00F02BFB" w:rsidRDefault="00F02BFB" w:rsidP="00F02BFB">
      <w:pPr>
        <w:pStyle w:val="Heading3"/>
      </w:pPr>
      <w:r>
        <w:t>There are two declared Air Quality Management Areas (AQMAs) in Torbay – Hele Road, Torquay and New Road in Brixham, declared in 2005 and 2006 respectively. Works are ongoing to alleviate emissions in these areas.</w:t>
      </w:r>
    </w:p>
    <w:p w:rsidR="00FA03DC" w:rsidRPr="00FA03DC" w:rsidRDefault="00F02BFB" w:rsidP="00FA03DC">
      <w:pPr>
        <w:pStyle w:val="Heading3"/>
      </w:pPr>
      <w:r>
        <w:t xml:space="preserve">Appropriate and most effective use of land is important in Torbay </w:t>
      </w:r>
      <w:r w:rsidR="00ED024F">
        <w:t>because of</w:t>
      </w:r>
      <w:r>
        <w:t xml:space="preserve"> the limited amount of land available for development, due to environmental constraints. Historically, Torbay has been good at re-using brownfield land. This will continue as </w:t>
      </w:r>
      <w:r w:rsidR="00ED024F">
        <w:t xml:space="preserve">land is (re)developed as </w:t>
      </w:r>
      <w:r>
        <w:t>part of the town centre regeneration programmes</w:t>
      </w:r>
      <w:r w:rsidR="00ED024F">
        <w:t>/masterplans</w:t>
      </w:r>
      <w:r>
        <w:t xml:space="preserve"> and </w:t>
      </w:r>
      <w:r w:rsidR="0015634D">
        <w:t xml:space="preserve">site allocations in </w:t>
      </w:r>
      <w:r w:rsidR="00FE2426">
        <w:t xml:space="preserve">emerging </w:t>
      </w:r>
      <w:r w:rsidR="0015634D">
        <w:t xml:space="preserve">neighbourhood plans. </w:t>
      </w:r>
    </w:p>
    <w:p w:rsidR="00FA03DC" w:rsidRPr="00FA03DC" w:rsidRDefault="00D15F47" w:rsidP="00FE2426">
      <w:pPr>
        <w:pStyle w:val="Heading3"/>
      </w:pPr>
      <w:r>
        <w:t xml:space="preserve">In the monitoring year 16/17, 63% of the total units built were on brownfield land. </w:t>
      </w:r>
      <w:r w:rsidR="00826358">
        <w:t xml:space="preserve">This is the lowest percentage since the beginning of the current plan period, although the proportions have </w:t>
      </w:r>
      <w:r w:rsidR="00FA03DC">
        <w:t xml:space="preserve">been quite consistent </w:t>
      </w:r>
      <w:r w:rsidR="00826358">
        <w:t>(graph below shows the highest proportion was 75% in 14/15). The average over the past 5 years is 70% on brownfield land.</w:t>
      </w:r>
      <w:r w:rsidR="00FA03DC">
        <w:rPr>
          <w:noProof/>
          <w:lang w:val="en-GB" w:eastAsia="en-GB" w:bidi="ar-SA"/>
        </w:rPr>
        <w:drawing>
          <wp:inline distT="0" distB="0" distL="0" distR="0">
            <wp:extent cx="5143500" cy="27813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2426" w:rsidRDefault="00FE2426" w:rsidP="00FE2426">
      <w:pPr>
        <w:pStyle w:val="Heading3"/>
      </w:pPr>
      <w:r>
        <w:lastRenderedPageBreak/>
        <w:t>This proportion is still relatively high considering a number of greenfield sites to the west of Paignton, and Scotts Meadow (also known as Primrose Hill) in Torquay are currently under construction.</w:t>
      </w:r>
    </w:p>
    <w:p w:rsidR="00FE2426" w:rsidRDefault="00FE2426" w:rsidP="00B33C14">
      <w:pPr>
        <w:pStyle w:val="Heading3"/>
      </w:pPr>
      <w:r>
        <w:t xml:space="preserve">The Council has published a Brownfield Register in accordance with legislation. It can be viewed via </w:t>
      </w:r>
      <w:hyperlink r:id="rId31" w:history="1">
        <w:r w:rsidRPr="00930CD5">
          <w:rPr>
            <w:rStyle w:val="Hyperlink"/>
          </w:rPr>
          <w:t>www.torbay.gov.uk/brownfield-register</w:t>
        </w:r>
      </w:hyperlink>
      <w:r>
        <w:t xml:space="preserve">. </w:t>
      </w:r>
    </w:p>
    <w:p w:rsidR="00FE2426" w:rsidRDefault="00FE2426" w:rsidP="00FE2426">
      <w:pPr>
        <w:pStyle w:val="Heading2"/>
      </w:pPr>
      <w:bookmarkStart w:id="69" w:name="_Toc508896063"/>
      <w:r>
        <w:t>Create more sustainable communities and better places</w:t>
      </w:r>
      <w:bookmarkEnd w:id="69"/>
    </w:p>
    <w:p w:rsidR="00FE2426" w:rsidRDefault="00693A5B" w:rsidP="00FE2426">
      <w:pPr>
        <w:pStyle w:val="Heading3"/>
      </w:pPr>
      <w:r>
        <w:t>Alongside policies in the Local Plan, policies within the three emerging Neighbourhood Plans (which cover the whole of Torbay - see section 2.5) ultimately aim to create sustainable communities and better places.</w:t>
      </w:r>
    </w:p>
    <w:p w:rsidR="00FE2426" w:rsidRDefault="006E380E" w:rsidP="00FE2426">
      <w:pPr>
        <w:pStyle w:val="Heading3"/>
      </w:pPr>
      <w:r>
        <w:t xml:space="preserve">In order to achieve this, regeneration and development is key. The Local Plan is a strategy for growth and this is evidenced through the targets and aspirations in the Plan. </w:t>
      </w:r>
      <w:r w:rsidR="00693A5B">
        <w:t xml:space="preserve"> </w:t>
      </w:r>
    </w:p>
    <w:p w:rsidR="0068397E" w:rsidRPr="0068397E" w:rsidRDefault="006E380E" w:rsidP="0068397E">
      <w:pPr>
        <w:pStyle w:val="Heading3"/>
      </w:pPr>
      <w:r>
        <w:t xml:space="preserve">Housing is the catalyst to unlocking sites and providing communities in which people want to live. </w:t>
      </w:r>
      <w:r w:rsidR="0068397E">
        <w:t>Average house prices in Torbay are slowly increasing, at £185,961 in December 2016, compared to £181,506 in December 2015 (</w:t>
      </w:r>
      <w:hyperlink r:id="rId32" w:history="1">
        <w:r w:rsidR="0068397E" w:rsidRPr="0068397E">
          <w:rPr>
            <w:rStyle w:val="Hyperlink"/>
          </w:rPr>
          <w:t>UK House Price Index</w:t>
        </w:r>
      </w:hyperlink>
      <w:r w:rsidR="0068397E">
        <w:t>).</w:t>
      </w:r>
    </w:p>
    <w:p w:rsidR="00AC7FD3" w:rsidRPr="00AC7FD3" w:rsidRDefault="0068397E" w:rsidP="00C340FC">
      <w:pPr>
        <w:pStyle w:val="Heading3"/>
      </w:pPr>
      <w:r>
        <w:t xml:space="preserve">As at April 2017, there were 1848 households on the </w:t>
      </w:r>
      <w:hyperlink r:id="rId33" w:history="1">
        <w:r w:rsidRPr="00AC7FD3">
          <w:rPr>
            <w:rStyle w:val="Hyperlink"/>
          </w:rPr>
          <w:t>Devon Home Choice</w:t>
        </w:r>
      </w:hyperlink>
      <w:r>
        <w:t xml:space="preserve"> register in housing need (bands A to D), with the majority of those being in band D (56%) and requiring a </w:t>
      </w:r>
      <w:r w:rsidR="00AC7FD3">
        <w:t>one bedroom property (also 56% of the total). Affordable housing completions in Torbay in 2016/17 were 42 units, compared to 46 units in 2015/16.</w:t>
      </w:r>
      <w:r w:rsidR="00547FF3">
        <w:t xml:space="preserve"> Policy H2 ‘Affordable housing’ refers. It seeks affordable housing on a sliding scale, up to 30% o</w:t>
      </w:r>
      <w:r w:rsidR="00E41CB8">
        <w:t>f dwellings on qualifying sites, with a strong presumption in favour of on-site delivery for sites of 15 or more.</w:t>
      </w:r>
    </w:p>
    <w:p w:rsidR="00785B72" w:rsidRPr="00785B72" w:rsidRDefault="00785B72" w:rsidP="00785B72">
      <w:pPr>
        <w:pStyle w:val="Heading3"/>
      </w:pPr>
      <w:r>
        <w:rPr>
          <w:rFonts w:cs="Arial"/>
        </w:rPr>
        <w:t>L</w:t>
      </w:r>
      <w:r w:rsidRPr="00785B72">
        <w:rPr>
          <w:rFonts w:cs="Arial"/>
        </w:rPr>
        <w:t>ocal Plan Pol</w:t>
      </w:r>
      <w:r w:rsidR="00314485">
        <w:rPr>
          <w:rFonts w:cs="Arial"/>
        </w:rPr>
        <w:t>icies</w:t>
      </w:r>
      <w:r w:rsidRPr="00785B72">
        <w:rPr>
          <w:rFonts w:cs="Arial"/>
        </w:rPr>
        <w:t xml:space="preserve"> SS12 ‘Housing’ and Policy SS13 ‘Five year land supply’ refer. </w:t>
      </w:r>
      <w:r w:rsidR="00314485">
        <w:rPr>
          <w:rFonts w:cs="Arial"/>
        </w:rPr>
        <w:t>SS13 sets out a</w:t>
      </w:r>
      <w:r w:rsidRPr="00785B72">
        <w:rPr>
          <w:rFonts w:cs="Arial"/>
        </w:rPr>
        <w:t xml:space="preserve"> housing trajectory of 8,900 dwellings over the Plan period 2012-2030 (including an allowance for windfall sites) </w:t>
      </w:r>
      <w:r w:rsidR="00314485">
        <w:rPr>
          <w:rFonts w:cs="Arial"/>
        </w:rPr>
        <w:t>a</w:t>
      </w:r>
      <w:r w:rsidRPr="00785B72">
        <w:rPr>
          <w:rFonts w:cs="Arial"/>
        </w:rPr>
        <w:t>s set out below;</w:t>
      </w:r>
    </w:p>
    <w:p w:rsidR="00785B72" w:rsidRPr="0086630A" w:rsidRDefault="00785B72" w:rsidP="00785B72">
      <w:pPr>
        <w:ind w:hanging="11"/>
        <w:rPr>
          <w:rFonts w:cs="Arial"/>
          <w:color w:val="4D4D4D"/>
        </w:rPr>
      </w:pPr>
      <w:r>
        <w:rPr>
          <w:rFonts w:cs="Arial"/>
        </w:rPr>
        <w:tab/>
      </w:r>
      <w:r>
        <w:rPr>
          <w:rFonts w:cs="Arial"/>
        </w:rPr>
        <w:tab/>
      </w:r>
      <w:r w:rsidR="00314485">
        <w:rPr>
          <w:rFonts w:cs="Arial"/>
        </w:rPr>
        <w:tab/>
      </w:r>
      <w:r w:rsidRPr="0086630A">
        <w:rPr>
          <w:rFonts w:cs="Arial"/>
          <w:color w:val="4D4D4D"/>
        </w:rPr>
        <w:t>400 dwellings per year for the period 2012/13 – 2016/17</w:t>
      </w:r>
    </w:p>
    <w:p w:rsidR="00785B72" w:rsidRPr="0086630A" w:rsidRDefault="00785B72" w:rsidP="00785B72">
      <w:pPr>
        <w:ind w:hanging="11"/>
        <w:rPr>
          <w:rFonts w:cs="Arial"/>
          <w:color w:val="4D4D4D"/>
        </w:rPr>
      </w:pPr>
      <w:r w:rsidRPr="0086630A">
        <w:rPr>
          <w:rFonts w:cs="Arial"/>
          <w:color w:val="4D4D4D"/>
        </w:rPr>
        <w:tab/>
      </w:r>
      <w:r w:rsidRPr="0086630A">
        <w:rPr>
          <w:rFonts w:cs="Arial"/>
          <w:color w:val="4D4D4D"/>
        </w:rPr>
        <w:tab/>
      </w:r>
      <w:r w:rsidR="00314485" w:rsidRPr="0086630A">
        <w:rPr>
          <w:rFonts w:cs="Arial"/>
          <w:color w:val="4D4D4D"/>
        </w:rPr>
        <w:tab/>
      </w:r>
      <w:r w:rsidRPr="0086630A">
        <w:rPr>
          <w:rFonts w:cs="Arial"/>
          <w:color w:val="4D4D4D"/>
        </w:rPr>
        <w:t>495 dwellings per year for the period 2017/18 – 2021/22</w:t>
      </w:r>
    </w:p>
    <w:p w:rsidR="00785B72" w:rsidRPr="0086630A" w:rsidRDefault="00785B72" w:rsidP="00785B72">
      <w:pPr>
        <w:ind w:hanging="11"/>
        <w:rPr>
          <w:rFonts w:cs="Arial"/>
          <w:color w:val="4D4D4D"/>
        </w:rPr>
      </w:pPr>
      <w:r w:rsidRPr="0086630A">
        <w:rPr>
          <w:rFonts w:cs="Arial"/>
          <w:color w:val="4D4D4D"/>
        </w:rPr>
        <w:tab/>
      </w:r>
      <w:r w:rsidRPr="0086630A">
        <w:rPr>
          <w:rFonts w:cs="Arial"/>
          <w:color w:val="4D4D4D"/>
        </w:rPr>
        <w:tab/>
      </w:r>
      <w:r w:rsidR="00314485" w:rsidRPr="0086630A">
        <w:rPr>
          <w:rFonts w:cs="Arial"/>
          <w:color w:val="4D4D4D"/>
        </w:rPr>
        <w:tab/>
      </w:r>
      <w:r w:rsidRPr="0086630A">
        <w:rPr>
          <w:rFonts w:cs="Arial"/>
          <w:color w:val="4D4D4D"/>
        </w:rPr>
        <w:t xml:space="preserve">555 dwellings per year for the period 2022/23 – 2029/30 </w:t>
      </w:r>
    </w:p>
    <w:p w:rsidR="00E23360" w:rsidRDefault="00E23360" w:rsidP="00E23360">
      <w:pPr>
        <w:pStyle w:val="Heading3"/>
      </w:pPr>
      <w:r w:rsidRPr="00E23360">
        <w:t>During the first five years of the plan period (2012/13 - 2016/17), 1778 units were completed. This is an undersupply of 222 units on the five-year target of 2000. This undersupply is only 11% on the five-year target</w:t>
      </w:r>
      <w:r>
        <w:t>.</w:t>
      </w:r>
      <w:r w:rsidR="008A4B99">
        <w:t xml:space="preserve"> Annual completi</w:t>
      </w:r>
      <w:r w:rsidR="0086630A">
        <w:t>ons are shown in the graph over the page</w:t>
      </w:r>
      <w:r w:rsidR="008A4B99">
        <w:t>.</w:t>
      </w:r>
    </w:p>
    <w:p w:rsidR="002743E5" w:rsidRDefault="00E23360" w:rsidP="00E23360">
      <w:pPr>
        <w:pStyle w:val="Heading3"/>
      </w:pPr>
      <w:r>
        <w:t>From year 6 of the plan period (the next monitoring year)</w:t>
      </w:r>
      <w:r w:rsidRPr="00E23360">
        <w:t>,</w:t>
      </w:r>
      <w:r>
        <w:t xml:space="preserve"> as identified above, the target increases to 495 dwellings per year for the subsequent five year period. </w:t>
      </w:r>
      <w:r w:rsidR="002743E5">
        <w:t xml:space="preserve">When a 5% buffer is applied (in accordance with NPPF para 47), this becomes 520 units per year. Once the undersupply of 222 units is then added, a five year supply requirement of 2822 units (564 per year annualised over the next five years) is reached. </w:t>
      </w:r>
      <w:r w:rsidR="002743E5" w:rsidRPr="002743E5">
        <w:rPr>
          <w:b/>
        </w:rPr>
        <w:t>At 2017, the five year housing land supply is 2</w:t>
      </w:r>
      <w:r w:rsidR="00402D6B">
        <w:rPr>
          <w:b/>
        </w:rPr>
        <w:t>36</w:t>
      </w:r>
      <w:r w:rsidR="002743E5" w:rsidRPr="002743E5">
        <w:rPr>
          <w:b/>
        </w:rPr>
        <w:t>2 units against a target of 2822 units, which equates to</w:t>
      </w:r>
      <w:r w:rsidR="00402D6B">
        <w:rPr>
          <w:b/>
        </w:rPr>
        <w:t xml:space="preserve"> 4.19</w:t>
      </w:r>
      <w:r w:rsidR="002743E5" w:rsidRPr="002743E5">
        <w:rPr>
          <w:b/>
        </w:rPr>
        <w:t xml:space="preserve"> years’ worth of deliverable sites.</w:t>
      </w:r>
      <w:r>
        <w:t xml:space="preserve"> </w:t>
      </w:r>
    </w:p>
    <w:tbl>
      <w:tblPr>
        <w:tblStyle w:val="TableGrid"/>
        <w:tblW w:w="0" w:type="auto"/>
        <w:tblInd w:w="1288" w:type="dxa"/>
        <w:tblBorders>
          <w:top w:val="double" w:sz="4" w:space="0" w:color="B357D5"/>
          <w:left w:val="double" w:sz="4" w:space="0" w:color="B357D5"/>
          <w:bottom w:val="none" w:sz="0" w:space="0" w:color="auto"/>
          <w:right w:val="double" w:sz="4" w:space="0" w:color="B357D5"/>
          <w:insideH w:val="double" w:sz="4" w:space="0" w:color="B357D5"/>
          <w:insideV w:val="double" w:sz="4" w:space="0" w:color="B357D5"/>
        </w:tblBorders>
        <w:tblLook w:val="04A0" w:firstRow="1" w:lastRow="0" w:firstColumn="1" w:lastColumn="0" w:noHBand="0" w:noVBand="1"/>
      </w:tblPr>
      <w:tblGrid>
        <w:gridCol w:w="2954"/>
        <w:gridCol w:w="5932"/>
      </w:tblGrid>
      <w:tr w:rsidR="002743E5" w:rsidTr="002743E5">
        <w:trPr>
          <w:trHeight w:val="311"/>
        </w:trPr>
        <w:tc>
          <w:tcPr>
            <w:tcW w:w="2960" w:type="dxa"/>
            <w:tcBorders>
              <w:bottom w:val="double" w:sz="4" w:space="0" w:color="B357D5"/>
            </w:tcBorders>
            <w:vAlign w:val="center"/>
          </w:tcPr>
          <w:p w:rsidR="002743E5" w:rsidRDefault="002743E5" w:rsidP="002743E5">
            <w:pPr>
              <w:pStyle w:val="Heading3"/>
              <w:numPr>
                <w:ilvl w:val="0"/>
                <w:numId w:val="0"/>
              </w:numPr>
              <w:spacing w:after="120"/>
              <w:outlineLvl w:val="2"/>
            </w:pPr>
            <w:r>
              <w:lastRenderedPageBreak/>
              <w:t>Five year supply calculation</w:t>
            </w:r>
          </w:p>
        </w:tc>
        <w:tc>
          <w:tcPr>
            <w:tcW w:w="5946" w:type="dxa"/>
            <w:tcBorders>
              <w:bottom w:val="double" w:sz="4" w:space="0" w:color="B357D5"/>
            </w:tcBorders>
            <w:vAlign w:val="center"/>
          </w:tcPr>
          <w:p w:rsidR="002743E5" w:rsidRDefault="00402D6B" w:rsidP="002743E5">
            <w:pPr>
              <w:pStyle w:val="Heading3"/>
              <w:numPr>
                <w:ilvl w:val="0"/>
                <w:numId w:val="0"/>
              </w:numPr>
              <w:spacing w:after="120"/>
              <w:outlineLvl w:val="2"/>
            </w:pPr>
            <w:r>
              <w:t>2</w:t>
            </w:r>
            <w:r w:rsidR="002743E5">
              <w:t>3</w:t>
            </w:r>
            <w:r>
              <w:t>6</w:t>
            </w:r>
            <w:r w:rsidR="002743E5">
              <w:t xml:space="preserve">2 / 564 (target </w:t>
            </w:r>
            <w:r>
              <w:t>+ annualized undersupply) = 4.19</w:t>
            </w:r>
          </w:p>
        </w:tc>
      </w:tr>
    </w:tbl>
    <w:p w:rsidR="00EA5C06" w:rsidRPr="00EA5C06" w:rsidRDefault="00A05B91" w:rsidP="00EA5C06">
      <w:pPr>
        <w:pStyle w:val="Heading3"/>
        <w:numPr>
          <w:ilvl w:val="0"/>
          <w:numId w:val="0"/>
        </w:numPr>
        <w:ind w:left="1288"/>
      </w:pPr>
      <w:r>
        <w:rPr>
          <w:noProof/>
          <w:lang w:val="en-GB" w:eastAsia="en-GB" w:bidi="ar-SA"/>
        </w:rPr>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4572000" cy="274320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23360" w:rsidRPr="00EA5C06" w:rsidRDefault="008A4B99" w:rsidP="00E23360">
      <w:pPr>
        <w:pStyle w:val="Heading3"/>
        <w:rPr>
          <w:i/>
        </w:rPr>
      </w:pPr>
      <w:r>
        <w:t xml:space="preserve">Further detail on the five year supply can be viewed at </w:t>
      </w:r>
      <w:hyperlink r:id="rId35" w:history="1">
        <w:r w:rsidRPr="00874F5D">
          <w:rPr>
            <w:rStyle w:val="Hyperlink"/>
          </w:rPr>
          <w:t>www.torbay.gov.uk/evidence-base-and-monitoring</w:t>
        </w:r>
      </w:hyperlink>
      <w:r w:rsidR="00EA5C06">
        <w:t xml:space="preserve">. </w:t>
      </w:r>
      <w:r w:rsidR="00EA5C06" w:rsidRPr="00EA5C06">
        <w:rPr>
          <w:i/>
        </w:rPr>
        <w:t xml:space="preserve">Please note that the five year supply assessment </w:t>
      </w:r>
      <w:r w:rsidR="00402D6B">
        <w:rPr>
          <w:i/>
        </w:rPr>
        <w:t>w</w:t>
      </w:r>
      <w:r w:rsidR="00EA5C06" w:rsidRPr="00EA5C06">
        <w:rPr>
          <w:i/>
        </w:rPr>
        <w:t xml:space="preserve">as challenged and therefore was published as a draft for a technical consultation. </w:t>
      </w:r>
      <w:r w:rsidR="00402D6B">
        <w:rPr>
          <w:i/>
        </w:rPr>
        <w:t>The figure above is the final, post-consultation figure having taken into account responses to the consultation.</w:t>
      </w:r>
    </w:p>
    <w:p w:rsidR="00555B95" w:rsidRDefault="00555B95" w:rsidP="00555B95">
      <w:pPr>
        <w:pStyle w:val="Heading2"/>
      </w:pPr>
      <w:bookmarkStart w:id="70" w:name="_Toc508896064"/>
      <w:r>
        <w:t>Respond to climate change</w:t>
      </w:r>
      <w:bookmarkEnd w:id="70"/>
    </w:p>
    <w:p w:rsidR="00555B95" w:rsidRDefault="002E4672" w:rsidP="00555B95">
      <w:pPr>
        <w:pStyle w:val="Heading3"/>
      </w:pPr>
      <w:r>
        <w:t xml:space="preserve">Tackling climate change is central to achieving sustainable development. </w:t>
      </w:r>
      <w:r w:rsidR="00A122C2">
        <w:t>The Local Plan recognises the opportunity for mitigating and adapting to climate change locally through opportunities including renewable energy provision</w:t>
      </w:r>
      <w:r w:rsidR="009D2383">
        <w:t xml:space="preserve"> (policy ES2)</w:t>
      </w:r>
      <w:r w:rsidR="00A122C2">
        <w:t>, local food production</w:t>
      </w:r>
      <w:r w:rsidR="009D2383">
        <w:t xml:space="preserve"> (policy SC4)</w:t>
      </w:r>
      <w:r w:rsidR="00A122C2">
        <w:t>, an enhanced eco-tourism offer and wise use of water in new development</w:t>
      </w:r>
      <w:r w:rsidR="009D2383">
        <w:t xml:space="preserve"> (policy ER2)</w:t>
      </w:r>
      <w:r w:rsidR="00A122C2">
        <w:t xml:space="preserve">. </w:t>
      </w:r>
    </w:p>
    <w:p w:rsidR="00555B95" w:rsidRDefault="00EC0648" w:rsidP="00555B95">
      <w:pPr>
        <w:pStyle w:val="Heading3"/>
      </w:pPr>
      <w:r>
        <w:t>In the monitoring period 16/17, only 2 planning permissions were granted contrary to Environment Agency advice on flood risk grounds, and none contrary to advice on water quality grounds.</w:t>
      </w:r>
    </w:p>
    <w:p w:rsidR="00FE2426" w:rsidRDefault="00FE2426" w:rsidP="00555B95">
      <w:pPr>
        <w:pStyle w:val="Heading3"/>
        <w:numPr>
          <w:ilvl w:val="0"/>
          <w:numId w:val="0"/>
        </w:numPr>
        <w:ind w:left="1288"/>
      </w:pPr>
    </w:p>
    <w:p w:rsidR="00FE2426" w:rsidRPr="00FE2426" w:rsidRDefault="00FE2426" w:rsidP="00FE2426"/>
    <w:p w:rsidR="001A365C" w:rsidRPr="001A365C" w:rsidRDefault="001A365C" w:rsidP="001A365C"/>
    <w:p w:rsidR="000D58F0" w:rsidRPr="000D58F0" w:rsidRDefault="000D58F0" w:rsidP="000D58F0"/>
    <w:p w:rsidR="00855855" w:rsidRDefault="00855855" w:rsidP="00855855">
      <w:pPr>
        <w:pStyle w:val="Heading3"/>
        <w:numPr>
          <w:ilvl w:val="0"/>
          <w:numId w:val="0"/>
        </w:numPr>
        <w:ind w:left="1004"/>
      </w:pPr>
    </w:p>
    <w:p w:rsidR="00855855" w:rsidRPr="00855855" w:rsidRDefault="00855855" w:rsidP="00855855"/>
    <w:p w:rsidR="00E5715A" w:rsidRDefault="00B60CF8" w:rsidP="00802D71">
      <w:pPr>
        <w:pStyle w:val="Heading3"/>
      </w:pPr>
      <w:r>
        <w:br w:type="page"/>
      </w:r>
    </w:p>
    <w:p w:rsidR="00EF44AC" w:rsidRPr="0086630A" w:rsidRDefault="00A05B91" w:rsidP="0090676C">
      <w:pPr>
        <w:pStyle w:val="Heading1"/>
        <w:rPr>
          <w:color w:val="7030A0"/>
        </w:rPr>
      </w:pPr>
      <w:bookmarkStart w:id="71" w:name="_Toc508896065"/>
      <w:r w:rsidRPr="0086630A">
        <w:rPr>
          <w:color w:val="7030A0"/>
        </w:rPr>
        <w:lastRenderedPageBreak/>
        <w:t>WORK PROGRAMME &amp; SUMMARY</w:t>
      </w:r>
      <w:bookmarkEnd w:id="71"/>
    </w:p>
    <w:p w:rsidR="0090676C" w:rsidRDefault="00A05B91" w:rsidP="0090676C">
      <w:pPr>
        <w:pStyle w:val="Heading2"/>
      </w:pPr>
      <w:bookmarkStart w:id="72" w:name="_Toc508896066"/>
      <w:r>
        <w:t>Aims and objectives</w:t>
      </w:r>
      <w:bookmarkEnd w:id="72"/>
    </w:p>
    <w:p w:rsidR="00A05B91" w:rsidRDefault="00A05B91" w:rsidP="0090676C">
      <w:pPr>
        <w:pStyle w:val="Heading3"/>
      </w:pPr>
      <w:bookmarkStart w:id="73" w:name="_Toc460489609"/>
      <w:r>
        <w:t>The aim of future AMRs is to continue to monitor progress in preparing and implementing the LDS (consisting of annual reviews of delivery, preparation for the Local Plan five year review due in 2020, and neighbourhood plans) and to report on those issues of relevance. It will be made available online as soon as it is available.</w:t>
      </w:r>
    </w:p>
    <w:p w:rsidR="00B16471" w:rsidRDefault="00B16471" w:rsidP="0090676C">
      <w:pPr>
        <w:pStyle w:val="Heading3"/>
      </w:pPr>
      <w:r>
        <w:t>Work will commence on annual land use monitoring in April 2018, reporting on the financial year 2017/18. Collection of data for the AMR will occur in parallel with this process.</w:t>
      </w:r>
    </w:p>
    <w:p w:rsidR="0090676C" w:rsidRPr="00847F1D" w:rsidRDefault="00B16471" w:rsidP="00847F1D">
      <w:pPr>
        <w:pStyle w:val="Heading2"/>
      </w:pPr>
      <w:bookmarkStart w:id="74" w:name="_Toc508896067"/>
      <w:bookmarkEnd w:id="73"/>
      <w:r>
        <w:t>Implications and resourcing</w:t>
      </w:r>
      <w:bookmarkEnd w:id="74"/>
    </w:p>
    <w:p w:rsidR="00B16471" w:rsidRPr="001778E5" w:rsidRDefault="00B16471" w:rsidP="0090676C">
      <w:pPr>
        <w:pStyle w:val="Heading3"/>
      </w:pPr>
      <w:bookmarkStart w:id="75" w:name="_Toc460489611"/>
      <w:r w:rsidRPr="001778E5">
        <w:t xml:space="preserve">The Strategy and Project Delivery team does not have an officer with specific responsibility for the monitoring function of the group, therefore a reduced programme of monitoring work is undertaken by a Planning Officer, alongside other policy work. </w:t>
      </w:r>
    </w:p>
    <w:p w:rsidR="00B16471" w:rsidRPr="001778E5" w:rsidRDefault="00B16471" w:rsidP="0090676C">
      <w:pPr>
        <w:pStyle w:val="Heading3"/>
      </w:pPr>
      <w:r w:rsidRPr="001778E5">
        <w:t>Officers within the team have also had significant involvement in assisting neighbourhood forums in the preparation of their neighbourhood plans, alongside other day-to-day policy work covering strategic planning, transport, environmental policy and sustainability appraisal and habitats regulations assessment.</w:t>
      </w:r>
    </w:p>
    <w:p w:rsidR="00B16471" w:rsidRPr="001778E5" w:rsidRDefault="00B16471" w:rsidP="0090676C">
      <w:pPr>
        <w:pStyle w:val="Heading3"/>
      </w:pPr>
      <w:r w:rsidRPr="001778E5">
        <w:t>Managing this growing workload with reduced staffing levels has presented significant challenges for the prioritization of work and deployment of resources.</w:t>
      </w:r>
    </w:p>
    <w:p w:rsidR="00847F1D" w:rsidRDefault="008875B7" w:rsidP="00847F1D">
      <w:pPr>
        <w:pStyle w:val="Heading2"/>
      </w:pPr>
      <w:bookmarkStart w:id="76" w:name="_Toc508896068"/>
      <w:bookmarkEnd w:id="75"/>
      <w:r>
        <w:t>Summary of the 2017 AMR</w:t>
      </w:r>
      <w:bookmarkEnd w:id="76"/>
    </w:p>
    <w:p w:rsidR="008875B7" w:rsidRDefault="008875B7" w:rsidP="00847F1D">
      <w:pPr>
        <w:pStyle w:val="Heading3"/>
      </w:pPr>
      <w:r>
        <w:t xml:space="preserve">The period since the last AMR nevertheless highlights good progress made by the Team in </w:t>
      </w:r>
      <w:r w:rsidR="006218E6">
        <w:t>preparing SPDs (Healthy Torbay, Planning Contributions and Affordable Housing and south Hams SAC), publishing, adopting and implementing CIL and completing numerous monitoring returns (Housing Flows Reconciliation, Self Build Return, DELTA return, Brownfield Register etc). at the same time, considerable time has been invested in supporting communities in bringing forward three neighbourhood plans.</w:t>
      </w:r>
    </w:p>
    <w:sectPr w:rsidR="008875B7" w:rsidSect="00615EEA">
      <w:headerReference w:type="default" r:id="rId36"/>
      <w:footerReference w:type="default" r:id="rId37"/>
      <w:endnotePr>
        <w:numFmt w:val="decimal"/>
      </w:endnotePr>
      <w:pgSz w:w="11906" w:h="16838" w:code="9"/>
      <w:pgMar w:top="851" w:right="851" w:bottom="1418"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DC3" w:rsidRDefault="00830DC3" w:rsidP="0038010E">
      <w:pPr>
        <w:spacing w:after="0" w:line="240" w:lineRule="auto"/>
      </w:pPr>
      <w:r>
        <w:separator/>
      </w:r>
    </w:p>
  </w:endnote>
  <w:endnote w:type="continuationSeparator" w:id="0">
    <w:p w:rsidR="00830DC3" w:rsidRDefault="00830DC3" w:rsidP="0038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721 BT">
    <w:altName w:val="Arial"/>
    <w:charset w:val="00"/>
    <w:family w:val="swiss"/>
    <w:pitch w:val="variable"/>
    <w:sig w:usb0="00000087" w:usb1="00000000" w:usb2="00000000" w:usb3="00000000" w:csb0="0000001B"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929"/>
    </w:tblGrid>
    <w:tr w:rsidR="00B64C0E" w:rsidRPr="00B64C0E" w:rsidTr="0049492D">
      <w:trPr>
        <w:trHeight w:val="567"/>
      </w:trPr>
      <w:tc>
        <w:tcPr>
          <w:tcW w:w="2978" w:type="dxa"/>
          <w:shd w:val="clear" w:color="auto" w:fill="000000" w:themeFill="text1"/>
          <w:vAlign w:val="center"/>
        </w:tcPr>
        <w:p w:rsidR="0068397E" w:rsidRPr="00B64C0E" w:rsidRDefault="0068397E" w:rsidP="0049492D">
          <w:pPr>
            <w:pStyle w:val="Footer"/>
            <w:ind w:left="851"/>
            <w:rPr>
              <w:b/>
              <w:color w:val="7030A0"/>
              <w:sz w:val="20"/>
            </w:rPr>
          </w:pPr>
          <w:r w:rsidRPr="00B64C0E">
            <w:rPr>
              <w:b/>
              <w:color w:val="7030A0"/>
              <w:sz w:val="20"/>
            </w:rPr>
            <w:t xml:space="preserve">PAGE </w:t>
          </w:r>
          <w:r w:rsidR="004924E1" w:rsidRPr="00B64C0E">
            <w:rPr>
              <w:b/>
              <w:color w:val="7030A0"/>
              <w:sz w:val="20"/>
            </w:rPr>
            <w:fldChar w:fldCharType="begin"/>
          </w:r>
          <w:r w:rsidRPr="00B64C0E">
            <w:rPr>
              <w:b/>
              <w:color w:val="7030A0"/>
              <w:sz w:val="20"/>
            </w:rPr>
            <w:instrText xml:space="preserve"> PAGE   \* MERGEFORMAT </w:instrText>
          </w:r>
          <w:r w:rsidR="004924E1" w:rsidRPr="00B64C0E">
            <w:rPr>
              <w:b/>
              <w:color w:val="7030A0"/>
              <w:sz w:val="20"/>
            </w:rPr>
            <w:fldChar w:fldCharType="separate"/>
          </w:r>
          <w:r w:rsidR="0037142A">
            <w:rPr>
              <w:b/>
              <w:noProof/>
              <w:color w:val="7030A0"/>
              <w:sz w:val="20"/>
            </w:rPr>
            <w:t>20</w:t>
          </w:r>
          <w:r w:rsidR="004924E1" w:rsidRPr="00B64C0E">
            <w:rPr>
              <w:b/>
              <w:color w:val="7030A0"/>
              <w:sz w:val="20"/>
            </w:rPr>
            <w:fldChar w:fldCharType="end"/>
          </w:r>
        </w:p>
      </w:tc>
      <w:tc>
        <w:tcPr>
          <w:tcW w:w="8929" w:type="dxa"/>
          <w:shd w:val="clear" w:color="auto" w:fill="DCD0E8"/>
          <w:vAlign w:val="center"/>
        </w:tcPr>
        <w:p w:rsidR="0068397E" w:rsidRPr="00B64C0E" w:rsidRDefault="0068397E" w:rsidP="00181DE1">
          <w:pPr>
            <w:pStyle w:val="Footer"/>
            <w:ind w:right="851"/>
            <w:jc w:val="right"/>
            <w:rPr>
              <w:color w:val="7030A0"/>
              <w:sz w:val="20"/>
            </w:rPr>
          </w:pPr>
          <w:r w:rsidRPr="00B64C0E">
            <w:rPr>
              <w:color w:val="7030A0"/>
              <w:sz w:val="20"/>
            </w:rPr>
            <w:t>Authority Monitoring Report 2017</w:t>
          </w:r>
        </w:p>
      </w:tc>
    </w:tr>
  </w:tbl>
  <w:p w:rsidR="0068397E" w:rsidRPr="0049492D" w:rsidRDefault="0068397E" w:rsidP="0049492D">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6000"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1"/>
      <w:gridCol w:w="3414"/>
    </w:tblGrid>
    <w:tr w:rsidR="0068397E" w:rsidRPr="00B64C0E" w:rsidTr="005962FB">
      <w:trPr>
        <w:trHeight w:val="544"/>
      </w:trPr>
      <w:tc>
        <w:tcPr>
          <w:tcW w:w="11675" w:type="dxa"/>
          <w:shd w:val="clear" w:color="auto" w:fill="DCD0E8"/>
          <w:vAlign w:val="center"/>
        </w:tcPr>
        <w:p w:rsidR="0068397E" w:rsidRPr="00B64C0E" w:rsidRDefault="00B64C0E" w:rsidP="003B5948">
          <w:pPr>
            <w:pStyle w:val="Footer"/>
            <w:ind w:left="851"/>
            <w:rPr>
              <w:b/>
              <w:color w:val="7030A0"/>
              <w:sz w:val="20"/>
            </w:rPr>
          </w:pPr>
          <w:r w:rsidRPr="00B64C0E">
            <w:rPr>
              <w:color w:val="7030A0"/>
              <w:sz w:val="20"/>
            </w:rPr>
            <w:t>Authority Monitoring Report 2017</w:t>
          </w:r>
          <w:r w:rsidR="0068397E" w:rsidRPr="00B64C0E">
            <w:rPr>
              <w:color w:val="7030A0"/>
              <w:sz w:val="20"/>
            </w:rPr>
            <w:t xml:space="preserve"> </w:t>
          </w:r>
        </w:p>
      </w:tc>
      <w:tc>
        <w:tcPr>
          <w:tcW w:w="4155" w:type="dxa"/>
          <w:shd w:val="clear" w:color="auto" w:fill="000000" w:themeFill="text1"/>
          <w:vAlign w:val="center"/>
        </w:tcPr>
        <w:p w:rsidR="0068397E" w:rsidRPr="00B64C0E" w:rsidRDefault="0068397E" w:rsidP="005962FB">
          <w:pPr>
            <w:pStyle w:val="Footer"/>
            <w:ind w:right="851"/>
            <w:jc w:val="center"/>
            <w:rPr>
              <w:color w:val="7030A0"/>
              <w:sz w:val="20"/>
            </w:rPr>
          </w:pPr>
          <w:r w:rsidRPr="00B64C0E">
            <w:rPr>
              <w:b/>
              <w:color w:val="7030A0"/>
              <w:sz w:val="20"/>
            </w:rPr>
            <w:t xml:space="preserve">PAGE </w:t>
          </w:r>
          <w:r w:rsidR="004924E1" w:rsidRPr="00B64C0E">
            <w:rPr>
              <w:b/>
              <w:color w:val="7030A0"/>
              <w:sz w:val="20"/>
            </w:rPr>
            <w:fldChar w:fldCharType="begin"/>
          </w:r>
          <w:r w:rsidRPr="00B64C0E">
            <w:rPr>
              <w:b/>
              <w:color w:val="7030A0"/>
              <w:sz w:val="20"/>
            </w:rPr>
            <w:instrText xml:space="preserve"> PAGE   \* MERGEFORMAT </w:instrText>
          </w:r>
          <w:r w:rsidR="004924E1" w:rsidRPr="00B64C0E">
            <w:rPr>
              <w:b/>
              <w:color w:val="7030A0"/>
              <w:sz w:val="20"/>
            </w:rPr>
            <w:fldChar w:fldCharType="separate"/>
          </w:r>
          <w:r w:rsidR="0037142A">
            <w:rPr>
              <w:b/>
              <w:noProof/>
              <w:color w:val="7030A0"/>
              <w:sz w:val="20"/>
            </w:rPr>
            <w:t>1</w:t>
          </w:r>
          <w:r w:rsidR="004924E1" w:rsidRPr="00B64C0E">
            <w:rPr>
              <w:b/>
              <w:color w:val="7030A0"/>
              <w:sz w:val="20"/>
            </w:rPr>
            <w:fldChar w:fldCharType="end"/>
          </w:r>
        </w:p>
      </w:tc>
    </w:tr>
  </w:tbl>
  <w:p w:rsidR="0068397E" w:rsidRPr="0049492D" w:rsidRDefault="0068397E" w:rsidP="0049492D">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500" w:type="pct"/>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5"/>
      <w:gridCol w:w="5491"/>
    </w:tblGrid>
    <w:tr w:rsidR="00B64C0E" w:rsidRPr="00B64C0E" w:rsidTr="005B22E3">
      <w:trPr>
        <w:trHeight w:val="544"/>
      </w:trPr>
      <w:tc>
        <w:tcPr>
          <w:tcW w:w="9815" w:type="dxa"/>
          <w:shd w:val="clear" w:color="auto" w:fill="DCD0E8"/>
          <w:vAlign w:val="center"/>
        </w:tcPr>
        <w:p w:rsidR="0068397E" w:rsidRPr="00B64C0E" w:rsidRDefault="0068397E" w:rsidP="003B5948">
          <w:pPr>
            <w:pStyle w:val="Footer"/>
            <w:ind w:left="851"/>
            <w:rPr>
              <w:b/>
              <w:color w:val="7030A0"/>
              <w:sz w:val="20"/>
            </w:rPr>
          </w:pPr>
          <w:r w:rsidRPr="00B64C0E">
            <w:rPr>
              <w:color w:val="7030A0"/>
              <w:sz w:val="20"/>
            </w:rPr>
            <w:t xml:space="preserve">Authority Monitoring Report 2017 </w:t>
          </w:r>
        </w:p>
      </w:tc>
      <w:tc>
        <w:tcPr>
          <w:tcW w:w="5491" w:type="dxa"/>
          <w:shd w:val="clear" w:color="auto" w:fill="000000" w:themeFill="text1"/>
          <w:vAlign w:val="center"/>
        </w:tcPr>
        <w:p w:rsidR="0068397E" w:rsidRPr="00B64C0E" w:rsidRDefault="0068397E" w:rsidP="006360E9">
          <w:pPr>
            <w:pStyle w:val="Footer"/>
            <w:ind w:right="851"/>
            <w:jc w:val="right"/>
            <w:rPr>
              <w:color w:val="7030A0"/>
              <w:sz w:val="20"/>
            </w:rPr>
          </w:pPr>
          <w:r w:rsidRPr="00B64C0E">
            <w:rPr>
              <w:b/>
              <w:color w:val="7030A0"/>
              <w:sz w:val="20"/>
            </w:rPr>
            <w:t xml:space="preserve">PAGE </w:t>
          </w:r>
          <w:r w:rsidR="004924E1" w:rsidRPr="00B64C0E">
            <w:rPr>
              <w:b/>
              <w:color w:val="7030A0"/>
              <w:sz w:val="20"/>
            </w:rPr>
            <w:fldChar w:fldCharType="begin"/>
          </w:r>
          <w:r w:rsidRPr="00B64C0E">
            <w:rPr>
              <w:b/>
              <w:color w:val="7030A0"/>
              <w:sz w:val="20"/>
            </w:rPr>
            <w:instrText xml:space="preserve"> PAGE   \* MERGEFORMAT </w:instrText>
          </w:r>
          <w:r w:rsidR="004924E1" w:rsidRPr="00B64C0E">
            <w:rPr>
              <w:b/>
              <w:color w:val="7030A0"/>
              <w:sz w:val="20"/>
            </w:rPr>
            <w:fldChar w:fldCharType="separate"/>
          </w:r>
          <w:r w:rsidR="0037142A">
            <w:rPr>
              <w:b/>
              <w:noProof/>
              <w:color w:val="7030A0"/>
              <w:sz w:val="20"/>
            </w:rPr>
            <w:t>19</w:t>
          </w:r>
          <w:r w:rsidR="004924E1" w:rsidRPr="00B64C0E">
            <w:rPr>
              <w:b/>
              <w:color w:val="7030A0"/>
              <w:sz w:val="20"/>
            </w:rPr>
            <w:fldChar w:fldCharType="end"/>
          </w:r>
        </w:p>
      </w:tc>
    </w:tr>
  </w:tbl>
  <w:p w:rsidR="0068397E" w:rsidRPr="0049492D" w:rsidRDefault="0068397E" w:rsidP="0049492D">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DC3" w:rsidRDefault="00830DC3" w:rsidP="0038010E">
      <w:pPr>
        <w:spacing w:after="0" w:line="240" w:lineRule="auto"/>
      </w:pPr>
      <w:r>
        <w:separator/>
      </w:r>
    </w:p>
  </w:footnote>
  <w:footnote w:type="continuationSeparator" w:id="0">
    <w:p w:rsidR="00830DC3" w:rsidRDefault="00830DC3" w:rsidP="0038010E">
      <w:pPr>
        <w:spacing w:after="0" w:line="240" w:lineRule="auto"/>
      </w:pPr>
      <w:r>
        <w:continuationSeparator/>
      </w:r>
    </w:p>
  </w:footnote>
  <w:footnote w:id="1">
    <w:p w:rsidR="0068397E" w:rsidRPr="004C62CE" w:rsidRDefault="0068397E">
      <w:pPr>
        <w:pStyle w:val="FootnoteText"/>
        <w:rPr>
          <w:lang w:val="en-GB"/>
        </w:rPr>
      </w:pPr>
      <w:r>
        <w:rPr>
          <w:rStyle w:val="FootnoteReference"/>
        </w:rPr>
        <w:footnoteRef/>
      </w:r>
      <w:r>
        <w:t xml:space="preserve"> </w:t>
      </w:r>
      <w:r>
        <w:rPr>
          <w:lang w:val="en-GB"/>
        </w:rPr>
        <w:t>See Part 8 Section 34 ‘Authorities’ monitoring reports’</w:t>
      </w:r>
    </w:p>
  </w:footnote>
  <w:footnote w:id="2">
    <w:p w:rsidR="0068397E" w:rsidRPr="0086630A" w:rsidRDefault="0068397E" w:rsidP="009F2243">
      <w:pPr>
        <w:pStyle w:val="FootnoteText"/>
        <w:rPr>
          <w:color w:val="C00000"/>
          <w:lang w:val="en-GB"/>
        </w:rPr>
      </w:pPr>
      <w:r w:rsidRPr="0086630A">
        <w:rPr>
          <w:rStyle w:val="FootnoteReference"/>
        </w:rPr>
        <w:footnoteRef/>
      </w:r>
      <w:r w:rsidRPr="0086630A">
        <w:rPr>
          <w:color w:val="4D4D4D"/>
        </w:rPr>
        <w:t xml:space="preserve"> </w:t>
      </w:r>
      <w:r w:rsidRPr="0086630A">
        <w:rPr>
          <w:rFonts w:ascii="Arial" w:hAnsi="Arial" w:cs="Arial"/>
          <w:color w:val="4D4D4D"/>
          <w:lang w:val="en-GB"/>
        </w:rPr>
        <w:t xml:space="preserve">The new Adopted Local Plan replaced the previous Torbay Local Plan 1995-2011, which ceased to be a “saved” plan from 11 December 2015.    The Minute to Council undertook to review existing Supplementary Planning Documents (SPDs) excluding the recently adopted Masterplans. However the existing SPDs were retained pending this review.    </w:t>
      </w:r>
    </w:p>
  </w:footnote>
  <w:footnote w:id="3">
    <w:p w:rsidR="0068397E" w:rsidRPr="00F022A8" w:rsidRDefault="0068397E" w:rsidP="00096B1D">
      <w:pPr>
        <w:pStyle w:val="FootnoteText"/>
        <w:rPr>
          <w:color w:val="632E62" w:themeColor="text2"/>
          <w:lang w:val="en-GB"/>
        </w:rPr>
      </w:pPr>
      <w:r w:rsidRPr="00F022A8">
        <w:rPr>
          <w:rStyle w:val="FootnoteReference"/>
          <w:color w:val="632E62" w:themeColor="text2"/>
        </w:rPr>
        <w:footnoteRef/>
      </w:r>
      <w:r w:rsidRPr="00F022A8">
        <w:rPr>
          <w:color w:val="632E62" w:themeColor="text2"/>
        </w:rPr>
        <w:t xml:space="preserve"> </w:t>
      </w:r>
      <w:r w:rsidRPr="00F022A8">
        <w:rPr>
          <w:color w:val="632E62" w:themeColor="text2"/>
          <w:lang w:val="en-GB"/>
        </w:rPr>
        <w:t xml:space="preserve">Saved as part of the Torbay Local Plan Adoption </w:t>
      </w:r>
    </w:p>
  </w:footnote>
  <w:footnote w:id="4">
    <w:p w:rsidR="0068397E" w:rsidRPr="001C1281" w:rsidRDefault="0068397E" w:rsidP="001C1281">
      <w:pPr>
        <w:pStyle w:val="NormalWeb"/>
        <w:shd w:val="clear" w:color="auto" w:fill="FFFFFF"/>
        <w:rPr>
          <w:rFonts w:ascii="Helvetica" w:hAnsi="Helvetica" w:cs="Arial"/>
          <w:color w:val="333333"/>
          <w:sz w:val="20"/>
          <w:szCs w:val="20"/>
        </w:rPr>
      </w:pPr>
      <w:r>
        <w:rPr>
          <w:rStyle w:val="FootnoteReference"/>
        </w:rPr>
        <w:footnoteRef/>
      </w:r>
      <w:r>
        <w:t xml:space="preserve"> </w:t>
      </w:r>
      <w:r w:rsidRPr="001C1281">
        <w:rPr>
          <w:rFonts w:ascii="Helvetica" w:hAnsi="Helvetica" w:cs="Arial"/>
          <w:color w:val="333333"/>
          <w:sz w:val="20"/>
          <w:szCs w:val="20"/>
        </w:rPr>
        <w:t xml:space="preserve">The Brownfield Register does not affect the status of sites that already have planning permission. The inclusion of other sites on the Brownfield Register </w:t>
      </w:r>
      <w:r>
        <w:rPr>
          <w:rFonts w:ascii="Helvetica" w:hAnsi="Helvetica" w:cs="Arial"/>
          <w:color w:val="333333"/>
          <w:sz w:val="20"/>
          <w:szCs w:val="20"/>
        </w:rPr>
        <w:t xml:space="preserve">(Part 1) </w:t>
      </w:r>
      <w:r w:rsidRPr="001C1281">
        <w:rPr>
          <w:rFonts w:ascii="Helvetica" w:hAnsi="Helvetica" w:cs="Arial"/>
          <w:color w:val="333333"/>
          <w:sz w:val="20"/>
          <w:szCs w:val="20"/>
        </w:rPr>
        <w:t>does not give them any formal status, or grant permission in principle. Planning applications on these sites will be considered on their merits in accordance with the local plan, national policy and any other material considerations.</w:t>
      </w:r>
    </w:p>
    <w:p w:rsidR="0068397E" w:rsidRPr="001C1281" w:rsidRDefault="0068397E">
      <w:pPr>
        <w:pStyle w:val="FootnoteText"/>
        <w:rPr>
          <w:lang w:val="en-GB"/>
        </w:rPr>
      </w:pPr>
    </w:p>
  </w:footnote>
  <w:footnote w:id="5">
    <w:p w:rsidR="00B64C0E" w:rsidRPr="00B64C0E" w:rsidRDefault="00B64C0E">
      <w:pPr>
        <w:pStyle w:val="FootnoteText"/>
        <w:rPr>
          <w:lang w:val="en-GB"/>
        </w:rPr>
      </w:pPr>
      <w:r>
        <w:rPr>
          <w:rStyle w:val="FootnoteReference"/>
        </w:rPr>
        <w:footnoteRef/>
      </w:r>
      <w:r>
        <w:t xml:space="preserve"> </w:t>
      </w:r>
      <w:r>
        <w:rPr>
          <w:lang w:val="en-GB"/>
        </w:rPr>
        <w:t>Taken from NOMIS. Rounded to nearest thousand. It is anticipated that a more robust form of monitoring employment land will be implemented during the next monitoring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8E5" w:rsidRDefault="00177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97E" w:rsidRDefault="0068397E">
    <w:pPr>
      <w:pStyle w:val="Header"/>
    </w:pPr>
    <w:r>
      <w:rPr>
        <w:noProof/>
        <w:lang w:val="en-GB" w:eastAsia="en-GB" w:bidi="ar-SA"/>
      </w:rPr>
      <w:drawing>
        <wp:anchor distT="0" distB="0" distL="114300" distR="114300" simplePos="0" relativeHeight="251657216" behindDoc="1" locked="0" layoutInCell="1" allowOverlap="1">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97E" w:rsidRDefault="006839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6DD"/>
    <w:multiLevelType w:val="hybridMultilevel"/>
    <w:tmpl w:val="E4089D80"/>
    <w:lvl w:ilvl="0" w:tplc="08090001">
      <w:start w:val="1"/>
      <w:numFmt w:val="bullet"/>
      <w:lvlText w:val=""/>
      <w:lvlJc w:val="left"/>
      <w:pPr>
        <w:ind w:left="1440" w:hanging="360"/>
      </w:pPr>
      <w:rPr>
        <w:rFonts w:ascii="Symbol" w:hAnsi="Symbol" w:hint="default"/>
      </w:rPr>
    </w:lvl>
    <w:lvl w:ilvl="1" w:tplc="A3881228">
      <w:numFmt w:val="bullet"/>
      <w:lvlText w:val="•"/>
      <w:lvlJc w:val="left"/>
      <w:pPr>
        <w:ind w:left="2235" w:hanging="435"/>
      </w:pPr>
      <w:rPr>
        <w:rFonts w:ascii="Arial" w:eastAsiaTheme="maj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2402E"/>
    <w:multiLevelType w:val="hybridMultilevel"/>
    <w:tmpl w:val="D2849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C108F"/>
    <w:multiLevelType w:val="multilevel"/>
    <w:tmpl w:val="A73C49D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1004" w:hanging="720"/>
      </w:pPr>
      <w:rPr>
        <w:rFonts w:ascii="Symbol" w:hAnsi="Symbol" w:hint="default"/>
        <w:b/>
        <w:color w:val="7F4A9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4D3145"/>
    <w:multiLevelType w:val="hybridMultilevel"/>
    <w:tmpl w:val="AF2244A6"/>
    <w:lvl w:ilvl="0" w:tplc="BD304F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65BC2"/>
    <w:multiLevelType w:val="hybridMultilevel"/>
    <w:tmpl w:val="FA88C50E"/>
    <w:lvl w:ilvl="0" w:tplc="08090017">
      <w:start w:val="1"/>
      <w:numFmt w:val="lowerLetter"/>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16310CFC"/>
    <w:multiLevelType w:val="hybridMultilevel"/>
    <w:tmpl w:val="9B407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61F2D"/>
    <w:multiLevelType w:val="multilevel"/>
    <w:tmpl w:val="9138751E"/>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1004" w:hanging="720"/>
      </w:pPr>
      <w:rPr>
        <w:rFonts w:ascii="Symbol" w:hAnsi="Symbol" w:hint="default"/>
        <w:b/>
        <w:color w:val="7F4A9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145123E"/>
    <w:multiLevelType w:val="multilevel"/>
    <w:tmpl w:val="A1304AF0"/>
    <w:lvl w:ilvl="0">
      <w:start w:val="1"/>
      <w:numFmt w:val="decimal"/>
      <w:pStyle w:val="Heading1"/>
      <w:lvlText w:val="%1"/>
      <w:lvlJc w:val="left"/>
      <w:pPr>
        <w:ind w:left="432" w:hanging="432"/>
      </w:pPr>
      <w:rPr>
        <w:color w:val="7030A0"/>
      </w:rPr>
    </w:lvl>
    <w:lvl w:ilvl="1">
      <w:start w:val="1"/>
      <w:numFmt w:val="decimal"/>
      <w:pStyle w:val="Heading2"/>
      <w:lvlText w:val="%1.%2"/>
      <w:lvlJc w:val="left"/>
      <w:pPr>
        <w:ind w:left="1711" w:hanging="576"/>
      </w:pPr>
      <w:rPr>
        <w:color w:val="7030A0"/>
      </w:rPr>
    </w:lvl>
    <w:lvl w:ilvl="2">
      <w:start w:val="1"/>
      <w:numFmt w:val="decimal"/>
      <w:pStyle w:val="Heading3"/>
      <w:lvlText w:val="%1.%2.%3"/>
      <w:lvlJc w:val="left"/>
      <w:pPr>
        <w:ind w:left="1288" w:hanging="720"/>
      </w:pPr>
      <w:rPr>
        <w:rFonts w:asciiTheme="majorHAnsi" w:hAnsiTheme="majorHAnsi" w:cstheme="majorHAnsi" w:hint="default"/>
        <w:b/>
        <w:i w:val="0"/>
        <w:color w:val="7030A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20A1F27"/>
    <w:multiLevelType w:val="multilevel"/>
    <w:tmpl w:val="A73C49D8"/>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1004" w:hanging="720"/>
      </w:pPr>
      <w:rPr>
        <w:rFonts w:ascii="Symbol" w:hAnsi="Symbol" w:hint="default"/>
        <w:b/>
        <w:color w:val="7F4A9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4D123B4"/>
    <w:multiLevelType w:val="hybridMultilevel"/>
    <w:tmpl w:val="BFBC2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E85896"/>
    <w:multiLevelType w:val="hybridMultilevel"/>
    <w:tmpl w:val="BFA22CCC"/>
    <w:lvl w:ilvl="0" w:tplc="96104BC2">
      <w:start w:val="1"/>
      <w:numFmt w:val="upp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7263D6"/>
    <w:multiLevelType w:val="hybridMultilevel"/>
    <w:tmpl w:val="9C54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A0DB5"/>
    <w:multiLevelType w:val="hybridMultilevel"/>
    <w:tmpl w:val="F0CEC9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42691D"/>
    <w:multiLevelType w:val="hybridMultilevel"/>
    <w:tmpl w:val="80080FC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2D472CBE"/>
    <w:multiLevelType w:val="hybridMultilevel"/>
    <w:tmpl w:val="6770B1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DC76BFD"/>
    <w:multiLevelType w:val="hybridMultilevel"/>
    <w:tmpl w:val="4BF8BA1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2EBB054A"/>
    <w:multiLevelType w:val="hybridMultilevel"/>
    <w:tmpl w:val="C16CE7D4"/>
    <w:lvl w:ilvl="0" w:tplc="FCEEB9FE">
      <w:start w:val="1"/>
      <w:numFmt w:val="lowerLetter"/>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320C42D3"/>
    <w:multiLevelType w:val="hybridMultilevel"/>
    <w:tmpl w:val="57166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5F82166"/>
    <w:multiLevelType w:val="hybridMultilevel"/>
    <w:tmpl w:val="E8C8E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88384D"/>
    <w:multiLevelType w:val="hybridMultilevel"/>
    <w:tmpl w:val="3260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36759"/>
    <w:multiLevelType w:val="multilevel"/>
    <w:tmpl w:val="5F5603CE"/>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F632AF"/>
    <w:multiLevelType w:val="hybridMultilevel"/>
    <w:tmpl w:val="613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D67524"/>
    <w:multiLevelType w:val="hybridMultilevel"/>
    <w:tmpl w:val="6A34C0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F0403DF"/>
    <w:multiLevelType w:val="hybridMultilevel"/>
    <w:tmpl w:val="7AE88432"/>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5" w15:restartNumberingAfterBreak="0">
    <w:nsid w:val="4F5B155E"/>
    <w:multiLevelType w:val="hybridMultilevel"/>
    <w:tmpl w:val="D138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02C4C"/>
    <w:multiLevelType w:val="hybridMultilevel"/>
    <w:tmpl w:val="33722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70A61FA"/>
    <w:multiLevelType w:val="hybridMultilevel"/>
    <w:tmpl w:val="204A0900"/>
    <w:lvl w:ilvl="0" w:tplc="BD304F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C0A3B"/>
    <w:multiLevelType w:val="hybridMultilevel"/>
    <w:tmpl w:val="330E1A2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9" w15:restartNumberingAfterBreak="0">
    <w:nsid w:val="5AC75278"/>
    <w:multiLevelType w:val="hybridMultilevel"/>
    <w:tmpl w:val="FAB6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601F4"/>
    <w:multiLevelType w:val="hybridMultilevel"/>
    <w:tmpl w:val="1E46C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EC97371"/>
    <w:multiLevelType w:val="hybridMultilevel"/>
    <w:tmpl w:val="0DD2B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E45F0"/>
    <w:multiLevelType w:val="multilevel"/>
    <w:tmpl w:val="9B3CD590"/>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1004" w:hanging="720"/>
      </w:pPr>
      <w:rPr>
        <w:rFonts w:ascii="Symbol" w:hAnsi="Symbol" w:hint="default"/>
        <w:b/>
        <w:color w:val="7F4A9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7CD3C0A"/>
    <w:multiLevelType w:val="hybridMultilevel"/>
    <w:tmpl w:val="1BF8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385DCB"/>
    <w:multiLevelType w:val="hybridMultilevel"/>
    <w:tmpl w:val="04442484"/>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BA361B7"/>
    <w:multiLevelType w:val="hybridMultilevel"/>
    <w:tmpl w:val="6DDC283A"/>
    <w:lvl w:ilvl="0" w:tplc="C100A4AC">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936807"/>
    <w:multiLevelType w:val="hybridMultilevel"/>
    <w:tmpl w:val="2B06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3F574F"/>
    <w:multiLevelType w:val="hybridMultilevel"/>
    <w:tmpl w:val="8106290E"/>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num w:numId="1">
    <w:abstractNumId w:val="2"/>
  </w:num>
  <w:num w:numId="2">
    <w:abstractNumId w:val="8"/>
  </w:num>
  <w:num w:numId="3">
    <w:abstractNumId w:val="21"/>
  </w:num>
  <w:num w:numId="4">
    <w:abstractNumId w:val="19"/>
  </w:num>
  <w:num w:numId="5">
    <w:abstractNumId w:val="30"/>
  </w:num>
  <w:num w:numId="6">
    <w:abstractNumId w:val="34"/>
  </w:num>
  <w:num w:numId="7">
    <w:abstractNumId w:val="11"/>
  </w:num>
  <w:num w:numId="8">
    <w:abstractNumId w:val="13"/>
  </w:num>
  <w:num w:numId="9">
    <w:abstractNumId w:val="1"/>
  </w:num>
  <w:num w:numId="10">
    <w:abstractNumId w:val="0"/>
  </w:num>
  <w:num w:numId="11">
    <w:abstractNumId w:val="10"/>
  </w:num>
  <w:num w:numId="12">
    <w:abstractNumId w:val="18"/>
  </w:num>
  <w:num w:numId="13">
    <w:abstractNumId w:val="15"/>
  </w:num>
  <w:num w:numId="14">
    <w:abstractNumId w:val="20"/>
  </w:num>
  <w:num w:numId="15">
    <w:abstractNumId w:val="35"/>
  </w:num>
  <w:num w:numId="16">
    <w:abstractNumId w:val="25"/>
  </w:num>
  <w:num w:numId="17">
    <w:abstractNumId w:val="32"/>
  </w:num>
  <w:num w:numId="18">
    <w:abstractNumId w:val="22"/>
  </w:num>
  <w:num w:numId="19">
    <w:abstractNumId w:val="14"/>
  </w:num>
  <w:num w:numId="20">
    <w:abstractNumId w:val="9"/>
  </w:num>
  <w:num w:numId="21">
    <w:abstractNumId w:val="3"/>
  </w:num>
  <w:num w:numId="22">
    <w:abstractNumId w:val="36"/>
  </w:num>
  <w:num w:numId="23">
    <w:abstractNumId w:val="4"/>
  </w:num>
  <w:num w:numId="24">
    <w:abstractNumId w:val="27"/>
  </w:num>
  <w:num w:numId="25">
    <w:abstractNumId w:val="29"/>
  </w:num>
  <w:num w:numId="26">
    <w:abstractNumId w:val="33"/>
  </w:num>
  <w:num w:numId="27">
    <w:abstractNumId w:val="16"/>
  </w:num>
  <w:num w:numId="28">
    <w:abstractNumId w:val="26"/>
  </w:num>
  <w:num w:numId="29">
    <w:abstractNumId w:val="2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4"/>
  </w:num>
  <w:num w:numId="33">
    <w:abstractNumId w:val="2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2"/>
  </w:num>
  <w:num w:numId="37">
    <w:abstractNumId w:val="31"/>
  </w:num>
  <w:num w:numId="38">
    <w:abstractNumId w:val="5"/>
  </w:num>
  <w:num w:numId="39">
    <w:abstractNumId w:val="1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F69"/>
    <w:rsid w:val="000009CF"/>
    <w:rsid w:val="00000D0F"/>
    <w:rsid w:val="000019B4"/>
    <w:rsid w:val="00013C54"/>
    <w:rsid w:val="00016EDD"/>
    <w:rsid w:val="00017068"/>
    <w:rsid w:val="00021A5A"/>
    <w:rsid w:val="00023409"/>
    <w:rsid w:val="00025A21"/>
    <w:rsid w:val="00027976"/>
    <w:rsid w:val="000335C5"/>
    <w:rsid w:val="000348BB"/>
    <w:rsid w:val="000356E9"/>
    <w:rsid w:val="000372E2"/>
    <w:rsid w:val="00040EC8"/>
    <w:rsid w:val="000431F9"/>
    <w:rsid w:val="0004413F"/>
    <w:rsid w:val="0004590A"/>
    <w:rsid w:val="000476C6"/>
    <w:rsid w:val="00051D0A"/>
    <w:rsid w:val="00053127"/>
    <w:rsid w:val="0005529E"/>
    <w:rsid w:val="00055E40"/>
    <w:rsid w:val="0006171D"/>
    <w:rsid w:val="00062C07"/>
    <w:rsid w:val="000634AD"/>
    <w:rsid w:val="000649E5"/>
    <w:rsid w:val="0006778D"/>
    <w:rsid w:val="00070370"/>
    <w:rsid w:val="000714D7"/>
    <w:rsid w:val="0007324D"/>
    <w:rsid w:val="000747CE"/>
    <w:rsid w:val="00077901"/>
    <w:rsid w:val="00077E6E"/>
    <w:rsid w:val="0008143C"/>
    <w:rsid w:val="000816F9"/>
    <w:rsid w:val="000836B6"/>
    <w:rsid w:val="000839FA"/>
    <w:rsid w:val="000844EF"/>
    <w:rsid w:val="00096B1D"/>
    <w:rsid w:val="0009711D"/>
    <w:rsid w:val="000A15D7"/>
    <w:rsid w:val="000A1D3D"/>
    <w:rsid w:val="000B033A"/>
    <w:rsid w:val="000B0C06"/>
    <w:rsid w:val="000B24B5"/>
    <w:rsid w:val="000B255A"/>
    <w:rsid w:val="000B4367"/>
    <w:rsid w:val="000B5AFF"/>
    <w:rsid w:val="000C0044"/>
    <w:rsid w:val="000C131B"/>
    <w:rsid w:val="000C6655"/>
    <w:rsid w:val="000C77EA"/>
    <w:rsid w:val="000D1877"/>
    <w:rsid w:val="000D3174"/>
    <w:rsid w:val="000D4DAD"/>
    <w:rsid w:val="000D56BE"/>
    <w:rsid w:val="000D58F0"/>
    <w:rsid w:val="000D69AB"/>
    <w:rsid w:val="000D7E1D"/>
    <w:rsid w:val="000E07EB"/>
    <w:rsid w:val="000E0BC0"/>
    <w:rsid w:val="000E0CAC"/>
    <w:rsid w:val="000E0E14"/>
    <w:rsid w:val="000E14CE"/>
    <w:rsid w:val="000E1B34"/>
    <w:rsid w:val="000E52E3"/>
    <w:rsid w:val="000F1EA0"/>
    <w:rsid w:val="000F58D4"/>
    <w:rsid w:val="000F6DCD"/>
    <w:rsid w:val="000F7194"/>
    <w:rsid w:val="000F7846"/>
    <w:rsid w:val="00100834"/>
    <w:rsid w:val="00101071"/>
    <w:rsid w:val="00102A33"/>
    <w:rsid w:val="00104429"/>
    <w:rsid w:val="001051E1"/>
    <w:rsid w:val="00107360"/>
    <w:rsid w:val="001111B8"/>
    <w:rsid w:val="00115988"/>
    <w:rsid w:val="00117748"/>
    <w:rsid w:val="00123040"/>
    <w:rsid w:val="0012343E"/>
    <w:rsid w:val="00123FBB"/>
    <w:rsid w:val="00125603"/>
    <w:rsid w:val="00125D98"/>
    <w:rsid w:val="00127D26"/>
    <w:rsid w:val="0013061F"/>
    <w:rsid w:val="001306FA"/>
    <w:rsid w:val="00133F4A"/>
    <w:rsid w:val="00135B69"/>
    <w:rsid w:val="00137169"/>
    <w:rsid w:val="001405D7"/>
    <w:rsid w:val="00141C01"/>
    <w:rsid w:val="00142D4A"/>
    <w:rsid w:val="00143F64"/>
    <w:rsid w:val="00146624"/>
    <w:rsid w:val="0015493C"/>
    <w:rsid w:val="0015634D"/>
    <w:rsid w:val="001567A3"/>
    <w:rsid w:val="001643FD"/>
    <w:rsid w:val="00164DBE"/>
    <w:rsid w:val="001714C5"/>
    <w:rsid w:val="001720A9"/>
    <w:rsid w:val="00175107"/>
    <w:rsid w:val="00176B9A"/>
    <w:rsid w:val="001778E5"/>
    <w:rsid w:val="00180E9C"/>
    <w:rsid w:val="00181DE1"/>
    <w:rsid w:val="0018409F"/>
    <w:rsid w:val="00186CA0"/>
    <w:rsid w:val="00187D6F"/>
    <w:rsid w:val="00191915"/>
    <w:rsid w:val="00192802"/>
    <w:rsid w:val="00192BB4"/>
    <w:rsid w:val="00195BD2"/>
    <w:rsid w:val="00196CF1"/>
    <w:rsid w:val="00197775"/>
    <w:rsid w:val="00197B16"/>
    <w:rsid w:val="001A365C"/>
    <w:rsid w:val="001B0900"/>
    <w:rsid w:val="001B672E"/>
    <w:rsid w:val="001C1281"/>
    <w:rsid w:val="001C2265"/>
    <w:rsid w:val="001C5917"/>
    <w:rsid w:val="001D0FC5"/>
    <w:rsid w:val="001D313C"/>
    <w:rsid w:val="001E06C1"/>
    <w:rsid w:val="001E346F"/>
    <w:rsid w:val="001E41F8"/>
    <w:rsid w:val="001E7E19"/>
    <w:rsid w:val="001F067B"/>
    <w:rsid w:val="001F53AA"/>
    <w:rsid w:val="002021BD"/>
    <w:rsid w:val="00210097"/>
    <w:rsid w:val="00211734"/>
    <w:rsid w:val="002118DC"/>
    <w:rsid w:val="00216021"/>
    <w:rsid w:val="002176AB"/>
    <w:rsid w:val="0022399D"/>
    <w:rsid w:val="002249D1"/>
    <w:rsid w:val="00225DD3"/>
    <w:rsid w:val="00225F45"/>
    <w:rsid w:val="0023604B"/>
    <w:rsid w:val="00236308"/>
    <w:rsid w:val="002402F4"/>
    <w:rsid w:val="00241DBD"/>
    <w:rsid w:val="00242EB2"/>
    <w:rsid w:val="0024486A"/>
    <w:rsid w:val="00245383"/>
    <w:rsid w:val="00247BA9"/>
    <w:rsid w:val="00250E51"/>
    <w:rsid w:val="0025287B"/>
    <w:rsid w:val="0025578C"/>
    <w:rsid w:val="002562E5"/>
    <w:rsid w:val="0026092B"/>
    <w:rsid w:val="0026210D"/>
    <w:rsid w:val="00263B00"/>
    <w:rsid w:val="002659A6"/>
    <w:rsid w:val="00267D52"/>
    <w:rsid w:val="00270217"/>
    <w:rsid w:val="00270DB3"/>
    <w:rsid w:val="002739FE"/>
    <w:rsid w:val="002743E5"/>
    <w:rsid w:val="00280FEA"/>
    <w:rsid w:val="00281803"/>
    <w:rsid w:val="002866FE"/>
    <w:rsid w:val="002938B7"/>
    <w:rsid w:val="00293A88"/>
    <w:rsid w:val="0029604A"/>
    <w:rsid w:val="002A112A"/>
    <w:rsid w:val="002A393D"/>
    <w:rsid w:val="002A6F4E"/>
    <w:rsid w:val="002B200F"/>
    <w:rsid w:val="002B595B"/>
    <w:rsid w:val="002B6045"/>
    <w:rsid w:val="002B7845"/>
    <w:rsid w:val="002C1505"/>
    <w:rsid w:val="002D2561"/>
    <w:rsid w:val="002D25EB"/>
    <w:rsid w:val="002D2DAD"/>
    <w:rsid w:val="002D3308"/>
    <w:rsid w:val="002D4D18"/>
    <w:rsid w:val="002D6140"/>
    <w:rsid w:val="002E464D"/>
    <w:rsid w:val="002E4672"/>
    <w:rsid w:val="002E518F"/>
    <w:rsid w:val="002E650A"/>
    <w:rsid w:val="002E7854"/>
    <w:rsid w:val="002F32A8"/>
    <w:rsid w:val="002F5A79"/>
    <w:rsid w:val="002F6353"/>
    <w:rsid w:val="00300084"/>
    <w:rsid w:val="00303767"/>
    <w:rsid w:val="00303E71"/>
    <w:rsid w:val="00304737"/>
    <w:rsid w:val="0031128D"/>
    <w:rsid w:val="00313EFB"/>
    <w:rsid w:val="00314485"/>
    <w:rsid w:val="00320B6E"/>
    <w:rsid w:val="003217B6"/>
    <w:rsid w:val="00323431"/>
    <w:rsid w:val="0032583A"/>
    <w:rsid w:val="003276D2"/>
    <w:rsid w:val="003330EE"/>
    <w:rsid w:val="00335BD9"/>
    <w:rsid w:val="003369D6"/>
    <w:rsid w:val="00336DFF"/>
    <w:rsid w:val="00340345"/>
    <w:rsid w:val="00341284"/>
    <w:rsid w:val="003418F9"/>
    <w:rsid w:val="00341DEC"/>
    <w:rsid w:val="003423EC"/>
    <w:rsid w:val="0034381D"/>
    <w:rsid w:val="00350009"/>
    <w:rsid w:val="003508C6"/>
    <w:rsid w:val="003529DC"/>
    <w:rsid w:val="00352EEB"/>
    <w:rsid w:val="00354A9E"/>
    <w:rsid w:val="00356BEF"/>
    <w:rsid w:val="003610CC"/>
    <w:rsid w:val="00362945"/>
    <w:rsid w:val="00362C14"/>
    <w:rsid w:val="0036456D"/>
    <w:rsid w:val="0037142A"/>
    <w:rsid w:val="003721E4"/>
    <w:rsid w:val="003727EA"/>
    <w:rsid w:val="0037375E"/>
    <w:rsid w:val="0038010E"/>
    <w:rsid w:val="00382074"/>
    <w:rsid w:val="00384E33"/>
    <w:rsid w:val="00390A55"/>
    <w:rsid w:val="00394435"/>
    <w:rsid w:val="00395223"/>
    <w:rsid w:val="00395E2D"/>
    <w:rsid w:val="003A0B0B"/>
    <w:rsid w:val="003A2055"/>
    <w:rsid w:val="003A6A74"/>
    <w:rsid w:val="003B3098"/>
    <w:rsid w:val="003B3DC1"/>
    <w:rsid w:val="003B4016"/>
    <w:rsid w:val="003B516D"/>
    <w:rsid w:val="003B5948"/>
    <w:rsid w:val="003C148A"/>
    <w:rsid w:val="003C5D0D"/>
    <w:rsid w:val="003C7B62"/>
    <w:rsid w:val="003C7B7E"/>
    <w:rsid w:val="003D0380"/>
    <w:rsid w:val="003D2D43"/>
    <w:rsid w:val="003D45A6"/>
    <w:rsid w:val="003E05F3"/>
    <w:rsid w:val="003E1C5B"/>
    <w:rsid w:val="003E2157"/>
    <w:rsid w:val="003E5964"/>
    <w:rsid w:val="003E692C"/>
    <w:rsid w:val="003F1A5E"/>
    <w:rsid w:val="003F2E18"/>
    <w:rsid w:val="003F38F1"/>
    <w:rsid w:val="003F3A00"/>
    <w:rsid w:val="003F7106"/>
    <w:rsid w:val="003F7DC2"/>
    <w:rsid w:val="00402D6B"/>
    <w:rsid w:val="00406501"/>
    <w:rsid w:val="004246D5"/>
    <w:rsid w:val="00426AB3"/>
    <w:rsid w:val="00434744"/>
    <w:rsid w:val="004358B3"/>
    <w:rsid w:val="00436406"/>
    <w:rsid w:val="00436532"/>
    <w:rsid w:val="00437D95"/>
    <w:rsid w:val="00437F84"/>
    <w:rsid w:val="00441A14"/>
    <w:rsid w:val="004420A3"/>
    <w:rsid w:val="00442740"/>
    <w:rsid w:val="00444DA8"/>
    <w:rsid w:val="0044502C"/>
    <w:rsid w:val="00446BE8"/>
    <w:rsid w:val="00450ADB"/>
    <w:rsid w:val="00454A65"/>
    <w:rsid w:val="00457122"/>
    <w:rsid w:val="0045728B"/>
    <w:rsid w:val="004618F4"/>
    <w:rsid w:val="00462EF7"/>
    <w:rsid w:val="00464904"/>
    <w:rsid w:val="004654CD"/>
    <w:rsid w:val="00465F76"/>
    <w:rsid w:val="00472C0E"/>
    <w:rsid w:val="00477904"/>
    <w:rsid w:val="004822C5"/>
    <w:rsid w:val="00483A63"/>
    <w:rsid w:val="00483CB6"/>
    <w:rsid w:val="0049212D"/>
    <w:rsid w:val="004924E1"/>
    <w:rsid w:val="00493BFA"/>
    <w:rsid w:val="00493EBB"/>
    <w:rsid w:val="0049478C"/>
    <w:rsid w:val="0049492D"/>
    <w:rsid w:val="00497EE3"/>
    <w:rsid w:val="004A4489"/>
    <w:rsid w:val="004A5434"/>
    <w:rsid w:val="004A5C1F"/>
    <w:rsid w:val="004B1888"/>
    <w:rsid w:val="004B1DBA"/>
    <w:rsid w:val="004B2A55"/>
    <w:rsid w:val="004B2AEC"/>
    <w:rsid w:val="004B2CEE"/>
    <w:rsid w:val="004C0701"/>
    <w:rsid w:val="004C0FE2"/>
    <w:rsid w:val="004C131A"/>
    <w:rsid w:val="004C285B"/>
    <w:rsid w:val="004C42BB"/>
    <w:rsid w:val="004C62CE"/>
    <w:rsid w:val="004D094C"/>
    <w:rsid w:val="004D0E3D"/>
    <w:rsid w:val="004D35C9"/>
    <w:rsid w:val="004D4025"/>
    <w:rsid w:val="004E00E8"/>
    <w:rsid w:val="004E19A5"/>
    <w:rsid w:val="004E6B2A"/>
    <w:rsid w:val="004F4EFA"/>
    <w:rsid w:val="004F6CBB"/>
    <w:rsid w:val="004F6D64"/>
    <w:rsid w:val="00500466"/>
    <w:rsid w:val="00501786"/>
    <w:rsid w:val="0050332A"/>
    <w:rsid w:val="005051AD"/>
    <w:rsid w:val="005122F9"/>
    <w:rsid w:val="00514E21"/>
    <w:rsid w:val="00516947"/>
    <w:rsid w:val="00516B99"/>
    <w:rsid w:val="00523CBE"/>
    <w:rsid w:val="005243B2"/>
    <w:rsid w:val="0052684E"/>
    <w:rsid w:val="005268D8"/>
    <w:rsid w:val="00533443"/>
    <w:rsid w:val="00534F00"/>
    <w:rsid w:val="0053645A"/>
    <w:rsid w:val="00547FF3"/>
    <w:rsid w:val="005510F4"/>
    <w:rsid w:val="005526FB"/>
    <w:rsid w:val="005531CA"/>
    <w:rsid w:val="00553EB3"/>
    <w:rsid w:val="00554F49"/>
    <w:rsid w:val="00555458"/>
    <w:rsid w:val="00555B95"/>
    <w:rsid w:val="005577EF"/>
    <w:rsid w:val="00560270"/>
    <w:rsid w:val="00561D92"/>
    <w:rsid w:val="0056226A"/>
    <w:rsid w:val="005625E7"/>
    <w:rsid w:val="00565011"/>
    <w:rsid w:val="00565B8F"/>
    <w:rsid w:val="00565CCB"/>
    <w:rsid w:val="00574BC2"/>
    <w:rsid w:val="00582595"/>
    <w:rsid w:val="00583F69"/>
    <w:rsid w:val="0059007B"/>
    <w:rsid w:val="00593C8D"/>
    <w:rsid w:val="005962FB"/>
    <w:rsid w:val="005A519A"/>
    <w:rsid w:val="005A6C48"/>
    <w:rsid w:val="005A7569"/>
    <w:rsid w:val="005A762D"/>
    <w:rsid w:val="005B19EB"/>
    <w:rsid w:val="005B22E3"/>
    <w:rsid w:val="005B39AE"/>
    <w:rsid w:val="005B39DC"/>
    <w:rsid w:val="005B4881"/>
    <w:rsid w:val="005B497A"/>
    <w:rsid w:val="005B528A"/>
    <w:rsid w:val="005C1D9C"/>
    <w:rsid w:val="005C3BD9"/>
    <w:rsid w:val="005C4712"/>
    <w:rsid w:val="005C4C4F"/>
    <w:rsid w:val="005D01E0"/>
    <w:rsid w:val="005D1C0F"/>
    <w:rsid w:val="005D22CC"/>
    <w:rsid w:val="005D2D70"/>
    <w:rsid w:val="005D379C"/>
    <w:rsid w:val="005D3D65"/>
    <w:rsid w:val="005D4276"/>
    <w:rsid w:val="005D7FF0"/>
    <w:rsid w:val="005E0670"/>
    <w:rsid w:val="005E0FC3"/>
    <w:rsid w:val="005E105B"/>
    <w:rsid w:val="005E3D7C"/>
    <w:rsid w:val="005E44C9"/>
    <w:rsid w:val="005E4DA1"/>
    <w:rsid w:val="005E52E0"/>
    <w:rsid w:val="005E667E"/>
    <w:rsid w:val="005E710C"/>
    <w:rsid w:val="005F0821"/>
    <w:rsid w:val="005F1EBC"/>
    <w:rsid w:val="005F214C"/>
    <w:rsid w:val="005F4E71"/>
    <w:rsid w:val="0060248F"/>
    <w:rsid w:val="006033A7"/>
    <w:rsid w:val="006109C6"/>
    <w:rsid w:val="00611F3A"/>
    <w:rsid w:val="00615EEA"/>
    <w:rsid w:val="006218E6"/>
    <w:rsid w:val="006247EB"/>
    <w:rsid w:val="006248ED"/>
    <w:rsid w:val="00625092"/>
    <w:rsid w:val="00625BE6"/>
    <w:rsid w:val="00626FDA"/>
    <w:rsid w:val="006273E1"/>
    <w:rsid w:val="0063029D"/>
    <w:rsid w:val="00633488"/>
    <w:rsid w:val="006351F6"/>
    <w:rsid w:val="0063564D"/>
    <w:rsid w:val="00635B75"/>
    <w:rsid w:val="006360E9"/>
    <w:rsid w:val="00640344"/>
    <w:rsid w:val="0064185E"/>
    <w:rsid w:val="006505A1"/>
    <w:rsid w:val="00652149"/>
    <w:rsid w:val="006528D9"/>
    <w:rsid w:val="00652B2C"/>
    <w:rsid w:val="00652DD2"/>
    <w:rsid w:val="006530E2"/>
    <w:rsid w:val="00657964"/>
    <w:rsid w:val="0066069D"/>
    <w:rsid w:val="00666F3B"/>
    <w:rsid w:val="0067046C"/>
    <w:rsid w:val="00674DC3"/>
    <w:rsid w:val="00680C11"/>
    <w:rsid w:val="00682DDD"/>
    <w:rsid w:val="0068397E"/>
    <w:rsid w:val="00683F46"/>
    <w:rsid w:val="00684521"/>
    <w:rsid w:val="00686749"/>
    <w:rsid w:val="00690B3E"/>
    <w:rsid w:val="006912E1"/>
    <w:rsid w:val="00691B65"/>
    <w:rsid w:val="0069204C"/>
    <w:rsid w:val="006933D8"/>
    <w:rsid w:val="00693A5B"/>
    <w:rsid w:val="00695874"/>
    <w:rsid w:val="00695CCD"/>
    <w:rsid w:val="006A080A"/>
    <w:rsid w:val="006A0CDB"/>
    <w:rsid w:val="006A0DD8"/>
    <w:rsid w:val="006A1777"/>
    <w:rsid w:val="006A4312"/>
    <w:rsid w:val="006A4B61"/>
    <w:rsid w:val="006A4D8C"/>
    <w:rsid w:val="006B1B36"/>
    <w:rsid w:val="006B1E70"/>
    <w:rsid w:val="006B2C90"/>
    <w:rsid w:val="006B75F5"/>
    <w:rsid w:val="006B7B09"/>
    <w:rsid w:val="006C1265"/>
    <w:rsid w:val="006C177E"/>
    <w:rsid w:val="006D1C4B"/>
    <w:rsid w:val="006D289F"/>
    <w:rsid w:val="006D4E2A"/>
    <w:rsid w:val="006D57BA"/>
    <w:rsid w:val="006D6BFF"/>
    <w:rsid w:val="006D6C75"/>
    <w:rsid w:val="006E2D3A"/>
    <w:rsid w:val="006E32B2"/>
    <w:rsid w:val="006E380E"/>
    <w:rsid w:val="006E4CD6"/>
    <w:rsid w:val="006E75AC"/>
    <w:rsid w:val="006F127A"/>
    <w:rsid w:val="006F2331"/>
    <w:rsid w:val="006F24A3"/>
    <w:rsid w:val="006F3759"/>
    <w:rsid w:val="006F5B44"/>
    <w:rsid w:val="00701520"/>
    <w:rsid w:val="00702194"/>
    <w:rsid w:val="0070388B"/>
    <w:rsid w:val="00703EBA"/>
    <w:rsid w:val="00705127"/>
    <w:rsid w:val="0070662D"/>
    <w:rsid w:val="00707637"/>
    <w:rsid w:val="007158D2"/>
    <w:rsid w:val="00715D54"/>
    <w:rsid w:val="007243EC"/>
    <w:rsid w:val="007256BF"/>
    <w:rsid w:val="007271F2"/>
    <w:rsid w:val="00727CEC"/>
    <w:rsid w:val="00730478"/>
    <w:rsid w:val="007304BD"/>
    <w:rsid w:val="00736C7B"/>
    <w:rsid w:val="007377F9"/>
    <w:rsid w:val="007416D8"/>
    <w:rsid w:val="00743C18"/>
    <w:rsid w:val="0075588F"/>
    <w:rsid w:val="0076009A"/>
    <w:rsid w:val="0076220F"/>
    <w:rsid w:val="00764511"/>
    <w:rsid w:val="007649EE"/>
    <w:rsid w:val="00770783"/>
    <w:rsid w:val="00773D36"/>
    <w:rsid w:val="00773FD4"/>
    <w:rsid w:val="00777FDC"/>
    <w:rsid w:val="0078030D"/>
    <w:rsid w:val="007811DF"/>
    <w:rsid w:val="00785B72"/>
    <w:rsid w:val="00786DA5"/>
    <w:rsid w:val="00790D63"/>
    <w:rsid w:val="00791734"/>
    <w:rsid w:val="00792FB1"/>
    <w:rsid w:val="0079381A"/>
    <w:rsid w:val="00794186"/>
    <w:rsid w:val="00797CD7"/>
    <w:rsid w:val="007A0999"/>
    <w:rsid w:val="007A2D86"/>
    <w:rsid w:val="007A67EB"/>
    <w:rsid w:val="007B51B4"/>
    <w:rsid w:val="007B59E2"/>
    <w:rsid w:val="007C16AD"/>
    <w:rsid w:val="007C3179"/>
    <w:rsid w:val="007C59D2"/>
    <w:rsid w:val="007D6A02"/>
    <w:rsid w:val="007D7829"/>
    <w:rsid w:val="007E1A69"/>
    <w:rsid w:val="007E2216"/>
    <w:rsid w:val="007E3F28"/>
    <w:rsid w:val="007E5472"/>
    <w:rsid w:val="007F2C19"/>
    <w:rsid w:val="007F30E4"/>
    <w:rsid w:val="007F71AD"/>
    <w:rsid w:val="007F7434"/>
    <w:rsid w:val="008004E4"/>
    <w:rsid w:val="00800AD2"/>
    <w:rsid w:val="00801BC2"/>
    <w:rsid w:val="00801EFB"/>
    <w:rsid w:val="00802D71"/>
    <w:rsid w:val="008044A0"/>
    <w:rsid w:val="0080456A"/>
    <w:rsid w:val="00807E9E"/>
    <w:rsid w:val="00811390"/>
    <w:rsid w:val="008116DF"/>
    <w:rsid w:val="00812C11"/>
    <w:rsid w:val="0081309F"/>
    <w:rsid w:val="00813D19"/>
    <w:rsid w:val="0081478D"/>
    <w:rsid w:val="00826358"/>
    <w:rsid w:val="0083034B"/>
    <w:rsid w:val="008305EC"/>
    <w:rsid w:val="00830DC3"/>
    <w:rsid w:val="00831B39"/>
    <w:rsid w:val="00832550"/>
    <w:rsid w:val="008345FB"/>
    <w:rsid w:val="008364BF"/>
    <w:rsid w:val="008437B8"/>
    <w:rsid w:val="008449BF"/>
    <w:rsid w:val="00845A19"/>
    <w:rsid w:val="00846A2E"/>
    <w:rsid w:val="00847B8A"/>
    <w:rsid w:val="00847F1D"/>
    <w:rsid w:val="0085346D"/>
    <w:rsid w:val="008544BD"/>
    <w:rsid w:val="00854F79"/>
    <w:rsid w:val="00855009"/>
    <w:rsid w:val="00855158"/>
    <w:rsid w:val="00855855"/>
    <w:rsid w:val="00855F13"/>
    <w:rsid w:val="0085603D"/>
    <w:rsid w:val="00861B00"/>
    <w:rsid w:val="00863EC5"/>
    <w:rsid w:val="0086500F"/>
    <w:rsid w:val="00865ECF"/>
    <w:rsid w:val="0086630A"/>
    <w:rsid w:val="00876619"/>
    <w:rsid w:val="00877B3F"/>
    <w:rsid w:val="008808A5"/>
    <w:rsid w:val="00882022"/>
    <w:rsid w:val="00882271"/>
    <w:rsid w:val="00885A04"/>
    <w:rsid w:val="00886A32"/>
    <w:rsid w:val="00886DB5"/>
    <w:rsid w:val="00886DCC"/>
    <w:rsid w:val="008875B7"/>
    <w:rsid w:val="00897D2E"/>
    <w:rsid w:val="008A212A"/>
    <w:rsid w:val="008A481C"/>
    <w:rsid w:val="008A4ABF"/>
    <w:rsid w:val="008A4B99"/>
    <w:rsid w:val="008A4D7A"/>
    <w:rsid w:val="008A651F"/>
    <w:rsid w:val="008B2A0A"/>
    <w:rsid w:val="008B3A87"/>
    <w:rsid w:val="008B4266"/>
    <w:rsid w:val="008B5DD5"/>
    <w:rsid w:val="008B7B6F"/>
    <w:rsid w:val="008C12DC"/>
    <w:rsid w:val="008C6B33"/>
    <w:rsid w:val="008D1490"/>
    <w:rsid w:val="008D166B"/>
    <w:rsid w:val="008E0D92"/>
    <w:rsid w:val="008E4050"/>
    <w:rsid w:val="008E6B2C"/>
    <w:rsid w:val="008F068F"/>
    <w:rsid w:val="008F14B7"/>
    <w:rsid w:val="008F15D1"/>
    <w:rsid w:val="008F1B0A"/>
    <w:rsid w:val="008F3B34"/>
    <w:rsid w:val="008F4B8A"/>
    <w:rsid w:val="008F5382"/>
    <w:rsid w:val="008F73BA"/>
    <w:rsid w:val="008F77BA"/>
    <w:rsid w:val="00901913"/>
    <w:rsid w:val="00903FC2"/>
    <w:rsid w:val="00906359"/>
    <w:rsid w:val="0090676C"/>
    <w:rsid w:val="00906ABC"/>
    <w:rsid w:val="00914332"/>
    <w:rsid w:val="00915759"/>
    <w:rsid w:val="00915BD9"/>
    <w:rsid w:val="0092038F"/>
    <w:rsid w:val="00923C09"/>
    <w:rsid w:val="00925CBB"/>
    <w:rsid w:val="00926852"/>
    <w:rsid w:val="00927773"/>
    <w:rsid w:val="0093294C"/>
    <w:rsid w:val="009405DA"/>
    <w:rsid w:val="009409EC"/>
    <w:rsid w:val="00943408"/>
    <w:rsid w:val="00944F38"/>
    <w:rsid w:val="00945898"/>
    <w:rsid w:val="00952DB4"/>
    <w:rsid w:val="00954E7B"/>
    <w:rsid w:val="00967992"/>
    <w:rsid w:val="009679B5"/>
    <w:rsid w:val="009717E7"/>
    <w:rsid w:val="00973B91"/>
    <w:rsid w:val="009777F1"/>
    <w:rsid w:val="00982EF7"/>
    <w:rsid w:val="0098507D"/>
    <w:rsid w:val="0098650A"/>
    <w:rsid w:val="0098721A"/>
    <w:rsid w:val="00987500"/>
    <w:rsid w:val="00993450"/>
    <w:rsid w:val="0099449A"/>
    <w:rsid w:val="00996A59"/>
    <w:rsid w:val="009A0172"/>
    <w:rsid w:val="009A1CB8"/>
    <w:rsid w:val="009A51ED"/>
    <w:rsid w:val="009C377C"/>
    <w:rsid w:val="009C4875"/>
    <w:rsid w:val="009C48ED"/>
    <w:rsid w:val="009D01A2"/>
    <w:rsid w:val="009D0C0E"/>
    <w:rsid w:val="009D2383"/>
    <w:rsid w:val="009D718E"/>
    <w:rsid w:val="009E4EE2"/>
    <w:rsid w:val="009E6CBA"/>
    <w:rsid w:val="009F0ED1"/>
    <w:rsid w:val="009F2243"/>
    <w:rsid w:val="009F3D89"/>
    <w:rsid w:val="00A0017E"/>
    <w:rsid w:val="00A0485B"/>
    <w:rsid w:val="00A05B91"/>
    <w:rsid w:val="00A05DB7"/>
    <w:rsid w:val="00A122C2"/>
    <w:rsid w:val="00A135FD"/>
    <w:rsid w:val="00A15295"/>
    <w:rsid w:val="00A15514"/>
    <w:rsid w:val="00A15F22"/>
    <w:rsid w:val="00A20213"/>
    <w:rsid w:val="00A2071D"/>
    <w:rsid w:val="00A22B0E"/>
    <w:rsid w:val="00A22DF6"/>
    <w:rsid w:val="00A231AD"/>
    <w:rsid w:val="00A24A31"/>
    <w:rsid w:val="00A2539D"/>
    <w:rsid w:val="00A25A9F"/>
    <w:rsid w:val="00A25FE7"/>
    <w:rsid w:val="00A302B2"/>
    <w:rsid w:val="00A34327"/>
    <w:rsid w:val="00A34CC9"/>
    <w:rsid w:val="00A432F8"/>
    <w:rsid w:val="00A44BCB"/>
    <w:rsid w:val="00A44D45"/>
    <w:rsid w:val="00A45A07"/>
    <w:rsid w:val="00A46622"/>
    <w:rsid w:val="00A46675"/>
    <w:rsid w:val="00A47A4F"/>
    <w:rsid w:val="00A5075E"/>
    <w:rsid w:val="00A50966"/>
    <w:rsid w:val="00A54B51"/>
    <w:rsid w:val="00A55F44"/>
    <w:rsid w:val="00A6519A"/>
    <w:rsid w:val="00A65898"/>
    <w:rsid w:val="00A66019"/>
    <w:rsid w:val="00A67A83"/>
    <w:rsid w:val="00A709B9"/>
    <w:rsid w:val="00A72CF8"/>
    <w:rsid w:val="00A75335"/>
    <w:rsid w:val="00A84D15"/>
    <w:rsid w:val="00A868FF"/>
    <w:rsid w:val="00A905AE"/>
    <w:rsid w:val="00A94FFC"/>
    <w:rsid w:val="00A9517C"/>
    <w:rsid w:val="00A967C3"/>
    <w:rsid w:val="00A97111"/>
    <w:rsid w:val="00AA4945"/>
    <w:rsid w:val="00AA5570"/>
    <w:rsid w:val="00AA7667"/>
    <w:rsid w:val="00AB1A06"/>
    <w:rsid w:val="00AB39A4"/>
    <w:rsid w:val="00AB50B6"/>
    <w:rsid w:val="00AC3547"/>
    <w:rsid w:val="00AC49F4"/>
    <w:rsid w:val="00AC7FD3"/>
    <w:rsid w:val="00AD6687"/>
    <w:rsid w:val="00AE133A"/>
    <w:rsid w:val="00AE2177"/>
    <w:rsid w:val="00AE25BB"/>
    <w:rsid w:val="00AE3C78"/>
    <w:rsid w:val="00AE58BF"/>
    <w:rsid w:val="00AF01B0"/>
    <w:rsid w:val="00AF186F"/>
    <w:rsid w:val="00AF4BA5"/>
    <w:rsid w:val="00AF6336"/>
    <w:rsid w:val="00AF6FEE"/>
    <w:rsid w:val="00B03DB3"/>
    <w:rsid w:val="00B16471"/>
    <w:rsid w:val="00B23211"/>
    <w:rsid w:val="00B26769"/>
    <w:rsid w:val="00B318DE"/>
    <w:rsid w:val="00B33C14"/>
    <w:rsid w:val="00B340FF"/>
    <w:rsid w:val="00B34A3E"/>
    <w:rsid w:val="00B3680B"/>
    <w:rsid w:val="00B37AA5"/>
    <w:rsid w:val="00B4060F"/>
    <w:rsid w:val="00B438CD"/>
    <w:rsid w:val="00B4400C"/>
    <w:rsid w:val="00B516A9"/>
    <w:rsid w:val="00B52700"/>
    <w:rsid w:val="00B55323"/>
    <w:rsid w:val="00B60004"/>
    <w:rsid w:val="00B60CC0"/>
    <w:rsid w:val="00B60CF8"/>
    <w:rsid w:val="00B627B1"/>
    <w:rsid w:val="00B6314C"/>
    <w:rsid w:val="00B641C5"/>
    <w:rsid w:val="00B64C0E"/>
    <w:rsid w:val="00B700EE"/>
    <w:rsid w:val="00B72901"/>
    <w:rsid w:val="00B74DA5"/>
    <w:rsid w:val="00B74F34"/>
    <w:rsid w:val="00B77768"/>
    <w:rsid w:val="00B839C4"/>
    <w:rsid w:val="00B91A04"/>
    <w:rsid w:val="00B9372C"/>
    <w:rsid w:val="00BA710F"/>
    <w:rsid w:val="00BA74F2"/>
    <w:rsid w:val="00BB1719"/>
    <w:rsid w:val="00BB4835"/>
    <w:rsid w:val="00BB49C9"/>
    <w:rsid w:val="00BB4DFB"/>
    <w:rsid w:val="00BB5C3D"/>
    <w:rsid w:val="00BB66F1"/>
    <w:rsid w:val="00BC2F73"/>
    <w:rsid w:val="00BC32A3"/>
    <w:rsid w:val="00BC3F5C"/>
    <w:rsid w:val="00BC69A6"/>
    <w:rsid w:val="00BC7CFE"/>
    <w:rsid w:val="00BE6671"/>
    <w:rsid w:val="00BE6DBD"/>
    <w:rsid w:val="00BE7845"/>
    <w:rsid w:val="00BF00B0"/>
    <w:rsid w:val="00BF0422"/>
    <w:rsid w:val="00BF0A56"/>
    <w:rsid w:val="00C00D70"/>
    <w:rsid w:val="00C05721"/>
    <w:rsid w:val="00C10411"/>
    <w:rsid w:val="00C10E7B"/>
    <w:rsid w:val="00C12645"/>
    <w:rsid w:val="00C12F9D"/>
    <w:rsid w:val="00C16CEB"/>
    <w:rsid w:val="00C2133F"/>
    <w:rsid w:val="00C22C56"/>
    <w:rsid w:val="00C22E5B"/>
    <w:rsid w:val="00C23CAC"/>
    <w:rsid w:val="00C27FA6"/>
    <w:rsid w:val="00C30F08"/>
    <w:rsid w:val="00C33357"/>
    <w:rsid w:val="00C37DE6"/>
    <w:rsid w:val="00C37E8E"/>
    <w:rsid w:val="00C405F0"/>
    <w:rsid w:val="00C411E9"/>
    <w:rsid w:val="00C41613"/>
    <w:rsid w:val="00C45B3B"/>
    <w:rsid w:val="00C46ECA"/>
    <w:rsid w:val="00C47007"/>
    <w:rsid w:val="00C543B7"/>
    <w:rsid w:val="00C54C73"/>
    <w:rsid w:val="00C55B19"/>
    <w:rsid w:val="00C62C49"/>
    <w:rsid w:val="00C62CEC"/>
    <w:rsid w:val="00C639C5"/>
    <w:rsid w:val="00C64357"/>
    <w:rsid w:val="00C65182"/>
    <w:rsid w:val="00C6582D"/>
    <w:rsid w:val="00C70C2A"/>
    <w:rsid w:val="00C730E3"/>
    <w:rsid w:val="00C738B0"/>
    <w:rsid w:val="00C80F5B"/>
    <w:rsid w:val="00C80F98"/>
    <w:rsid w:val="00C8186C"/>
    <w:rsid w:val="00C8603B"/>
    <w:rsid w:val="00C95F5E"/>
    <w:rsid w:val="00C97382"/>
    <w:rsid w:val="00CA454E"/>
    <w:rsid w:val="00CB06D5"/>
    <w:rsid w:val="00CB2D75"/>
    <w:rsid w:val="00CB56B2"/>
    <w:rsid w:val="00CB7B8C"/>
    <w:rsid w:val="00CC392E"/>
    <w:rsid w:val="00CC3DCA"/>
    <w:rsid w:val="00CC7052"/>
    <w:rsid w:val="00CD5239"/>
    <w:rsid w:val="00CD6B06"/>
    <w:rsid w:val="00CD6B78"/>
    <w:rsid w:val="00CE0367"/>
    <w:rsid w:val="00CE1C7C"/>
    <w:rsid w:val="00CE2784"/>
    <w:rsid w:val="00CE4305"/>
    <w:rsid w:val="00CE57AC"/>
    <w:rsid w:val="00CF02F3"/>
    <w:rsid w:val="00CF21B8"/>
    <w:rsid w:val="00CF32CB"/>
    <w:rsid w:val="00CF4BE9"/>
    <w:rsid w:val="00CF7D4A"/>
    <w:rsid w:val="00D04CC0"/>
    <w:rsid w:val="00D15F47"/>
    <w:rsid w:val="00D16687"/>
    <w:rsid w:val="00D17950"/>
    <w:rsid w:val="00D22DEC"/>
    <w:rsid w:val="00D24828"/>
    <w:rsid w:val="00D2687C"/>
    <w:rsid w:val="00D31585"/>
    <w:rsid w:val="00D32209"/>
    <w:rsid w:val="00D34BE2"/>
    <w:rsid w:val="00D4125B"/>
    <w:rsid w:val="00D4214C"/>
    <w:rsid w:val="00D453E2"/>
    <w:rsid w:val="00D46E13"/>
    <w:rsid w:val="00D500E1"/>
    <w:rsid w:val="00D506F0"/>
    <w:rsid w:val="00D507EE"/>
    <w:rsid w:val="00D5226D"/>
    <w:rsid w:val="00D57D94"/>
    <w:rsid w:val="00D605D2"/>
    <w:rsid w:val="00D61282"/>
    <w:rsid w:val="00D6303F"/>
    <w:rsid w:val="00D63F05"/>
    <w:rsid w:val="00D647B7"/>
    <w:rsid w:val="00D66156"/>
    <w:rsid w:val="00D66EB1"/>
    <w:rsid w:val="00D7091B"/>
    <w:rsid w:val="00D7170B"/>
    <w:rsid w:val="00D73B8E"/>
    <w:rsid w:val="00D73BA8"/>
    <w:rsid w:val="00D74F28"/>
    <w:rsid w:val="00D7716B"/>
    <w:rsid w:val="00D81254"/>
    <w:rsid w:val="00D856E7"/>
    <w:rsid w:val="00D86859"/>
    <w:rsid w:val="00D8780B"/>
    <w:rsid w:val="00D87A52"/>
    <w:rsid w:val="00D87D5F"/>
    <w:rsid w:val="00D900C6"/>
    <w:rsid w:val="00D915E6"/>
    <w:rsid w:val="00D919FF"/>
    <w:rsid w:val="00D92532"/>
    <w:rsid w:val="00D97BBA"/>
    <w:rsid w:val="00DA02F4"/>
    <w:rsid w:val="00DA1482"/>
    <w:rsid w:val="00DA7953"/>
    <w:rsid w:val="00DB0B6E"/>
    <w:rsid w:val="00DB1AC7"/>
    <w:rsid w:val="00DB5C8A"/>
    <w:rsid w:val="00DB5E0E"/>
    <w:rsid w:val="00DB6B47"/>
    <w:rsid w:val="00DC22B4"/>
    <w:rsid w:val="00DC357C"/>
    <w:rsid w:val="00DC51E1"/>
    <w:rsid w:val="00DC5E5C"/>
    <w:rsid w:val="00DC7297"/>
    <w:rsid w:val="00DD22E3"/>
    <w:rsid w:val="00DD2ED2"/>
    <w:rsid w:val="00DD3EA3"/>
    <w:rsid w:val="00DD79AB"/>
    <w:rsid w:val="00DD7AAE"/>
    <w:rsid w:val="00DD7CE2"/>
    <w:rsid w:val="00DE16C6"/>
    <w:rsid w:val="00DE442D"/>
    <w:rsid w:val="00DE4C6B"/>
    <w:rsid w:val="00DE6B55"/>
    <w:rsid w:val="00DF221F"/>
    <w:rsid w:val="00DF48D9"/>
    <w:rsid w:val="00E02673"/>
    <w:rsid w:val="00E043D4"/>
    <w:rsid w:val="00E0550D"/>
    <w:rsid w:val="00E0573A"/>
    <w:rsid w:val="00E057BD"/>
    <w:rsid w:val="00E074B9"/>
    <w:rsid w:val="00E130A8"/>
    <w:rsid w:val="00E149E2"/>
    <w:rsid w:val="00E15E94"/>
    <w:rsid w:val="00E23133"/>
    <w:rsid w:val="00E23360"/>
    <w:rsid w:val="00E2422D"/>
    <w:rsid w:val="00E252F3"/>
    <w:rsid w:val="00E31C2D"/>
    <w:rsid w:val="00E33480"/>
    <w:rsid w:val="00E36C2B"/>
    <w:rsid w:val="00E41CB8"/>
    <w:rsid w:val="00E4535E"/>
    <w:rsid w:val="00E5043F"/>
    <w:rsid w:val="00E50CBD"/>
    <w:rsid w:val="00E53BF0"/>
    <w:rsid w:val="00E5599D"/>
    <w:rsid w:val="00E5659F"/>
    <w:rsid w:val="00E56649"/>
    <w:rsid w:val="00E5715A"/>
    <w:rsid w:val="00E575A7"/>
    <w:rsid w:val="00E60326"/>
    <w:rsid w:val="00E60F94"/>
    <w:rsid w:val="00E61CCD"/>
    <w:rsid w:val="00E63A4C"/>
    <w:rsid w:val="00E66E20"/>
    <w:rsid w:val="00E734A0"/>
    <w:rsid w:val="00E74527"/>
    <w:rsid w:val="00E758E5"/>
    <w:rsid w:val="00E768E1"/>
    <w:rsid w:val="00E8313B"/>
    <w:rsid w:val="00E83BC0"/>
    <w:rsid w:val="00E917DF"/>
    <w:rsid w:val="00E94A08"/>
    <w:rsid w:val="00E9642A"/>
    <w:rsid w:val="00EA1821"/>
    <w:rsid w:val="00EA4EE9"/>
    <w:rsid w:val="00EA5C06"/>
    <w:rsid w:val="00EB296A"/>
    <w:rsid w:val="00EB34FD"/>
    <w:rsid w:val="00EB3D75"/>
    <w:rsid w:val="00EB3E36"/>
    <w:rsid w:val="00EB47C8"/>
    <w:rsid w:val="00EB57FE"/>
    <w:rsid w:val="00EB6015"/>
    <w:rsid w:val="00EB6388"/>
    <w:rsid w:val="00EC0648"/>
    <w:rsid w:val="00EC096B"/>
    <w:rsid w:val="00EC2D17"/>
    <w:rsid w:val="00EC52CA"/>
    <w:rsid w:val="00EC58A5"/>
    <w:rsid w:val="00EC6E34"/>
    <w:rsid w:val="00ED024F"/>
    <w:rsid w:val="00ED1E61"/>
    <w:rsid w:val="00ED23E3"/>
    <w:rsid w:val="00ED5108"/>
    <w:rsid w:val="00ED5705"/>
    <w:rsid w:val="00EE3345"/>
    <w:rsid w:val="00EE428A"/>
    <w:rsid w:val="00EE7ED0"/>
    <w:rsid w:val="00EF10EF"/>
    <w:rsid w:val="00EF26F2"/>
    <w:rsid w:val="00EF28FD"/>
    <w:rsid w:val="00EF44AC"/>
    <w:rsid w:val="00EF63BF"/>
    <w:rsid w:val="00EF77D5"/>
    <w:rsid w:val="00F022A8"/>
    <w:rsid w:val="00F02BFB"/>
    <w:rsid w:val="00F057A4"/>
    <w:rsid w:val="00F11B2E"/>
    <w:rsid w:val="00F1283C"/>
    <w:rsid w:val="00F139DB"/>
    <w:rsid w:val="00F20F6A"/>
    <w:rsid w:val="00F22368"/>
    <w:rsid w:val="00F4067D"/>
    <w:rsid w:val="00F55224"/>
    <w:rsid w:val="00F55844"/>
    <w:rsid w:val="00F60AF3"/>
    <w:rsid w:val="00F629DB"/>
    <w:rsid w:val="00F6373B"/>
    <w:rsid w:val="00F72292"/>
    <w:rsid w:val="00F73887"/>
    <w:rsid w:val="00F75160"/>
    <w:rsid w:val="00F83E0E"/>
    <w:rsid w:val="00F91A46"/>
    <w:rsid w:val="00FA020B"/>
    <w:rsid w:val="00FA03DC"/>
    <w:rsid w:val="00FA34DE"/>
    <w:rsid w:val="00FA522F"/>
    <w:rsid w:val="00FA5716"/>
    <w:rsid w:val="00FA7A4A"/>
    <w:rsid w:val="00FB6438"/>
    <w:rsid w:val="00FC212F"/>
    <w:rsid w:val="00FC7738"/>
    <w:rsid w:val="00FC7B58"/>
    <w:rsid w:val="00FD35B1"/>
    <w:rsid w:val="00FD5819"/>
    <w:rsid w:val="00FE13EA"/>
    <w:rsid w:val="00FE2426"/>
    <w:rsid w:val="00FF1A13"/>
    <w:rsid w:val="00FF4177"/>
    <w:rsid w:val="00FF4C89"/>
    <w:rsid w:val="00FF6A67"/>
    <w:rsid w:val="00FF7030"/>
    <w:rsid w:val="00FF7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F1A3EF0-B7EC-49A5-9B03-21C7F7B2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47"/>
      </w:numPr>
      <w:pBdr>
        <w:bottom w:val="single" w:sz="4" w:space="1" w:color="000000" w:themeColor="text1"/>
      </w:pBdr>
      <w:spacing w:before="480" w:after="0"/>
      <w:contextualSpacing/>
      <w:outlineLvl w:val="0"/>
    </w:pPr>
    <w:rPr>
      <w:rFonts w:asciiTheme="majorHAnsi" w:eastAsiaTheme="majorEastAsia" w:hAnsiTheme="majorHAnsi" w:cstheme="majorBidi"/>
      <w:bCs/>
      <w:caps/>
      <w:color w:val="000000" w:themeColor="text1"/>
      <w:sz w:val="48"/>
      <w:szCs w:val="28"/>
    </w:rPr>
  </w:style>
  <w:style w:type="paragraph" w:styleId="Heading2">
    <w:name w:val="heading 2"/>
    <w:basedOn w:val="Normal"/>
    <w:next w:val="Normal"/>
    <w:link w:val="Heading2Char"/>
    <w:uiPriority w:val="9"/>
    <w:unhideWhenUsed/>
    <w:qFormat/>
    <w:rsid w:val="00C30F08"/>
    <w:pPr>
      <w:numPr>
        <w:ilvl w:val="1"/>
        <w:numId w:val="47"/>
      </w:numPr>
      <w:spacing w:before="360" w:after="120"/>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47"/>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semiHidden/>
    <w:unhideWhenUsed/>
    <w:qFormat/>
    <w:rsid w:val="0038010E"/>
    <w:pPr>
      <w:numPr>
        <w:ilvl w:val="3"/>
        <w:numId w:val="4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38010E"/>
    <w:pPr>
      <w:numPr>
        <w:ilvl w:val="4"/>
        <w:numId w:val="47"/>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38010E"/>
    <w:pPr>
      <w:numPr>
        <w:ilvl w:val="5"/>
        <w:numId w:val="47"/>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38010E"/>
    <w:pPr>
      <w:numPr>
        <w:ilvl w:val="6"/>
        <w:numId w:val="4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4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4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00000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semiHidden/>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38010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38010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styleId="Strong">
    <w:name w:val="Strong"/>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outlineLvl w:val="9"/>
    </w:pPr>
  </w:style>
  <w:style w:type="paragraph" w:styleId="Header">
    <w:name w:val="header"/>
    <w:basedOn w:val="Normal"/>
    <w:link w:val="HeaderChar"/>
    <w:uiPriority w:val="99"/>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uiPriority w:val="59"/>
    <w:rsid w:val="004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00000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000000" w:themeColor="text1"/>
    </w:rPr>
  </w:style>
  <w:style w:type="table" w:customStyle="1" w:styleId="calloutbox">
    <w:name w:val="call out box"/>
    <w:basedOn w:val="TableNormal"/>
    <w:uiPriority w:val="99"/>
    <w:qFormat/>
    <w:rsid w:val="006360E9"/>
    <w:pPr>
      <w:spacing w:after="0" w:line="240" w:lineRule="auto"/>
    </w:pPr>
    <w:rPr>
      <w:color w:val="4D4D4D"/>
    </w:rPr>
    <w:tblPr>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bottom w:w="113" w:type="dxa"/>
      </w:tblCellMar>
    </w:tblPr>
    <w:tblStylePr w:type="firstRow">
      <w:rPr>
        <w:rFonts w:asciiTheme="minorHAnsi" w:hAnsiTheme="minorHAnsi"/>
        <w:b/>
        <w:color w:val="00000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C730E3"/>
    <w:pPr>
      <w:spacing w:after="100"/>
    </w:pPr>
    <w:rPr>
      <w:b/>
      <w:color w:val="00000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66FF"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EndnoteText">
    <w:name w:val="endnote text"/>
    <w:basedOn w:val="Normal"/>
    <w:link w:val="EndnoteTextChar"/>
    <w:uiPriority w:val="99"/>
    <w:semiHidden/>
    <w:unhideWhenUsed/>
    <w:rsid w:val="00DA7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7953"/>
    <w:rPr>
      <w:sz w:val="20"/>
      <w:szCs w:val="20"/>
    </w:rPr>
  </w:style>
  <w:style w:type="character" w:styleId="EndnoteReference">
    <w:name w:val="endnote reference"/>
    <w:basedOn w:val="DefaultParagraphFont"/>
    <w:uiPriority w:val="99"/>
    <w:semiHidden/>
    <w:unhideWhenUsed/>
    <w:rsid w:val="00DA7953"/>
    <w:rPr>
      <w:vertAlign w:val="superscript"/>
    </w:rPr>
  </w:style>
  <w:style w:type="paragraph" w:customStyle="1" w:styleId="Default">
    <w:name w:val="Default"/>
    <w:rsid w:val="00DA7953"/>
    <w:pPr>
      <w:autoSpaceDE w:val="0"/>
      <w:autoSpaceDN w:val="0"/>
      <w:adjustRightInd w:val="0"/>
      <w:spacing w:after="0" w:line="240" w:lineRule="auto"/>
    </w:pPr>
    <w:rPr>
      <w:rFonts w:ascii="Swis721 BT" w:hAnsi="Swis721 BT" w:cs="Swis721 BT"/>
      <w:color w:val="000000"/>
      <w:sz w:val="24"/>
      <w:szCs w:val="24"/>
      <w:lang w:val="en-GB" w:bidi="ar-SA"/>
    </w:rPr>
  </w:style>
  <w:style w:type="character" w:customStyle="1" w:styleId="A10">
    <w:name w:val="A10"/>
    <w:uiPriority w:val="99"/>
    <w:rsid w:val="00DA7953"/>
    <w:rPr>
      <w:rFonts w:cs="Swis721 BT"/>
      <w:b/>
      <w:bCs/>
      <w:color w:val="000000"/>
      <w:sz w:val="22"/>
      <w:szCs w:val="22"/>
    </w:rPr>
  </w:style>
  <w:style w:type="paragraph" w:styleId="FootnoteText">
    <w:name w:val="footnote text"/>
    <w:basedOn w:val="Normal"/>
    <w:link w:val="FootnoteTextChar"/>
    <w:unhideWhenUsed/>
    <w:rsid w:val="00657964"/>
    <w:pPr>
      <w:spacing w:after="0" w:line="240" w:lineRule="auto"/>
    </w:pPr>
    <w:rPr>
      <w:sz w:val="20"/>
      <w:szCs w:val="20"/>
    </w:rPr>
  </w:style>
  <w:style w:type="character" w:customStyle="1" w:styleId="FootnoteTextChar">
    <w:name w:val="Footnote Text Char"/>
    <w:basedOn w:val="DefaultParagraphFont"/>
    <w:link w:val="FootnoteText"/>
    <w:rsid w:val="00657964"/>
    <w:rPr>
      <w:sz w:val="20"/>
      <w:szCs w:val="20"/>
    </w:rPr>
  </w:style>
  <w:style w:type="character" w:styleId="FootnoteReference">
    <w:name w:val="footnote reference"/>
    <w:basedOn w:val="DefaultParagraphFont"/>
    <w:uiPriority w:val="99"/>
    <w:semiHidden/>
    <w:unhideWhenUsed/>
    <w:rsid w:val="00657964"/>
    <w:rPr>
      <w:vertAlign w:val="superscript"/>
    </w:rPr>
  </w:style>
  <w:style w:type="character" w:styleId="CommentReference">
    <w:name w:val="annotation reference"/>
    <w:basedOn w:val="DefaultParagraphFont"/>
    <w:uiPriority w:val="99"/>
    <w:semiHidden/>
    <w:unhideWhenUsed/>
    <w:rsid w:val="002659A6"/>
    <w:rPr>
      <w:sz w:val="16"/>
      <w:szCs w:val="16"/>
    </w:rPr>
  </w:style>
  <w:style w:type="paragraph" w:styleId="CommentText">
    <w:name w:val="annotation text"/>
    <w:basedOn w:val="Normal"/>
    <w:link w:val="CommentTextChar"/>
    <w:uiPriority w:val="99"/>
    <w:semiHidden/>
    <w:unhideWhenUsed/>
    <w:rsid w:val="002659A6"/>
    <w:pPr>
      <w:spacing w:line="240" w:lineRule="auto"/>
    </w:pPr>
    <w:rPr>
      <w:sz w:val="20"/>
      <w:szCs w:val="20"/>
    </w:rPr>
  </w:style>
  <w:style w:type="character" w:customStyle="1" w:styleId="CommentTextChar">
    <w:name w:val="Comment Text Char"/>
    <w:basedOn w:val="DefaultParagraphFont"/>
    <w:link w:val="CommentText"/>
    <w:uiPriority w:val="99"/>
    <w:semiHidden/>
    <w:rsid w:val="002659A6"/>
    <w:rPr>
      <w:sz w:val="20"/>
      <w:szCs w:val="20"/>
    </w:rPr>
  </w:style>
  <w:style w:type="paragraph" w:styleId="CommentSubject">
    <w:name w:val="annotation subject"/>
    <w:basedOn w:val="CommentText"/>
    <w:next w:val="CommentText"/>
    <w:link w:val="CommentSubjectChar"/>
    <w:uiPriority w:val="99"/>
    <w:semiHidden/>
    <w:unhideWhenUsed/>
    <w:rsid w:val="002659A6"/>
    <w:rPr>
      <w:b/>
      <w:bCs/>
    </w:rPr>
  </w:style>
  <w:style w:type="character" w:customStyle="1" w:styleId="CommentSubjectChar">
    <w:name w:val="Comment Subject Char"/>
    <w:basedOn w:val="CommentTextChar"/>
    <w:link w:val="CommentSubject"/>
    <w:uiPriority w:val="99"/>
    <w:semiHidden/>
    <w:rsid w:val="002659A6"/>
    <w:rPr>
      <w:b/>
      <w:bCs/>
      <w:sz w:val="20"/>
      <w:szCs w:val="20"/>
    </w:rPr>
  </w:style>
  <w:style w:type="character" w:customStyle="1" w:styleId="legamendingtext">
    <w:name w:val="legamendingtext"/>
    <w:basedOn w:val="DefaultParagraphFont"/>
    <w:rsid w:val="009E4EE2"/>
  </w:style>
  <w:style w:type="paragraph" w:customStyle="1" w:styleId="legp2paratext1">
    <w:name w:val="legp2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paragraph" w:customStyle="1" w:styleId="legclearfix2">
    <w:name w:val="legclearfix2"/>
    <w:basedOn w:val="Normal"/>
    <w:rsid w:val="009E4EE2"/>
    <w:pPr>
      <w:shd w:val="clear" w:color="auto" w:fill="FFFFFF"/>
      <w:spacing w:after="120" w:line="360" w:lineRule="atLeast"/>
    </w:pPr>
    <w:rPr>
      <w:rFonts w:ascii="Times New Roman" w:eastAsia="Times New Roman" w:hAnsi="Times New Roman" w:cs="Times New Roman"/>
      <w:color w:val="494949"/>
      <w:sz w:val="19"/>
      <w:szCs w:val="19"/>
      <w:lang w:val="en-GB" w:eastAsia="en-GB" w:bidi="ar-SA"/>
    </w:rPr>
  </w:style>
  <w:style w:type="paragraph" w:customStyle="1" w:styleId="legp1paratext1">
    <w:name w:val="legp1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character" w:customStyle="1" w:styleId="spelle">
    <w:name w:val="spelle"/>
    <w:basedOn w:val="DefaultParagraphFont"/>
    <w:rsid w:val="00855158"/>
  </w:style>
  <w:style w:type="paragraph" w:styleId="NormalWeb">
    <w:name w:val="Normal (Web)"/>
    <w:basedOn w:val="Normal"/>
    <w:uiPriority w:val="99"/>
    <w:semiHidden/>
    <w:unhideWhenUsed/>
    <w:rsid w:val="001C1281"/>
    <w:pPr>
      <w:spacing w:after="240" w:line="240" w:lineRule="auto"/>
    </w:pPr>
    <w:rPr>
      <w:rFonts w:ascii="Times New Roman" w:eastAsia="Times New Roman" w:hAnsi="Times New Roman" w:cs="Times New Roman"/>
      <w:sz w:val="24"/>
      <w:szCs w:val="24"/>
      <w:lang w:val="en-GB" w:eastAsia="en-GB" w:bidi="ar-SA"/>
    </w:rPr>
  </w:style>
  <w:style w:type="character" w:styleId="FollowedHyperlink">
    <w:name w:val="FollowedHyperlink"/>
    <w:basedOn w:val="DefaultParagraphFont"/>
    <w:uiPriority w:val="99"/>
    <w:semiHidden/>
    <w:unhideWhenUsed/>
    <w:rsid w:val="00553EB3"/>
    <w:rPr>
      <w:color w:val="800080"/>
      <w:u w:val="single"/>
    </w:rPr>
  </w:style>
  <w:style w:type="paragraph" w:customStyle="1" w:styleId="xl65">
    <w:name w:val="xl65"/>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66">
    <w:name w:val="xl6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7">
    <w:name w:val="xl67"/>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8">
    <w:name w:val="xl68"/>
    <w:basedOn w:val="Normal"/>
    <w:rsid w:val="00553E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69">
    <w:name w:val="xl6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0">
    <w:name w:val="xl70"/>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1">
    <w:name w:val="xl71"/>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2">
    <w:name w:val="xl72"/>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3">
    <w:name w:val="xl73"/>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4">
    <w:name w:val="xl7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5">
    <w:name w:val="xl75"/>
    <w:basedOn w:val="Normal"/>
    <w:rsid w:val="00553EB3"/>
    <w:pPr>
      <w:pBdr>
        <w:top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6">
    <w:name w:val="xl76"/>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7">
    <w:name w:val="xl77"/>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8">
    <w:name w:val="xl78"/>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9">
    <w:name w:val="xl7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80">
    <w:name w:val="xl80"/>
    <w:basedOn w:val="Normal"/>
    <w:rsid w:val="00553EB3"/>
    <w:pPr>
      <w:pBdr>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1">
    <w:name w:val="xl81"/>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2">
    <w:name w:val="xl82"/>
    <w:basedOn w:val="Normal"/>
    <w:rsid w:val="00553EB3"/>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3">
    <w:name w:val="xl83"/>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84">
    <w:name w:val="xl8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5">
    <w:name w:val="xl85"/>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6">
    <w:name w:val="xl8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87">
    <w:name w:val="xl87"/>
    <w:basedOn w:val="Normal"/>
    <w:rsid w:val="00553E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8">
    <w:name w:val="xl88"/>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9">
    <w:name w:val="xl89"/>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GB" w:eastAsia="en-GB" w:bidi="ar-SA"/>
    </w:rPr>
  </w:style>
  <w:style w:type="paragraph" w:customStyle="1" w:styleId="xl90">
    <w:name w:val="xl90"/>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1">
    <w:name w:val="xl91"/>
    <w:basedOn w:val="Normal"/>
    <w:rsid w:val="00553E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2">
    <w:name w:val="xl92"/>
    <w:basedOn w:val="Normal"/>
    <w:rsid w:val="00553EB3"/>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3">
    <w:name w:val="xl93"/>
    <w:basedOn w:val="Normal"/>
    <w:rsid w:val="00553EB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4">
    <w:name w:val="xl94"/>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95">
    <w:name w:val="xl95"/>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96">
    <w:name w:val="xl96"/>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7">
    <w:name w:val="xl97"/>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98">
    <w:name w:val="xl98"/>
    <w:basedOn w:val="Normal"/>
    <w:rsid w:val="00553EB3"/>
    <w:pPr>
      <w:pBdr>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9">
    <w:name w:val="xl99"/>
    <w:basedOn w:val="Normal"/>
    <w:rsid w:val="00553EB3"/>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0">
    <w:name w:val="xl100"/>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1">
    <w:name w:val="xl101"/>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2">
    <w:name w:val="xl102"/>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3">
    <w:name w:val="xl103"/>
    <w:basedOn w:val="Normal"/>
    <w:rsid w:val="00553EB3"/>
    <w:pPr>
      <w:pBdr>
        <w:top w:val="single" w:sz="8"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4">
    <w:name w:val="xl104"/>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5">
    <w:name w:val="xl105"/>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6">
    <w:name w:val="xl106"/>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7">
    <w:name w:val="xl107"/>
    <w:basedOn w:val="Normal"/>
    <w:rsid w:val="00553EB3"/>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8">
    <w:name w:val="xl108"/>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9">
    <w:name w:val="xl109"/>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0">
    <w:name w:val="xl110"/>
    <w:basedOn w:val="Normal"/>
    <w:rsid w:val="00553EB3"/>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11">
    <w:name w:val="xl111"/>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12">
    <w:name w:val="xl112"/>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13">
    <w:name w:val="xl11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4">
    <w:name w:val="xl114"/>
    <w:basedOn w:val="Normal"/>
    <w:rsid w:val="00553EB3"/>
    <w:pPr>
      <w:pBdr>
        <w:top w:val="single" w:sz="8" w:space="0" w:color="auto"/>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5">
    <w:name w:val="xl115"/>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6">
    <w:name w:val="xl116"/>
    <w:basedOn w:val="Normal"/>
    <w:rsid w:val="00553EB3"/>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7">
    <w:name w:val="xl117"/>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8">
    <w:name w:val="xl118"/>
    <w:basedOn w:val="Normal"/>
    <w:rsid w:val="00553EB3"/>
    <w:pPr>
      <w:pBdr>
        <w:top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9">
    <w:name w:val="xl119"/>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20">
    <w:name w:val="xl120"/>
    <w:basedOn w:val="Normal"/>
    <w:rsid w:val="00553EB3"/>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1">
    <w:name w:val="xl121"/>
    <w:basedOn w:val="Normal"/>
    <w:rsid w:val="00553EB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2">
    <w:name w:val="xl122"/>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3">
    <w:name w:val="xl12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4">
    <w:name w:val="xl124"/>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5">
    <w:name w:val="xl125"/>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6">
    <w:name w:val="xl126"/>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7">
    <w:name w:val="xl127"/>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8">
    <w:name w:val="xl128"/>
    <w:basedOn w:val="Normal"/>
    <w:rsid w:val="00553EB3"/>
    <w:pPr>
      <w:pBdr>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9">
    <w:name w:val="xl129"/>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0">
    <w:name w:val="xl130"/>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1">
    <w:name w:val="xl131"/>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2">
    <w:name w:val="xl132"/>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3">
    <w:name w:val="xl133"/>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4">
    <w:name w:val="xl134"/>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5">
    <w:name w:val="xl135"/>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6">
    <w:name w:val="xl136"/>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7">
    <w:name w:val="xl137"/>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38">
    <w:name w:val="xl138"/>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39">
    <w:name w:val="xl139"/>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0">
    <w:name w:val="xl140"/>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1">
    <w:name w:val="xl141"/>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2">
    <w:name w:val="xl142"/>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43">
    <w:name w:val="xl143"/>
    <w:basedOn w:val="Normal"/>
    <w:rsid w:val="00553EB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4">
    <w:name w:val="xl144"/>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5">
    <w:name w:val="xl145"/>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6">
    <w:name w:val="xl146"/>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7">
    <w:name w:val="xl147"/>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48">
    <w:name w:val="xl148"/>
    <w:basedOn w:val="Normal"/>
    <w:rsid w:val="00553EB3"/>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9">
    <w:name w:val="xl149"/>
    <w:basedOn w:val="Normal"/>
    <w:rsid w:val="00553EB3"/>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0">
    <w:name w:val="xl150"/>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1">
    <w:name w:val="xl151"/>
    <w:basedOn w:val="Normal"/>
    <w:rsid w:val="00553E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2">
    <w:name w:val="xl152"/>
    <w:basedOn w:val="Normal"/>
    <w:rsid w:val="00553EB3"/>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53">
    <w:name w:val="xl153"/>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54">
    <w:name w:val="xl154"/>
    <w:basedOn w:val="Normal"/>
    <w:rsid w:val="00553EB3"/>
    <w:pPr>
      <w:pBdr>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5">
    <w:name w:val="xl155"/>
    <w:basedOn w:val="Normal"/>
    <w:rsid w:val="00553EB3"/>
    <w:pPr>
      <w:pBdr>
        <w:top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56">
    <w:name w:val="xl156"/>
    <w:basedOn w:val="Normal"/>
    <w:rsid w:val="00553EB3"/>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57">
    <w:name w:val="xl157"/>
    <w:basedOn w:val="Normal"/>
    <w:rsid w:val="00553EB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58">
    <w:name w:val="xl158"/>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9">
    <w:name w:val="xl159"/>
    <w:basedOn w:val="Normal"/>
    <w:rsid w:val="00553EB3"/>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0">
    <w:name w:val="xl160"/>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1">
    <w:name w:val="xl161"/>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2">
    <w:name w:val="xl162"/>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3">
    <w:name w:val="xl163"/>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4">
    <w:name w:val="xl164"/>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5">
    <w:name w:val="xl165"/>
    <w:basedOn w:val="Normal"/>
    <w:rsid w:val="00553EB3"/>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6">
    <w:name w:val="xl166"/>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7">
    <w:name w:val="xl167"/>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8">
    <w:name w:val="xl168"/>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9">
    <w:name w:val="xl169"/>
    <w:basedOn w:val="Normal"/>
    <w:rsid w:val="00553EB3"/>
    <w:pPr>
      <w:pBdr>
        <w:top w:val="single" w:sz="4" w:space="0" w:color="auto"/>
        <w:left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0">
    <w:name w:val="xl170"/>
    <w:basedOn w:val="Normal"/>
    <w:rsid w:val="00553E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1">
    <w:name w:val="xl171"/>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2">
    <w:name w:val="xl172"/>
    <w:basedOn w:val="Normal"/>
    <w:rsid w:val="00553E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3">
    <w:name w:val="xl173"/>
    <w:basedOn w:val="Normal"/>
    <w:rsid w:val="00553EB3"/>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74">
    <w:name w:val="xl174"/>
    <w:basedOn w:val="Normal"/>
    <w:rsid w:val="00553EB3"/>
    <w:pPr>
      <w:pBdr>
        <w:bottom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75">
    <w:name w:val="xl175"/>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76">
    <w:name w:val="xl176"/>
    <w:basedOn w:val="Normal"/>
    <w:rsid w:val="00553EB3"/>
    <w:pPr>
      <w:pBdr>
        <w:top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7">
    <w:name w:val="xl177"/>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8">
    <w:name w:val="xl178"/>
    <w:basedOn w:val="Normal"/>
    <w:rsid w:val="00553EB3"/>
    <w:pPr>
      <w:pBdr>
        <w:top w:val="single" w:sz="4" w:space="0" w:color="auto"/>
        <w:left w:val="single" w:sz="8"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9">
    <w:name w:val="xl179"/>
    <w:basedOn w:val="Normal"/>
    <w:rsid w:val="00553EB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0">
    <w:name w:val="xl180"/>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1">
    <w:name w:val="xl181"/>
    <w:basedOn w:val="Normal"/>
    <w:rsid w:val="00553EB3"/>
    <w:pPr>
      <w:pBdr>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2">
    <w:name w:val="xl182"/>
    <w:basedOn w:val="Normal"/>
    <w:rsid w:val="00553EB3"/>
    <w:pPr>
      <w:pBdr>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3">
    <w:name w:val="xl183"/>
    <w:basedOn w:val="Normal"/>
    <w:rsid w:val="00553EB3"/>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4">
    <w:name w:val="xl184"/>
    <w:basedOn w:val="Normal"/>
    <w:rsid w:val="00553EB3"/>
    <w:pPr>
      <w:pBdr>
        <w:top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5">
    <w:name w:val="xl185"/>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6">
    <w:name w:val="xl186"/>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7">
    <w:name w:val="xl187"/>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88">
    <w:name w:val="xl188"/>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9">
    <w:name w:val="xl189"/>
    <w:basedOn w:val="Normal"/>
    <w:rsid w:val="00553EB3"/>
    <w:pPr>
      <w:pBdr>
        <w:top w:val="single" w:sz="4" w:space="0" w:color="auto"/>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90">
    <w:name w:val="xl190"/>
    <w:basedOn w:val="Normal"/>
    <w:rsid w:val="00553E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1">
    <w:name w:val="xl191"/>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92">
    <w:name w:val="xl192"/>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3">
    <w:name w:val="xl193"/>
    <w:basedOn w:val="Normal"/>
    <w:rsid w:val="00553E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4">
    <w:name w:val="xl194"/>
    <w:basedOn w:val="Normal"/>
    <w:rsid w:val="00553EB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val="en-GB" w:eastAsia="en-GB" w:bidi="ar-SA"/>
    </w:rPr>
  </w:style>
  <w:style w:type="table" w:customStyle="1" w:styleId="GridTable1Light1">
    <w:name w:val="Grid Table 1 Light1"/>
    <w:basedOn w:val="TableNormal"/>
    <w:uiPriority w:val="46"/>
    <w:rsid w:val="00E31C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E31C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21">
    <w:name w:val="Grid Table 2 - Accent 21"/>
    <w:basedOn w:val="TableNormal"/>
    <w:uiPriority w:val="47"/>
    <w:rsid w:val="0086630A"/>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663">
      <w:bodyDiv w:val="1"/>
      <w:marLeft w:val="0"/>
      <w:marRight w:val="0"/>
      <w:marTop w:val="0"/>
      <w:marBottom w:val="0"/>
      <w:divBdr>
        <w:top w:val="none" w:sz="0" w:space="0" w:color="auto"/>
        <w:left w:val="none" w:sz="0" w:space="0" w:color="auto"/>
        <w:bottom w:val="none" w:sz="0" w:space="0" w:color="auto"/>
        <w:right w:val="none" w:sz="0" w:space="0" w:color="auto"/>
      </w:divBdr>
    </w:div>
    <w:div w:id="215745742">
      <w:bodyDiv w:val="1"/>
      <w:marLeft w:val="0"/>
      <w:marRight w:val="0"/>
      <w:marTop w:val="0"/>
      <w:marBottom w:val="0"/>
      <w:divBdr>
        <w:top w:val="none" w:sz="0" w:space="0" w:color="auto"/>
        <w:left w:val="none" w:sz="0" w:space="0" w:color="auto"/>
        <w:bottom w:val="none" w:sz="0" w:space="0" w:color="auto"/>
        <w:right w:val="none" w:sz="0" w:space="0" w:color="auto"/>
      </w:divBdr>
      <w:divsChild>
        <w:div w:id="585846750">
          <w:marLeft w:val="0"/>
          <w:marRight w:val="0"/>
          <w:marTop w:val="0"/>
          <w:marBottom w:val="0"/>
          <w:divBdr>
            <w:top w:val="none" w:sz="0" w:space="0" w:color="auto"/>
            <w:left w:val="none" w:sz="0" w:space="0" w:color="auto"/>
            <w:bottom w:val="none" w:sz="0" w:space="0" w:color="auto"/>
            <w:right w:val="none" w:sz="0" w:space="0" w:color="auto"/>
          </w:divBdr>
          <w:divsChild>
            <w:div w:id="718866950">
              <w:marLeft w:val="-225"/>
              <w:marRight w:val="-225"/>
              <w:marTop w:val="0"/>
              <w:marBottom w:val="0"/>
              <w:divBdr>
                <w:top w:val="none" w:sz="0" w:space="0" w:color="auto"/>
                <w:left w:val="none" w:sz="0" w:space="0" w:color="auto"/>
                <w:bottom w:val="none" w:sz="0" w:space="0" w:color="auto"/>
                <w:right w:val="none" w:sz="0" w:space="0" w:color="auto"/>
              </w:divBdr>
              <w:divsChild>
                <w:div w:id="1090856346">
                  <w:marLeft w:val="0"/>
                  <w:marRight w:val="0"/>
                  <w:marTop w:val="0"/>
                  <w:marBottom w:val="0"/>
                  <w:divBdr>
                    <w:top w:val="none" w:sz="0" w:space="0" w:color="auto"/>
                    <w:left w:val="none" w:sz="0" w:space="0" w:color="auto"/>
                    <w:bottom w:val="none" w:sz="0" w:space="0" w:color="auto"/>
                    <w:right w:val="none" w:sz="0" w:space="0" w:color="auto"/>
                  </w:divBdr>
                  <w:divsChild>
                    <w:div w:id="813453663">
                      <w:marLeft w:val="0"/>
                      <w:marRight w:val="0"/>
                      <w:marTop w:val="0"/>
                      <w:marBottom w:val="0"/>
                      <w:divBdr>
                        <w:top w:val="single" w:sz="6" w:space="19" w:color="A2A2A2"/>
                        <w:left w:val="single" w:sz="6" w:space="11" w:color="A2A2A2"/>
                        <w:bottom w:val="single" w:sz="24" w:space="19" w:color="A2A2A2"/>
                        <w:right w:val="single" w:sz="6" w:space="11" w:color="A2A2A2"/>
                      </w:divBdr>
                      <w:divsChild>
                        <w:div w:id="1884639032">
                          <w:marLeft w:val="0"/>
                          <w:marRight w:val="0"/>
                          <w:marTop w:val="0"/>
                          <w:marBottom w:val="0"/>
                          <w:divBdr>
                            <w:top w:val="none" w:sz="0" w:space="0" w:color="auto"/>
                            <w:left w:val="none" w:sz="0" w:space="0" w:color="auto"/>
                            <w:bottom w:val="none" w:sz="0" w:space="0" w:color="auto"/>
                            <w:right w:val="none" w:sz="0" w:space="0" w:color="auto"/>
                          </w:divBdr>
                          <w:divsChild>
                            <w:div w:id="720253878">
                              <w:marLeft w:val="-225"/>
                              <w:marRight w:val="-225"/>
                              <w:marTop w:val="0"/>
                              <w:marBottom w:val="0"/>
                              <w:divBdr>
                                <w:top w:val="none" w:sz="0" w:space="0" w:color="auto"/>
                                <w:left w:val="none" w:sz="0" w:space="0" w:color="auto"/>
                                <w:bottom w:val="none" w:sz="0" w:space="0" w:color="auto"/>
                                <w:right w:val="none" w:sz="0" w:space="0" w:color="auto"/>
                              </w:divBdr>
                              <w:divsChild>
                                <w:div w:id="1003430972">
                                  <w:marLeft w:val="0"/>
                                  <w:marRight w:val="0"/>
                                  <w:marTop w:val="0"/>
                                  <w:marBottom w:val="0"/>
                                  <w:divBdr>
                                    <w:top w:val="none" w:sz="0" w:space="0" w:color="auto"/>
                                    <w:left w:val="none" w:sz="0" w:space="0" w:color="auto"/>
                                    <w:bottom w:val="none" w:sz="0" w:space="0" w:color="auto"/>
                                    <w:right w:val="none" w:sz="0" w:space="0" w:color="auto"/>
                                  </w:divBdr>
                                  <w:divsChild>
                                    <w:div w:id="2014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830556">
      <w:bodyDiv w:val="1"/>
      <w:marLeft w:val="0"/>
      <w:marRight w:val="0"/>
      <w:marTop w:val="0"/>
      <w:marBottom w:val="0"/>
      <w:divBdr>
        <w:top w:val="none" w:sz="0" w:space="0" w:color="auto"/>
        <w:left w:val="none" w:sz="0" w:space="0" w:color="auto"/>
        <w:bottom w:val="none" w:sz="0" w:space="0" w:color="auto"/>
        <w:right w:val="none" w:sz="0" w:space="0" w:color="auto"/>
      </w:divBdr>
      <w:divsChild>
        <w:div w:id="814294510">
          <w:marLeft w:val="0"/>
          <w:marRight w:val="0"/>
          <w:marTop w:val="0"/>
          <w:marBottom w:val="0"/>
          <w:divBdr>
            <w:top w:val="none" w:sz="0" w:space="0" w:color="auto"/>
            <w:left w:val="none" w:sz="0" w:space="0" w:color="auto"/>
            <w:bottom w:val="none" w:sz="0" w:space="0" w:color="auto"/>
            <w:right w:val="none" w:sz="0" w:space="0" w:color="auto"/>
          </w:divBdr>
          <w:divsChild>
            <w:div w:id="661127559">
              <w:marLeft w:val="0"/>
              <w:marRight w:val="0"/>
              <w:marTop w:val="0"/>
              <w:marBottom w:val="0"/>
              <w:divBdr>
                <w:top w:val="single" w:sz="2" w:space="0" w:color="FFFFFF"/>
                <w:left w:val="single" w:sz="6" w:space="0" w:color="FFFFFF"/>
                <w:bottom w:val="single" w:sz="6" w:space="0" w:color="FFFFFF"/>
                <w:right w:val="single" w:sz="6" w:space="0" w:color="FFFFFF"/>
              </w:divBdr>
              <w:divsChild>
                <w:div w:id="926226645">
                  <w:marLeft w:val="0"/>
                  <w:marRight w:val="0"/>
                  <w:marTop w:val="0"/>
                  <w:marBottom w:val="0"/>
                  <w:divBdr>
                    <w:top w:val="single" w:sz="6" w:space="1" w:color="D3D3D3"/>
                    <w:left w:val="none" w:sz="0" w:space="0" w:color="auto"/>
                    <w:bottom w:val="none" w:sz="0" w:space="0" w:color="auto"/>
                    <w:right w:val="none" w:sz="0" w:space="0" w:color="auto"/>
                  </w:divBdr>
                  <w:divsChild>
                    <w:div w:id="1191262327">
                      <w:marLeft w:val="0"/>
                      <w:marRight w:val="0"/>
                      <w:marTop w:val="0"/>
                      <w:marBottom w:val="0"/>
                      <w:divBdr>
                        <w:top w:val="none" w:sz="0" w:space="0" w:color="auto"/>
                        <w:left w:val="none" w:sz="0" w:space="0" w:color="auto"/>
                        <w:bottom w:val="none" w:sz="0" w:space="0" w:color="auto"/>
                        <w:right w:val="none" w:sz="0" w:space="0" w:color="auto"/>
                      </w:divBdr>
                      <w:divsChild>
                        <w:div w:id="2051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449780">
      <w:bodyDiv w:val="1"/>
      <w:marLeft w:val="0"/>
      <w:marRight w:val="0"/>
      <w:marTop w:val="0"/>
      <w:marBottom w:val="0"/>
      <w:divBdr>
        <w:top w:val="none" w:sz="0" w:space="0" w:color="auto"/>
        <w:left w:val="none" w:sz="0" w:space="0" w:color="auto"/>
        <w:bottom w:val="none" w:sz="0" w:space="0" w:color="auto"/>
        <w:right w:val="none" w:sz="0" w:space="0" w:color="auto"/>
      </w:divBdr>
    </w:div>
    <w:div w:id="1045720436">
      <w:bodyDiv w:val="1"/>
      <w:marLeft w:val="0"/>
      <w:marRight w:val="0"/>
      <w:marTop w:val="0"/>
      <w:marBottom w:val="0"/>
      <w:divBdr>
        <w:top w:val="none" w:sz="0" w:space="0" w:color="auto"/>
        <w:left w:val="none" w:sz="0" w:space="0" w:color="auto"/>
        <w:bottom w:val="none" w:sz="0" w:space="0" w:color="auto"/>
        <w:right w:val="none" w:sz="0" w:space="0" w:color="auto"/>
      </w:divBdr>
    </w:div>
    <w:div w:id="1050689824">
      <w:bodyDiv w:val="1"/>
      <w:marLeft w:val="0"/>
      <w:marRight w:val="0"/>
      <w:marTop w:val="0"/>
      <w:marBottom w:val="0"/>
      <w:divBdr>
        <w:top w:val="none" w:sz="0" w:space="0" w:color="auto"/>
        <w:left w:val="none" w:sz="0" w:space="0" w:color="auto"/>
        <w:bottom w:val="none" w:sz="0" w:space="0" w:color="auto"/>
        <w:right w:val="none" w:sz="0" w:space="0" w:color="auto"/>
      </w:divBdr>
    </w:div>
    <w:div w:id="1107389705">
      <w:bodyDiv w:val="1"/>
      <w:marLeft w:val="0"/>
      <w:marRight w:val="0"/>
      <w:marTop w:val="0"/>
      <w:marBottom w:val="0"/>
      <w:divBdr>
        <w:top w:val="none" w:sz="0" w:space="0" w:color="auto"/>
        <w:left w:val="none" w:sz="0" w:space="0" w:color="auto"/>
        <w:bottom w:val="none" w:sz="0" w:space="0" w:color="auto"/>
        <w:right w:val="none" w:sz="0" w:space="0" w:color="auto"/>
      </w:divBdr>
      <w:divsChild>
        <w:div w:id="149441162">
          <w:marLeft w:val="547"/>
          <w:marRight w:val="0"/>
          <w:marTop w:val="0"/>
          <w:marBottom w:val="0"/>
          <w:divBdr>
            <w:top w:val="none" w:sz="0" w:space="0" w:color="auto"/>
            <w:left w:val="none" w:sz="0" w:space="0" w:color="auto"/>
            <w:bottom w:val="none" w:sz="0" w:space="0" w:color="auto"/>
            <w:right w:val="none" w:sz="0" w:space="0" w:color="auto"/>
          </w:divBdr>
        </w:div>
        <w:div w:id="552812159">
          <w:marLeft w:val="1166"/>
          <w:marRight w:val="0"/>
          <w:marTop w:val="0"/>
          <w:marBottom w:val="0"/>
          <w:divBdr>
            <w:top w:val="none" w:sz="0" w:space="0" w:color="auto"/>
            <w:left w:val="none" w:sz="0" w:space="0" w:color="auto"/>
            <w:bottom w:val="none" w:sz="0" w:space="0" w:color="auto"/>
            <w:right w:val="none" w:sz="0" w:space="0" w:color="auto"/>
          </w:divBdr>
        </w:div>
        <w:div w:id="908688706">
          <w:marLeft w:val="1166"/>
          <w:marRight w:val="0"/>
          <w:marTop w:val="0"/>
          <w:marBottom w:val="0"/>
          <w:divBdr>
            <w:top w:val="none" w:sz="0" w:space="0" w:color="auto"/>
            <w:left w:val="none" w:sz="0" w:space="0" w:color="auto"/>
            <w:bottom w:val="none" w:sz="0" w:space="0" w:color="auto"/>
            <w:right w:val="none" w:sz="0" w:space="0" w:color="auto"/>
          </w:divBdr>
        </w:div>
        <w:div w:id="31276180">
          <w:marLeft w:val="1166"/>
          <w:marRight w:val="0"/>
          <w:marTop w:val="0"/>
          <w:marBottom w:val="0"/>
          <w:divBdr>
            <w:top w:val="none" w:sz="0" w:space="0" w:color="auto"/>
            <w:left w:val="none" w:sz="0" w:space="0" w:color="auto"/>
            <w:bottom w:val="none" w:sz="0" w:space="0" w:color="auto"/>
            <w:right w:val="none" w:sz="0" w:space="0" w:color="auto"/>
          </w:divBdr>
        </w:div>
        <w:div w:id="612790349">
          <w:marLeft w:val="1166"/>
          <w:marRight w:val="0"/>
          <w:marTop w:val="0"/>
          <w:marBottom w:val="0"/>
          <w:divBdr>
            <w:top w:val="none" w:sz="0" w:space="0" w:color="auto"/>
            <w:left w:val="none" w:sz="0" w:space="0" w:color="auto"/>
            <w:bottom w:val="none" w:sz="0" w:space="0" w:color="auto"/>
            <w:right w:val="none" w:sz="0" w:space="0" w:color="auto"/>
          </w:divBdr>
        </w:div>
        <w:div w:id="1970359108">
          <w:marLeft w:val="1166"/>
          <w:marRight w:val="0"/>
          <w:marTop w:val="0"/>
          <w:marBottom w:val="0"/>
          <w:divBdr>
            <w:top w:val="none" w:sz="0" w:space="0" w:color="auto"/>
            <w:left w:val="none" w:sz="0" w:space="0" w:color="auto"/>
            <w:bottom w:val="none" w:sz="0" w:space="0" w:color="auto"/>
            <w:right w:val="none" w:sz="0" w:space="0" w:color="auto"/>
          </w:divBdr>
        </w:div>
        <w:div w:id="142621628">
          <w:marLeft w:val="1166"/>
          <w:marRight w:val="0"/>
          <w:marTop w:val="0"/>
          <w:marBottom w:val="0"/>
          <w:divBdr>
            <w:top w:val="none" w:sz="0" w:space="0" w:color="auto"/>
            <w:left w:val="none" w:sz="0" w:space="0" w:color="auto"/>
            <w:bottom w:val="none" w:sz="0" w:space="0" w:color="auto"/>
            <w:right w:val="none" w:sz="0" w:space="0" w:color="auto"/>
          </w:divBdr>
        </w:div>
      </w:divsChild>
    </w:div>
    <w:div w:id="1124235016">
      <w:bodyDiv w:val="1"/>
      <w:marLeft w:val="0"/>
      <w:marRight w:val="0"/>
      <w:marTop w:val="0"/>
      <w:marBottom w:val="0"/>
      <w:divBdr>
        <w:top w:val="none" w:sz="0" w:space="0" w:color="auto"/>
        <w:left w:val="none" w:sz="0" w:space="0" w:color="auto"/>
        <w:bottom w:val="none" w:sz="0" w:space="0" w:color="auto"/>
        <w:right w:val="none" w:sz="0" w:space="0" w:color="auto"/>
      </w:divBdr>
    </w:div>
    <w:div w:id="1247574834">
      <w:bodyDiv w:val="1"/>
      <w:marLeft w:val="0"/>
      <w:marRight w:val="0"/>
      <w:marTop w:val="0"/>
      <w:marBottom w:val="0"/>
      <w:divBdr>
        <w:top w:val="none" w:sz="0" w:space="0" w:color="auto"/>
        <w:left w:val="none" w:sz="0" w:space="0" w:color="auto"/>
        <w:bottom w:val="none" w:sz="0" w:space="0" w:color="auto"/>
        <w:right w:val="none" w:sz="0" w:space="0" w:color="auto"/>
      </w:divBdr>
      <w:divsChild>
        <w:div w:id="1632320178">
          <w:marLeft w:val="0"/>
          <w:marRight w:val="0"/>
          <w:marTop w:val="0"/>
          <w:marBottom w:val="0"/>
          <w:divBdr>
            <w:top w:val="none" w:sz="0" w:space="0" w:color="auto"/>
            <w:left w:val="none" w:sz="0" w:space="0" w:color="auto"/>
            <w:bottom w:val="none" w:sz="0" w:space="0" w:color="auto"/>
            <w:right w:val="none" w:sz="0" w:space="0" w:color="auto"/>
          </w:divBdr>
          <w:divsChild>
            <w:div w:id="334113631">
              <w:marLeft w:val="0"/>
              <w:marRight w:val="0"/>
              <w:marTop w:val="0"/>
              <w:marBottom w:val="0"/>
              <w:divBdr>
                <w:top w:val="single" w:sz="2" w:space="0" w:color="FFFFFF"/>
                <w:left w:val="single" w:sz="6" w:space="0" w:color="FFFFFF"/>
                <w:bottom w:val="single" w:sz="6" w:space="0" w:color="FFFFFF"/>
                <w:right w:val="single" w:sz="6" w:space="0" w:color="FFFFFF"/>
              </w:divBdr>
              <w:divsChild>
                <w:div w:id="1576697842">
                  <w:marLeft w:val="0"/>
                  <w:marRight w:val="0"/>
                  <w:marTop w:val="0"/>
                  <w:marBottom w:val="0"/>
                  <w:divBdr>
                    <w:top w:val="single" w:sz="6" w:space="1" w:color="D3D3D3"/>
                    <w:left w:val="none" w:sz="0" w:space="0" w:color="auto"/>
                    <w:bottom w:val="none" w:sz="0" w:space="0" w:color="auto"/>
                    <w:right w:val="none" w:sz="0" w:space="0" w:color="auto"/>
                  </w:divBdr>
                  <w:divsChild>
                    <w:div w:id="855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48913">
      <w:bodyDiv w:val="1"/>
      <w:marLeft w:val="0"/>
      <w:marRight w:val="0"/>
      <w:marTop w:val="0"/>
      <w:marBottom w:val="0"/>
      <w:divBdr>
        <w:top w:val="none" w:sz="0" w:space="0" w:color="auto"/>
        <w:left w:val="none" w:sz="0" w:space="0" w:color="auto"/>
        <w:bottom w:val="none" w:sz="0" w:space="0" w:color="auto"/>
        <w:right w:val="none" w:sz="0" w:space="0" w:color="auto"/>
      </w:divBdr>
      <w:divsChild>
        <w:div w:id="855539337">
          <w:marLeft w:val="547"/>
          <w:marRight w:val="0"/>
          <w:marTop w:val="0"/>
          <w:marBottom w:val="0"/>
          <w:divBdr>
            <w:top w:val="none" w:sz="0" w:space="0" w:color="auto"/>
            <w:left w:val="none" w:sz="0" w:space="0" w:color="auto"/>
            <w:bottom w:val="none" w:sz="0" w:space="0" w:color="auto"/>
            <w:right w:val="none" w:sz="0" w:space="0" w:color="auto"/>
          </w:divBdr>
        </w:div>
        <w:div w:id="2021152327">
          <w:marLeft w:val="1166"/>
          <w:marRight w:val="0"/>
          <w:marTop w:val="0"/>
          <w:marBottom w:val="0"/>
          <w:divBdr>
            <w:top w:val="none" w:sz="0" w:space="0" w:color="auto"/>
            <w:left w:val="none" w:sz="0" w:space="0" w:color="auto"/>
            <w:bottom w:val="none" w:sz="0" w:space="0" w:color="auto"/>
            <w:right w:val="none" w:sz="0" w:space="0" w:color="auto"/>
          </w:divBdr>
        </w:div>
        <w:div w:id="2089843635">
          <w:marLeft w:val="1166"/>
          <w:marRight w:val="0"/>
          <w:marTop w:val="0"/>
          <w:marBottom w:val="0"/>
          <w:divBdr>
            <w:top w:val="none" w:sz="0" w:space="0" w:color="auto"/>
            <w:left w:val="none" w:sz="0" w:space="0" w:color="auto"/>
            <w:bottom w:val="none" w:sz="0" w:space="0" w:color="auto"/>
            <w:right w:val="none" w:sz="0" w:space="0" w:color="auto"/>
          </w:divBdr>
        </w:div>
        <w:div w:id="803157462">
          <w:marLeft w:val="1166"/>
          <w:marRight w:val="0"/>
          <w:marTop w:val="0"/>
          <w:marBottom w:val="0"/>
          <w:divBdr>
            <w:top w:val="none" w:sz="0" w:space="0" w:color="auto"/>
            <w:left w:val="none" w:sz="0" w:space="0" w:color="auto"/>
            <w:bottom w:val="none" w:sz="0" w:space="0" w:color="auto"/>
            <w:right w:val="none" w:sz="0" w:space="0" w:color="auto"/>
          </w:divBdr>
        </w:div>
        <w:div w:id="1555698847">
          <w:marLeft w:val="1166"/>
          <w:marRight w:val="0"/>
          <w:marTop w:val="0"/>
          <w:marBottom w:val="0"/>
          <w:divBdr>
            <w:top w:val="none" w:sz="0" w:space="0" w:color="auto"/>
            <w:left w:val="none" w:sz="0" w:space="0" w:color="auto"/>
            <w:bottom w:val="none" w:sz="0" w:space="0" w:color="auto"/>
            <w:right w:val="none" w:sz="0" w:space="0" w:color="auto"/>
          </w:divBdr>
        </w:div>
        <w:div w:id="557664505">
          <w:marLeft w:val="1166"/>
          <w:marRight w:val="0"/>
          <w:marTop w:val="0"/>
          <w:marBottom w:val="0"/>
          <w:divBdr>
            <w:top w:val="none" w:sz="0" w:space="0" w:color="auto"/>
            <w:left w:val="none" w:sz="0" w:space="0" w:color="auto"/>
            <w:bottom w:val="none" w:sz="0" w:space="0" w:color="auto"/>
            <w:right w:val="none" w:sz="0" w:space="0" w:color="auto"/>
          </w:divBdr>
        </w:div>
        <w:div w:id="434518716">
          <w:marLeft w:val="1166"/>
          <w:marRight w:val="0"/>
          <w:marTop w:val="0"/>
          <w:marBottom w:val="0"/>
          <w:divBdr>
            <w:top w:val="none" w:sz="0" w:space="0" w:color="auto"/>
            <w:left w:val="none" w:sz="0" w:space="0" w:color="auto"/>
            <w:bottom w:val="none" w:sz="0" w:space="0" w:color="auto"/>
            <w:right w:val="none" w:sz="0" w:space="0" w:color="auto"/>
          </w:divBdr>
        </w:div>
      </w:divsChild>
    </w:div>
    <w:div w:id="1444180788">
      <w:bodyDiv w:val="1"/>
      <w:marLeft w:val="0"/>
      <w:marRight w:val="0"/>
      <w:marTop w:val="0"/>
      <w:marBottom w:val="0"/>
      <w:divBdr>
        <w:top w:val="none" w:sz="0" w:space="0" w:color="auto"/>
        <w:left w:val="none" w:sz="0" w:space="0" w:color="auto"/>
        <w:bottom w:val="none" w:sz="0" w:space="0" w:color="auto"/>
        <w:right w:val="none" w:sz="0" w:space="0" w:color="auto"/>
      </w:divBdr>
      <w:divsChild>
        <w:div w:id="254215304">
          <w:marLeft w:val="0"/>
          <w:marRight w:val="0"/>
          <w:marTop w:val="0"/>
          <w:marBottom w:val="0"/>
          <w:divBdr>
            <w:top w:val="none" w:sz="0" w:space="0" w:color="auto"/>
            <w:left w:val="none" w:sz="0" w:space="0" w:color="auto"/>
            <w:bottom w:val="none" w:sz="0" w:space="0" w:color="auto"/>
            <w:right w:val="none" w:sz="0" w:space="0" w:color="auto"/>
          </w:divBdr>
          <w:divsChild>
            <w:div w:id="2128619923">
              <w:marLeft w:val="-225"/>
              <w:marRight w:val="-225"/>
              <w:marTop w:val="0"/>
              <w:marBottom w:val="0"/>
              <w:divBdr>
                <w:top w:val="none" w:sz="0" w:space="0" w:color="auto"/>
                <w:left w:val="none" w:sz="0" w:space="0" w:color="auto"/>
                <w:bottom w:val="none" w:sz="0" w:space="0" w:color="auto"/>
                <w:right w:val="none" w:sz="0" w:space="0" w:color="auto"/>
              </w:divBdr>
              <w:divsChild>
                <w:div w:id="1927030203">
                  <w:marLeft w:val="0"/>
                  <w:marRight w:val="0"/>
                  <w:marTop w:val="0"/>
                  <w:marBottom w:val="0"/>
                  <w:divBdr>
                    <w:top w:val="none" w:sz="0" w:space="0" w:color="auto"/>
                    <w:left w:val="none" w:sz="0" w:space="0" w:color="auto"/>
                    <w:bottom w:val="none" w:sz="0" w:space="0" w:color="auto"/>
                    <w:right w:val="none" w:sz="0" w:space="0" w:color="auto"/>
                  </w:divBdr>
                  <w:divsChild>
                    <w:div w:id="1744402857">
                      <w:marLeft w:val="0"/>
                      <w:marRight w:val="0"/>
                      <w:marTop w:val="0"/>
                      <w:marBottom w:val="0"/>
                      <w:divBdr>
                        <w:top w:val="single" w:sz="6" w:space="19" w:color="A2A2A2"/>
                        <w:left w:val="single" w:sz="6" w:space="11" w:color="A2A2A2"/>
                        <w:bottom w:val="single" w:sz="24" w:space="19" w:color="A2A2A2"/>
                        <w:right w:val="single" w:sz="6" w:space="11" w:color="A2A2A2"/>
                      </w:divBdr>
                      <w:divsChild>
                        <w:div w:id="1245728796">
                          <w:marLeft w:val="-225"/>
                          <w:marRight w:val="-225"/>
                          <w:marTop w:val="0"/>
                          <w:marBottom w:val="0"/>
                          <w:divBdr>
                            <w:top w:val="none" w:sz="0" w:space="0" w:color="auto"/>
                            <w:left w:val="none" w:sz="0" w:space="0" w:color="auto"/>
                            <w:bottom w:val="none" w:sz="0" w:space="0" w:color="auto"/>
                            <w:right w:val="none" w:sz="0" w:space="0" w:color="auto"/>
                          </w:divBdr>
                        </w:div>
                        <w:div w:id="1455439685">
                          <w:marLeft w:val="-225"/>
                          <w:marRight w:val="-225"/>
                          <w:marTop w:val="0"/>
                          <w:marBottom w:val="0"/>
                          <w:divBdr>
                            <w:top w:val="none" w:sz="0" w:space="0" w:color="auto"/>
                            <w:left w:val="none" w:sz="0" w:space="0" w:color="auto"/>
                            <w:bottom w:val="none" w:sz="0" w:space="0" w:color="auto"/>
                            <w:right w:val="none" w:sz="0" w:space="0" w:color="auto"/>
                          </w:divBdr>
                          <w:divsChild>
                            <w:div w:id="202984663">
                              <w:marLeft w:val="0"/>
                              <w:marRight w:val="0"/>
                              <w:marTop w:val="0"/>
                              <w:marBottom w:val="0"/>
                              <w:divBdr>
                                <w:top w:val="none" w:sz="0" w:space="0" w:color="auto"/>
                                <w:left w:val="none" w:sz="0" w:space="0" w:color="auto"/>
                                <w:bottom w:val="none" w:sz="0" w:space="0" w:color="auto"/>
                                <w:right w:val="none" w:sz="0" w:space="0" w:color="auto"/>
                              </w:divBdr>
                            </w:div>
                            <w:div w:id="948315048">
                              <w:marLeft w:val="0"/>
                              <w:marRight w:val="0"/>
                              <w:marTop w:val="0"/>
                              <w:marBottom w:val="0"/>
                              <w:divBdr>
                                <w:top w:val="none" w:sz="0" w:space="0" w:color="auto"/>
                                <w:left w:val="none" w:sz="0" w:space="0" w:color="auto"/>
                                <w:bottom w:val="none" w:sz="0" w:space="0" w:color="auto"/>
                                <w:right w:val="none" w:sz="0" w:space="0" w:color="auto"/>
                              </w:divBdr>
                            </w:div>
                            <w:div w:id="1504978000">
                              <w:marLeft w:val="0"/>
                              <w:marRight w:val="0"/>
                              <w:marTop w:val="0"/>
                              <w:marBottom w:val="0"/>
                              <w:divBdr>
                                <w:top w:val="none" w:sz="0" w:space="0" w:color="auto"/>
                                <w:left w:val="none" w:sz="0" w:space="0" w:color="auto"/>
                                <w:bottom w:val="none" w:sz="0" w:space="0" w:color="auto"/>
                                <w:right w:val="none" w:sz="0" w:space="0" w:color="auto"/>
                              </w:divBdr>
                            </w:div>
                            <w:div w:id="17361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torbay.gov.uk/local-development-scheme" TargetMode="External"/><Relationship Id="rId25" Type="http://schemas.openxmlformats.org/officeDocument/2006/relationships/diagramQuickStyle" Target="diagrams/quickStyle2.xml"/><Relationship Id="rId33" Type="http://schemas.openxmlformats.org/officeDocument/2006/relationships/hyperlink" Target="https://www.devonhomechoice.com/useful-information-0"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29" Type="http://schemas.openxmlformats.org/officeDocument/2006/relationships/hyperlink" Target="https://content.historicengland.org.uk/images-books/publications/har-2016-registers/sw-har-register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ningportal.gov.uk" TargetMode="External"/><Relationship Id="rId24" Type="http://schemas.openxmlformats.org/officeDocument/2006/relationships/diagramLayout" Target="diagrams/layout2.xml"/><Relationship Id="rId32" Type="http://schemas.openxmlformats.org/officeDocument/2006/relationships/hyperlink" Target="http://landregistry.data.gov.uk/app/ukhpi/browse?from=2017-02-01&amp;location=http%3A%2F%2Flandregistry.data.gov.uk%2Fid%2Fregion%2Funited-kingdom&amp;to=2018-02-01"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hyperlink" Target="http://www.torbay.gov.uk/brownfield-register" TargetMode="External"/><Relationship Id="rId36" Type="http://schemas.openxmlformats.org/officeDocument/2006/relationships/header" Target="header3.xml"/><Relationship Id="rId10" Type="http://schemas.openxmlformats.org/officeDocument/2006/relationships/hyperlink" Target="http://www.gov.uk" TargetMode="External"/><Relationship Id="rId19" Type="http://schemas.openxmlformats.org/officeDocument/2006/relationships/footer" Target="footer1.xml"/><Relationship Id="rId31" Type="http://schemas.openxmlformats.org/officeDocument/2006/relationships/hyperlink" Target="http://www.torbay.gov.uk/brownfield-register" TargetMode="External"/><Relationship Id="rId4" Type="http://schemas.openxmlformats.org/officeDocument/2006/relationships/settings" Target="settings.xml"/><Relationship Id="rId9" Type="http://schemas.openxmlformats.org/officeDocument/2006/relationships/hyperlink" Target="mailto:future.planning@torbay.gov.uk" TargetMode="External"/><Relationship Id="rId14" Type="http://schemas.openxmlformats.org/officeDocument/2006/relationships/diagramQuickStyle" Target="diagrams/quickStyle1.xml"/><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chart" Target="charts/chart1.xml"/><Relationship Id="rId35" Type="http://schemas.openxmlformats.org/officeDocument/2006/relationships/hyperlink" Target="http://www.torbay.gov.uk/evidence-base-and-monito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ep010\AppData\Local\Microsoft\Windows\Temporary%20Internet%20Files\Content.Outlook\LZSWREBC\3239_local%20plan%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25"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Percentage of dwellings on previously </a:t>
            </a:r>
          </a:p>
          <a:p>
            <a:pPr algn="ctr">
              <a:defRPr sz="1025" b="0" i="0" u="none" strike="noStrike" baseline="0">
                <a:solidFill>
                  <a:srgbClr val="000000"/>
                </a:solidFill>
                <a:latin typeface="Arial"/>
                <a:ea typeface="Arial"/>
                <a:cs typeface="Arial"/>
              </a:defRPr>
            </a:pPr>
            <a:r>
              <a:rPr lang="en-GB" sz="900" b="1" i="0" u="none" strike="noStrike" baseline="0">
                <a:solidFill>
                  <a:srgbClr val="000000"/>
                </a:solidFill>
                <a:latin typeface="Arial"/>
                <a:cs typeface="Arial"/>
              </a:rPr>
              <a:t>developed land in Local Plan period to date </a:t>
            </a:r>
          </a:p>
        </c:rich>
      </c:tx>
      <c:layout>
        <c:manualLayout>
          <c:xMode val="edge"/>
          <c:yMode val="edge"/>
          <c:x val="0.29013570525906501"/>
          <c:y val="3.7671232876712382E-2"/>
        </c:manualLayout>
      </c:layout>
      <c:overlay val="0"/>
      <c:spPr>
        <a:noFill/>
        <a:ln w="25400">
          <a:noFill/>
        </a:ln>
      </c:spPr>
    </c:title>
    <c:autoTitleDeleted val="0"/>
    <c:plotArea>
      <c:layout>
        <c:manualLayout>
          <c:layoutTarget val="inner"/>
          <c:xMode val="edge"/>
          <c:yMode val="edge"/>
          <c:x val="0.10638307919702682"/>
          <c:y val="0.30137036696403968"/>
          <c:w val="0.86653853600487385"/>
          <c:h val="0.42123358109746434"/>
        </c:manualLayout>
      </c:layout>
      <c:barChart>
        <c:barDir val="col"/>
        <c:grouping val="percentStacked"/>
        <c:varyColors val="0"/>
        <c:ser>
          <c:idx val="0"/>
          <c:order val="0"/>
          <c:tx>
            <c:strRef>
              <c:f>Cumulative!$G$19</c:f>
              <c:strCache>
                <c:ptCount val="1"/>
                <c:pt idx="0">
                  <c:v>BROWNFIELD</c:v>
                </c:pt>
              </c:strCache>
            </c:strRef>
          </c:tx>
          <c:spPr>
            <a:pattFill prst="dkDnDiag">
              <a:fgClr>
                <a:srgbClr val="993300"/>
              </a:fgClr>
              <a:bgClr>
                <a:srgbClr val="FFFFFF"/>
              </a:bgClr>
            </a:pattFill>
            <a:ln w="12700">
              <a:solidFill>
                <a:srgbClr val="000000"/>
              </a:solidFill>
              <a:prstDash val="solid"/>
            </a:ln>
          </c:spPr>
          <c:invertIfNegative val="0"/>
          <c:cat>
            <c:strRef>
              <c:f>Cumulative!$F$20:$F$24</c:f>
              <c:strCache>
                <c:ptCount val="5"/>
                <c:pt idx="0">
                  <c:v>12/13</c:v>
                </c:pt>
                <c:pt idx="1">
                  <c:v>13/14</c:v>
                </c:pt>
                <c:pt idx="2">
                  <c:v>14/15</c:v>
                </c:pt>
                <c:pt idx="3">
                  <c:v>15/16</c:v>
                </c:pt>
                <c:pt idx="4">
                  <c:v>16/17</c:v>
                </c:pt>
              </c:strCache>
            </c:strRef>
          </c:cat>
          <c:val>
            <c:numRef>
              <c:f>Cumulative!$G$20:$G$24</c:f>
              <c:numCache>
                <c:formatCode>0%</c:formatCode>
                <c:ptCount val="5"/>
                <c:pt idx="0">
                  <c:v>0.72000000000000008</c:v>
                </c:pt>
                <c:pt idx="1">
                  <c:v>0.7400000000000001</c:v>
                </c:pt>
                <c:pt idx="2">
                  <c:v>0.75000000000000011</c:v>
                </c:pt>
                <c:pt idx="3">
                  <c:v>0.68000000000000016</c:v>
                </c:pt>
                <c:pt idx="4">
                  <c:v>0.63000000000000012</c:v>
                </c:pt>
              </c:numCache>
            </c:numRef>
          </c:val>
        </c:ser>
        <c:ser>
          <c:idx val="1"/>
          <c:order val="1"/>
          <c:tx>
            <c:strRef>
              <c:f>Cumulative!$H$19</c:f>
              <c:strCache>
                <c:ptCount val="1"/>
                <c:pt idx="0">
                  <c:v>GREENFIELD</c:v>
                </c:pt>
              </c:strCache>
            </c:strRef>
          </c:tx>
          <c:spPr>
            <a:pattFill prst="pct50">
              <a:fgClr>
                <a:srgbClr val="008000"/>
              </a:fgClr>
              <a:bgClr>
                <a:srgbClr val="FFFFFF"/>
              </a:bgClr>
            </a:pattFill>
            <a:ln w="12700">
              <a:solidFill>
                <a:srgbClr val="000000"/>
              </a:solidFill>
              <a:prstDash val="solid"/>
            </a:ln>
          </c:spPr>
          <c:invertIfNegative val="0"/>
          <c:cat>
            <c:strRef>
              <c:f>Cumulative!$F$20:$F$24</c:f>
              <c:strCache>
                <c:ptCount val="5"/>
                <c:pt idx="0">
                  <c:v>12/13</c:v>
                </c:pt>
                <c:pt idx="1">
                  <c:v>13/14</c:v>
                </c:pt>
                <c:pt idx="2">
                  <c:v>14/15</c:v>
                </c:pt>
                <c:pt idx="3">
                  <c:v>15/16</c:v>
                </c:pt>
                <c:pt idx="4">
                  <c:v>16/17</c:v>
                </c:pt>
              </c:strCache>
            </c:strRef>
          </c:cat>
          <c:val>
            <c:numRef>
              <c:f>Cumulative!$H$20:$H$24</c:f>
              <c:numCache>
                <c:formatCode>0%</c:formatCode>
                <c:ptCount val="5"/>
                <c:pt idx="0">
                  <c:v>0.28000000000000008</c:v>
                </c:pt>
                <c:pt idx="1">
                  <c:v>0.26</c:v>
                </c:pt>
                <c:pt idx="2">
                  <c:v>0.25</c:v>
                </c:pt>
                <c:pt idx="3">
                  <c:v>0.32000000000000006</c:v>
                </c:pt>
                <c:pt idx="4">
                  <c:v>0.37000000000000005</c:v>
                </c:pt>
              </c:numCache>
            </c:numRef>
          </c:val>
        </c:ser>
        <c:dLbls>
          <c:showLegendKey val="0"/>
          <c:showVal val="0"/>
          <c:showCatName val="0"/>
          <c:showSerName val="0"/>
          <c:showPercent val="0"/>
          <c:showBubbleSize val="0"/>
        </c:dLbls>
        <c:gapWidth val="150"/>
        <c:overlap val="100"/>
        <c:axId val="332655920"/>
        <c:axId val="332656312"/>
      </c:barChart>
      <c:catAx>
        <c:axId val="33265592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GB"/>
                  <a:t>Monitor period</a:t>
                </a:r>
              </a:p>
            </c:rich>
          </c:tx>
          <c:layout>
            <c:manualLayout>
              <c:xMode val="edge"/>
              <c:yMode val="edge"/>
              <c:x val="0.47001983085447685"/>
              <c:y val="0.797946643655844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332656312"/>
        <c:crosses val="autoZero"/>
        <c:auto val="1"/>
        <c:lblAlgn val="ctr"/>
        <c:lblOffset val="100"/>
        <c:tickLblSkip val="1"/>
        <c:tickMarkSkip val="1"/>
        <c:noMultiLvlLbl val="0"/>
      </c:catAx>
      <c:valAx>
        <c:axId val="332656312"/>
        <c:scaling>
          <c:orientation val="minMax"/>
        </c:scaling>
        <c:delete val="0"/>
        <c:axPos val="l"/>
        <c:majorGridlines>
          <c:spPr>
            <a:ln w="3175">
              <a:solidFill>
                <a:srgbClr val="C0C0C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675" b="0" i="0" u="none" strike="noStrike" baseline="0">
                <a:solidFill>
                  <a:srgbClr val="000000"/>
                </a:solidFill>
                <a:latin typeface="Arial"/>
                <a:ea typeface="Arial"/>
                <a:cs typeface="Arial"/>
              </a:defRPr>
            </a:pPr>
            <a:endParaRPr lang="en-US"/>
          </a:p>
        </c:txPr>
        <c:crossAx val="332655920"/>
        <c:crosses val="autoZero"/>
        <c:crossBetween val="between"/>
      </c:valAx>
      <c:spPr>
        <a:noFill/>
        <a:ln w="3175">
          <a:solidFill>
            <a:srgbClr val="000000"/>
          </a:solidFill>
          <a:prstDash val="solid"/>
        </a:ln>
      </c:spPr>
    </c:plotArea>
    <c:legend>
      <c:legendPos val="b"/>
      <c:layout>
        <c:manualLayout>
          <c:xMode val="edge"/>
          <c:yMode val="edge"/>
          <c:x val="0.38491338582677193"/>
          <c:y val="0.89726171214899542"/>
          <c:w val="0.30947798191892711"/>
          <c:h val="6.8493150684931586E-2"/>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Completions</a:t>
            </a:r>
            <a:r>
              <a:rPr lang="en-GB" baseline="0"/>
              <a:t> in Plan Period to Date</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Sheet1!$A$4:$A$8</c:f>
              <c:strCache>
                <c:ptCount val="5"/>
                <c:pt idx="0">
                  <c:v>12/13</c:v>
                </c:pt>
                <c:pt idx="1">
                  <c:v>13/14</c:v>
                </c:pt>
                <c:pt idx="2">
                  <c:v>14/15</c:v>
                </c:pt>
                <c:pt idx="3">
                  <c:v>15/16</c:v>
                </c:pt>
                <c:pt idx="4">
                  <c:v>16/17</c:v>
                </c:pt>
              </c:strCache>
            </c:strRef>
          </c:cat>
          <c:val>
            <c:numRef>
              <c:f>Sheet1!$B$4:$B$8</c:f>
              <c:numCache>
                <c:formatCode>General</c:formatCode>
                <c:ptCount val="5"/>
                <c:pt idx="0">
                  <c:v>249</c:v>
                </c:pt>
                <c:pt idx="1">
                  <c:v>446</c:v>
                </c:pt>
                <c:pt idx="2">
                  <c:v>349</c:v>
                </c:pt>
                <c:pt idx="3">
                  <c:v>408</c:v>
                </c:pt>
                <c:pt idx="4">
                  <c:v>326</c:v>
                </c:pt>
              </c:numCache>
            </c:numRef>
          </c:val>
        </c:ser>
        <c:dLbls>
          <c:showLegendKey val="0"/>
          <c:showVal val="0"/>
          <c:showCatName val="0"/>
          <c:showSerName val="0"/>
          <c:showPercent val="0"/>
          <c:showBubbleSize val="0"/>
        </c:dLbls>
        <c:gapWidth val="219"/>
        <c:overlap val="-27"/>
        <c:axId val="332657096"/>
        <c:axId val="332657488"/>
      </c:barChart>
      <c:catAx>
        <c:axId val="33265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657488"/>
        <c:crosses val="autoZero"/>
        <c:auto val="1"/>
        <c:lblAlgn val="ctr"/>
        <c:lblOffset val="100"/>
        <c:noMultiLvlLbl val="0"/>
      </c:catAx>
      <c:valAx>
        <c:axId val="33265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65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652703-2F5D-4ADF-BAFA-601520331049}" type="doc">
      <dgm:prSet loTypeId="urn:microsoft.com/office/officeart/2005/8/layout/radial1" loCatId="relationship" qsTypeId="urn:microsoft.com/office/officeart/2005/8/quickstyle/simple1" qsCatId="simple" csTypeId="urn:microsoft.com/office/officeart/2005/8/colors/accent2_4" csCatId="accent2" phldr="1"/>
      <dgm:spPr/>
      <dgm:t>
        <a:bodyPr/>
        <a:lstStyle/>
        <a:p>
          <a:endParaRPr lang="en-GB"/>
        </a:p>
      </dgm:t>
    </dgm:pt>
    <dgm:pt modelId="{B895E157-735F-4191-9390-D20817E2AECC}">
      <dgm:prSet phldrT="[Text]"/>
      <dgm:spPr/>
      <dgm:t>
        <a:bodyPr/>
        <a:lstStyle/>
        <a:p>
          <a:r>
            <a:rPr lang="en-GB"/>
            <a:t>Local Plan 2012-2030</a:t>
          </a:r>
        </a:p>
      </dgm:t>
    </dgm:pt>
    <dgm:pt modelId="{18371646-27BE-4176-9D76-E0F0167CED8D}" type="parTrans" cxnId="{E8B585C9-4762-4CBE-8764-78D4CBF02FD0}">
      <dgm:prSet/>
      <dgm:spPr/>
      <dgm:t>
        <a:bodyPr/>
        <a:lstStyle/>
        <a:p>
          <a:endParaRPr lang="en-GB"/>
        </a:p>
      </dgm:t>
    </dgm:pt>
    <dgm:pt modelId="{FCA2BB19-24C6-42FB-BB0C-E700868D8196}" type="sibTrans" cxnId="{E8B585C9-4762-4CBE-8764-78D4CBF02FD0}">
      <dgm:prSet/>
      <dgm:spPr/>
      <dgm:t>
        <a:bodyPr/>
        <a:lstStyle/>
        <a:p>
          <a:endParaRPr lang="en-GB"/>
        </a:p>
      </dgm:t>
    </dgm:pt>
    <dgm:pt modelId="{98898EC3-4EBE-44F3-9C32-9C9C28B9742E}">
      <dgm:prSet phldrT="[Text]"/>
      <dgm:spPr/>
      <dgm:t>
        <a:bodyPr/>
        <a:lstStyle/>
        <a:p>
          <a:r>
            <a:rPr lang="en-GB"/>
            <a:t>Local Development Scheme</a:t>
          </a:r>
        </a:p>
      </dgm:t>
    </dgm:pt>
    <dgm:pt modelId="{1869162E-A447-4D3E-8945-F972F47C25AD}" type="parTrans" cxnId="{50D48FCB-AA0E-4358-A8C8-08224F9D7982}">
      <dgm:prSet/>
      <dgm:spPr/>
      <dgm:t>
        <a:bodyPr/>
        <a:lstStyle/>
        <a:p>
          <a:endParaRPr lang="en-GB"/>
        </a:p>
      </dgm:t>
    </dgm:pt>
    <dgm:pt modelId="{F3D9F40F-58DF-4E28-B641-89A23328C59F}" type="sibTrans" cxnId="{50D48FCB-AA0E-4358-A8C8-08224F9D7982}">
      <dgm:prSet/>
      <dgm:spPr/>
      <dgm:t>
        <a:bodyPr/>
        <a:lstStyle/>
        <a:p>
          <a:endParaRPr lang="en-GB"/>
        </a:p>
      </dgm:t>
    </dgm:pt>
    <dgm:pt modelId="{B69236A9-171A-4C1D-BC92-5327D0980F0D}">
      <dgm:prSet phldrT="[Text]"/>
      <dgm:spPr/>
      <dgm:t>
        <a:bodyPr/>
        <a:lstStyle/>
        <a:p>
          <a:r>
            <a:rPr lang="en-GB"/>
            <a:t>Supplementary Planning Documents</a:t>
          </a:r>
        </a:p>
      </dgm:t>
    </dgm:pt>
    <dgm:pt modelId="{1AC5C890-7541-40AF-82DD-34E065654A84}" type="parTrans" cxnId="{3E33DA32-0ECD-466A-B637-3A74C5789A2A}">
      <dgm:prSet/>
      <dgm:spPr/>
      <dgm:t>
        <a:bodyPr/>
        <a:lstStyle/>
        <a:p>
          <a:endParaRPr lang="en-GB"/>
        </a:p>
      </dgm:t>
    </dgm:pt>
    <dgm:pt modelId="{1BA3CBB8-12F5-428E-812E-05D66EC03E83}" type="sibTrans" cxnId="{3E33DA32-0ECD-466A-B637-3A74C5789A2A}">
      <dgm:prSet/>
      <dgm:spPr/>
      <dgm:t>
        <a:bodyPr/>
        <a:lstStyle/>
        <a:p>
          <a:endParaRPr lang="en-GB"/>
        </a:p>
      </dgm:t>
    </dgm:pt>
    <dgm:pt modelId="{7C898F21-C180-46A0-A6A6-4A88726A9B4F}">
      <dgm:prSet phldrT="[Text]"/>
      <dgm:spPr/>
      <dgm:t>
        <a:bodyPr/>
        <a:lstStyle/>
        <a:p>
          <a:r>
            <a:rPr lang="en-GB"/>
            <a:t>Statement of Community Involvement</a:t>
          </a:r>
        </a:p>
      </dgm:t>
    </dgm:pt>
    <dgm:pt modelId="{A2F85BAA-9D65-40FD-8906-D743730CAC80}" type="parTrans" cxnId="{B5ACD181-9307-4DE1-A309-40195C62C286}">
      <dgm:prSet/>
      <dgm:spPr/>
      <dgm:t>
        <a:bodyPr/>
        <a:lstStyle/>
        <a:p>
          <a:endParaRPr lang="en-GB"/>
        </a:p>
      </dgm:t>
    </dgm:pt>
    <dgm:pt modelId="{F57442D1-2CE7-4712-B7F0-52FD1186DC0B}" type="sibTrans" cxnId="{B5ACD181-9307-4DE1-A309-40195C62C286}">
      <dgm:prSet/>
      <dgm:spPr/>
      <dgm:t>
        <a:bodyPr/>
        <a:lstStyle/>
        <a:p>
          <a:endParaRPr lang="en-GB"/>
        </a:p>
      </dgm:t>
    </dgm:pt>
    <dgm:pt modelId="{0F417701-A061-4E6C-ABAA-8F9768D92F52}">
      <dgm:prSet phldrT="[Text]"/>
      <dgm:spPr/>
      <dgm:t>
        <a:bodyPr/>
        <a:lstStyle/>
        <a:p>
          <a:r>
            <a:rPr lang="en-GB"/>
            <a:t>Authority Monitoring Report</a:t>
          </a:r>
        </a:p>
      </dgm:t>
    </dgm:pt>
    <dgm:pt modelId="{7497989D-1C74-45F0-A51D-49A0FBA8CDCF}" type="parTrans" cxnId="{F1D58F3F-8A5A-4709-A217-6AF179BB7453}">
      <dgm:prSet/>
      <dgm:spPr/>
      <dgm:t>
        <a:bodyPr/>
        <a:lstStyle/>
        <a:p>
          <a:endParaRPr lang="en-GB"/>
        </a:p>
      </dgm:t>
    </dgm:pt>
    <dgm:pt modelId="{48C70562-BF04-4348-A402-C34D0D54F88E}" type="sibTrans" cxnId="{F1D58F3F-8A5A-4709-A217-6AF179BB7453}">
      <dgm:prSet/>
      <dgm:spPr/>
      <dgm:t>
        <a:bodyPr/>
        <a:lstStyle/>
        <a:p>
          <a:endParaRPr lang="en-GB"/>
        </a:p>
      </dgm:t>
    </dgm:pt>
    <dgm:pt modelId="{3FF908FA-FACC-4686-89E8-AA147F2D768F}">
      <dgm:prSet phldrT="[Text]"/>
      <dgm:spPr/>
      <dgm:t>
        <a:bodyPr/>
        <a:lstStyle/>
        <a:p>
          <a:r>
            <a:rPr lang="en-GB"/>
            <a:t>Neighbourhood Plans (forthcoming)</a:t>
          </a:r>
        </a:p>
      </dgm:t>
    </dgm:pt>
    <dgm:pt modelId="{160D297D-2FD9-4BDB-916F-4293A7943BB6}" type="parTrans" cxnId="{47683E38-107C-4206-9352-2F04C7039FC7}">
      <dgm:prSet/>
      <dgm:spPr/>
      <dgm:t>
        <a:bodyPr/>
        <a:lstStyle/>
        <a:p>
          <a:endParaRPr lang="en-GB"/>
        </a:p>
      </dgm:t>
    </dgm:pt>
    <dgm:pt modelId="{ABA41A25-599D-4A48-ACD4-B0DA09C75A21}" type="sibTrans" cxnId="{47683E38-107C-4206-9352-2F04C7039FC7}">
      <dgm:prSet/>
      <dgm:spPr/>
      <dgm:t>
        <a:bodyPr/>
        <a:lstStyle/>
        <a:p>
          <a:endParaRPr lang="en-GB"/>
        </a:p>
      </dgm:t>
    </dgm:pt>
    <dgm:pt modelId="{903474FA-5AB5-4FD5-AD0C-8B22B35861FC}">
      <dgm:prSet phldrT="[Text]" phldr="1"/>
      <dgm:spPr/>
      <dgm:t>
        <a:bodyPr/>
        <a:lstStyle/>
        <a:p>
          <a:endParaRPr lang="en-GB"/>
        </a:p>
      </dgm:t>
    </dgm:pt>
    <dgm:pt modelId="{B1035D71-ED48-4007-B57D-74426E1196D4}" type="sibTrans" cxnId="{969C705A-E038-4A1C-B213-86A058D3C5E6}">
      <dgm:prSet/>
      <dgm:spPr/>
      <dgm:t>
        <a:bodyPr/>
        <a:lstStyle/>
        <a:p>
          <a:endParaRPr lang="en-GB"/>
        </a:p>
      </dgm:t>
    </dgm:pt>
    <dgm:pt modelId="{AF611028-B2AF-48FC-B66A-C9CBF564A5C6}" type="parTrans" cxnId="{969C705A-E038-4A1C-B213-86A058D3C5E6}">
      <dgm:prSet/>
      <dgm:spPr/>
      <dgm:t>
        <a:bodyPr/>
        <a:lstStyle/>
        <a:p>
          <a:endParaRPr lang="en-GB"/>
        </a:p>
      </dgm:t>
    </dgm:pt>
    <dgm:pt modelId="{3846C67B-7288-41B7-ACBE-A69432846328}" type="pres">
      <dgm:prSet presAssocID="{17652703-2F5D-4ADF-BAFA-601520331049}" presName="cycle" presStyleCnt="0">
        <dgm:presLayoutVars>
          <dgm:chMax val="1"/>
          <dgm:dir/>
          <dgm:animLvl val="ctr"/>
          <dgm:resizeHandles val="exact"/>
        </dgm:presLayoutVars>
      </dgm:prSet>
      <dgm:spPr/>
      <dgm:t>
        <a:bodyPr/>
        <a:lstStyle/>
        <a:p>
          <a:endParaRPr lang="en-GB"/>
        </a:p>
      </dgm:t>
    </dgm:pt>
    <dgm:pt modelId="{9C2400ED-0057-43FE-9FF8-1044C7F7D3EA}" type="pres">
      <dgm:prSet presAssocID="{B895E157-735F-4191-9390-D20817E2AECC}" presName="centerShape" presStyleLbl="node0" presStyleIdx="0" presStyleCnt="1" custLinFactNeighborX="384"/>
      <dgm:spPr/>
      <dgm:t>
        <a:bodyPr/>
        <a:lstStyle/>
        <a:p>
          <a:endParaRPr lang="en-GB"/>
        </a:p>
      </dgm:t>
    </dgm:pt>
    <dgm:pt modelId="{0876B9F6-F14D-4987-ADD1-220F501653DF}" type="pres">
      <dgm:prSet presAssocID="{1869162E-A447-4D3E-8945-F972F47C25AD}" presName="Name9" presStyleLbl="parChTrans1D2" presStyleIdx="0" presStyleCnt="5"/>
      <dgm:spPr/>
      <dgm:t>
        <a:bodyPr/>
        <a:lstStyle/>
        <a:p>
          <a:endParaRPr lang="en-GB"/>
        </a:p>
      </dgm:t>
    </dgm:pt>
    <dgm:pt modelId="{12F62234-6660-402F-B6A8-D7985CBCB468}" type="pres">
      <dgm:prSet presAssocID="{1869162E-A447-4D3E-8945-F972F47C25AD}" presName="connTx" presStyleLbl="parChTrans1D2" presStyleIdx="0" presStyleCnt="5"/>
      <dgm:spPr/>
      <dgm:t>
        <a:bodyPr/>
        <a:lstStyle/>
        <a:p>
          <a:endParaRPr lang="en-GB"/>
        </a:p>
      </dgm:t>
    </dgm:pt>
    <dgm:pt modelId="{A64037B8-69DD-4A97-9461-196802828AA7}" type="pres">
      <dgm:prSet presAssocID="{98898EC3-4EBE-44F3-9C32-9C9C28B9742E}" presName="node" presStyleLbl="node1" presStyleIdx="0" presStyleCnt="5">
        <dgm:presLayoutVars>
          <dgm:bulletEnabled val="1"/>
        </dgm:presLayoutVars>
      </dgm:prSet>
      <dgm:spPr/>
      <dgm:t>
        <a:bodyPr/>
        <a:lstStyle/>
        <a:p>
          <a:endParaRPr lang="en-GB"/>
        </a:p>
      </dgm:t>
    </dgm:pt>
    <dgm:pt modelId="{E414CC1D-3B33-40DA-9A44-2B589E02F43A}" type="pres">
      <dgm:prSet presAssocID="{1AC5C890-7541-40AF-82DD-34E065654A84}" presName="Name9" presStyleLbl="parChTrans1D2" presStyleIdx="1" presStyleCnt="5"/>
      <dgm:spPr/>
      <dgm:t>
        <a:bodyPr/>
        <a:lstStyle/>
        <a:p>
          <a:endParaRPr lang="en-GB"/>
        </a:p>
      </dgm:t>
    </dgm:pt>
    <dgm:pt modelId="{6F2B312F-D7E1-4AC9-B79C-DBDF68A4E371}" type="pres">
      <dgm:prSet presAssocID="{1AC5C890-7541-40AF-82DD-34E065654A84}" presName="connTx" presStyleLbl="parChTrans1D2" presStyleIdx="1" presStyleCnt="5"/>
      <dgm:spPr/>
      <dgm:t>
        <a:bodyPr/>
        <a:lstStyle/>
        <a:p>
          <a:endParaRPr lang="en-GB"/>
        </a:p>
      </dgm:t>
    </dgm:pt>
    <dgm:pt modelId="{880A31A8-4AB4-4360-869E-DAD18175BD51}" type="pres">
      <dgm:prSet presAssocID="{B69236A9-171A-4C1D-BC92-5327D0980F0D}" presName="node" presStyleLbl="node1" presStyleIdx="1" presStyleCnt="5">
        <dgm:presLayoutVars>
          <dgm:bulletEnabled val="1"/>
        </dgm:presLayoutVars>
      </dgm:prSet>
      <dgm:spPr/>
      <dgm:t>
        <a:bodyPr/>
        <a:lstStyle/>
        <a:p>
          <a:endParaRPr lang="en-GB"/>
        </a:p>
      </dgm:t>
    </dgm:pt>
    <dgm:pt modelId="{DEBE78A8-8698-4C0D-BE37-5B981455B96F}" type="pres">
      <dgm:prSet presAssocID="{A2F85BAA-9D65-40FD-8906-D743730CAC80}" presName="Name9" presStyleLbl="parChTrans1D2" presStyleIdx="2" presStyleCnt="5"/>
      <dgm:spPr/>
      <dgm:t>
        <a:bodyPr/>
        <a:lstStyle/>
        <a:p>
          <a:endParaRPr lang="en-GB"/>
        </a:p>
      </dgm:t>
    </dgm:pt>
    <dgm:pt modelId="{B8FF11ED-CC45-42E4-948B-98F7DB08D7A3}" type="pres">
      <dgm:prSet presAssocID="{A2F85BAA-9D65-40FD-8906-D743730CAC80}" presName="connTx" presStyleLbl="parChTrans1D2" presStyleIdx="2" presStyleCnt="5"/>
      <dgm:spPr/>
      <dgm:t>
        <a:bodyPr/>
        <a:lstStyle/>
        <a:p>
          <a:endParaRPr lang="en-GB"/>
        </a:p>
      </dgm:t>
    </dgm:pt>
    <dgm:pt modelId="{5EA1469C-D059-4B12-8ABD-647A2D0BD08F}" type="pres">
      <dgm:prSet presAssocID="{7C898F21-C180-46A0-A6A6-4A88726A9B4F}" presName="node" presStyleLbl="node1" presStyleIdx="2" presStyleCnt="5">
        <dgm:presLayoutVars>
          <dgm:bulletEnabled val="1"/>
        </dgm:presLayoutVars>
      </dgm:prSet>
      <dgm:spPr/>
      <dgm:t>
        <a:bodyPr/>
        <a:lstStyle/>
        <a:p>
          <a:endParaRPr lang="en-GB"/>
        </a:p>
      </dgm:t>
    </dgm:pt>
    <dgm:pt modelId="{78D724D2-738D-474C-B466-DFD82DAF3FF1}" type="pres">
      <dgm:prSet presAssocID="{7497989D-1C74-45F0-A51D-49A0FBA8CDCF}" presName="Name9" presStyleLbl="parChTrans1D2" presStyleIdx="3" presStyleCnt="5"/>
      <dgm:spPr/>
      <dgm:t>
        <a:bodyPr/>
        <a:lstStyle/>
        <a:p>
          <a:endParaRPr lang="en-GB"/>
        </a:p>
      </dgm:t>
    </dgm:pt>
    <dgm:pt modelId="{F491F572-87E4-477B-8D99-883278355DFC}" type="pres">
      <dgm:prSet presAssocID="{7497989D-1C74-45F0-A51D-49A0FBA8CDCF}" presName="connTx" presStyleLbl="parChTrans1D2" presStyleIdx="3" presStyleCnt="5"/>
      <dgm:spPr/>
      <dgm:t>
        <a:bodyPr/>
        <a:lstStyle/>
        <a:p>
          <a:endParaRPr lang="en-GB"/>
        </a:p>
      </dgm:t>
    </dgm:pt>
    <dgm:pt modelId="{D36F2871-8AC8-481D-BE8E-3B17D29D7DB1}" type="pres">
      <dgm:prSet presAssocID="{0F417701-A061-4E6C-ABAA-8F9768D92F52}" presName="node" presStyleLbl="node1" presStyleIdx="3" presStyleCnt="5">
        <dgm:presLayoutVars>
          <dgm:bulletEnabled val="1"/>
        </dgm:presLayoutVars>
      </dgm:prSet>
      <dgm:spPr/>
      <dgm:t>
        <a:bodyPr/>
        <a:lstStyle/>
        <a:p>
          <a:endParaRPr lang="en-GB"/>
        </a:p>
      </dgm:t>
    </dgm:pt>
    <dgm:pt modelId="{EC4BD462-D2E3-4803-9A7F-28BEFC4BE75A}" type="pres">
      <dgm:prSet presAssocID="{160D297D-2FD9-4BDB-916F-4293A7943BB6}" presName="Name9" presStyleLbl="parChTrans1D2" presStyleIdx="4" presStyleCnt="5"/>
      <dgm:spPr/>
      <dgm:t>
        <a:bodyPr/>
        <a:lstStyle/>
        <a:p>
          <a:endParaRPr lang="en-GB"/>
        </a:p>
      </dgm:t>
    </dgm:pt>
    <dgm:pt modelId="{5E7C1106-B49F-4C2F-BDD4-F062EC97A043}" type="pres">
      <dgm:prSet presAssocID="{160D297D-2FD9-4BDB-916F-4293A7943BB6}" presName="connTx" presStyleLbl="parChTrans1D2" presStyleIdx="4" presStyleCnt="5"/>
      <dgm:spPr/>
      <dgm:t>
        <a:bodyPr/>
        <a:lstStyle/>
        <a:p>
          <a:endParaRPr lang="en-GB"/>
        </a:p>
      </dgm:t>
    </dgm:pt>
    <dgm:pt modelId="{3D117938-7A6C-41A8-82C4-53BE57C74D88}" type="pres">
      <dgm:prSet presAssocID="{3FF908FA-FACC-4686-89E8-AA147F2D768F}" presName="node" presStyleLbl="node1" presStyleIdx="4" presStyleCnt="5">
        <dgm:presLayoutVars>
          <dgm:bulletEnabled val="1"/>
        </dgm:presLayoutVars>
      </dgm:prSet>
      <dgm:spPr/>
      <dgm:t>
        <a:bodyPr/>
        <a:lstStyle/>
        <a:p>
          <a:endParaRPr lang="en-GB"/>
        </a:p>
      </dgm:t>
    </dgm:pt>
  </dgm:ptLst>
  <dgm:cxnLst>
    <dgm:cxn modelId="{ED1F5283-9C27-4D05-AF64-FBAC830ADD93}" type="presOf" srcId="{0F417701-A061-4E6C-ABAA-8F9768D92F52}" destId="{D36F2871-8AC8-481D-BE8E-3B17D29D7DB1}" srcOrd="0" destOrd="0" presId="urn:microsoft.com/office/officeart/2005/8/layout/radial1"/>
    <dgm:cxn modelId="{39C5C08D-7E6F-44EA-B2BA-95CF5ED8B18A}" type="presOf" srcId="{98898EC3-4EBE-44F3-9C32-9C9C28B9742E}" destId="{A64037B8-69DD-4A97-9461-196802828AA7}" srcOrd="0" destOrd="0" presId="urn:microsoft.com/office/officeart/2005/8/layout/radial1"/>
    <dgm:cxn modelId="{978BE552-95BF-475C-8819-FA34C669F180}" type="presOf" srcId="{7497989D-1C74-45F0-A51D-49A0FBA8CDCF}" destId="{78D724D2-738D-474C-B466-DFD82DAF3FF1}" srcOrd="0" destOrd="0" presId="urn:microsoft.com/office/officeart/2005/8/layout/radial1"/>
    <dgm:cxn modelId="{E8B585C9-4762-4CBE-8764-78D4CBF02FD0}" srcId="{17652703-2F5D-4ADF-BAFA-601520331049}" destId="{B895E157-735F-4191-9390-D20817E2AECC}" srcOrd="0" destOrd="0" parTransId="{18371646-27BE-4176-9D76-E0F0167CED8D}" sibTransId="{FCA2BB19-24C6-42FB-BB0C-E700868D8196}"/>
    <dgm:cxn modelId="{119DC9DB-A5EB-446E-8C01-D770E3A81F34}" type="presOf" srcId="{7C898F21-C180-46A0-A6A6-4A88726A9B4F}" destId="{5EA1469C-D059-4B12-8ABD-647A2D0BD08F}" srcOrd="0" destOrd="0" presId="urn:microsoft.com/office/officeart/2005/8/layout/radial1"/>
    <dgm:cxn modelId="{0CD2E69C-0237-44DD-9804-0AEE86744DC5}" type="presOf" srcId="{3FF908FA-FACC-4686-89E8-AA147F2D768F}" destId="{3D117938-7A6C-41A8-82C4-53BE57C74D88}" srcOrd="0" destOrd="0" presId="urn:microsoft.com/office/officeart/2005/8/layout/radial1"/>
    <dgm:cxn modelId="{3E33DA32-0ECD-466A-B637-3A74C5789A2A}" srcId="{B895E157-735F-4191-9390-D20817E2AECC}" destId="{B69236A9-171A-4C1D-BC92-5327D0980F0D}" srcOrd="1" destOrd="0" parTransId="{1AC5C890-7541-40AF-82DD-34E065654A84}" sibTransId="{1BA3CBB8-12F5-428E-812E-05D66EC03E83}"/>
    <dgm:cxn modelId="{AAD8480A-ECEB-4FCE-9F5A-66FD4779EFF5}" type="presOf" srcId="{1869162E-A447-4D3E-8945-F972F47C25AD}" destId="{0876B9F6-F14D-4987-ADD1-220F501653DF}" srcOrd="0" destOrd="0" presId="urn:microsoft.com/office/officeart/2005/8/layout/radial1"/>
    <dgm:cxn modelId="{10FAD4D4-9A80-42F3-B003-B3DFEE7DFF54}" type="presOf" srcId="{7497989D-1C74-45F0-A51D-49A0FBA8CDCF}" destId="{F491F572-87E4-477B-8D99-883278355DFC}" srcOrd="1" destOrd="0" presId="urn:microsoft.com/office/officeart/2005/8/layout/radial1"/>
    <dgm:cxn modelId="{22EC2819-DF59-4302-B765-D6D982F314F3}" type="presOf" srcId="{A2F85BAA-9D65-40FD-8906-D743730CAC80}" destId="{DEBE78A8-8698-4C0D-BE37-5B981455B96F}" srcOrd="0" destOrd="0" presId="urn:microsoft.com/office/officeart/2005/8/layout/radial1"/>
    <dgm:cxn modelId="{00B00B42-8FDA-4107-B9C9-FE824FD75ACF}" type="presOf" srcId="{B895E157-735F-4191-9390-D20817E2AECC}" destId="{9C2400ED-0057-43FE-9FF8-1044C7F7D3EA}" srcOrd="0" destOrd="0" presId="urn:microsoft.com/office/officeart/2005/8/layout/radial1"/>
    <dgm:cxn modelId="{82556B9D-A71A-43BA-B048-CC1A1F4F6D24}" type="presOf" srcId="{1AC5C890-7541-40AF-82DD-34E065654A84}" destId="{E414CC1D-3B33-40DA-9A44-2B589E02F43A}" srcOrd="0" destOrd="0" presId="urn:microsoft.com/office/officeart/2005/8/layout/radial1"/>
    <dgm:cxn modelId="{FE4A46AF-876B-42FD-B6B9-03C67BE45403}" type="presOf" srcId="{A2F85BAA-9D65-40FD-8906-D743730CAC80}" destId="{B8FF11ED-CC45-42E4-948B-98F7DB08D7A3}" srcOrd="1" destOrd="0" presId="urn:microsoft.com/office/officeart/2005/8/layout/radial1"/>
    <dgm:cxn modelId="{75C4310C-7208-4732-9A33-06C32FAC661A}" type="presOf" srcId="{B69236A9-171A-4C1D-BC92-5327D0980F0D}" destId="{880A31A8-4AB4-4360-869E-DAD18175BD51}" srcOrd="0" destOrd="0" presId="urn:microsoft.com/office/officeart/2005/8/layout/radial1"/>
    <dgm:cxn modelId="{969C705A-E038-4A1C-B213-86A058D3C5E6}" srcId="{17652703-2F5D-4ADF-BAFA-601520331049}" destId="{903474FA-5AB5-4FD5-AD0C-8B22B35861FC}" srcOrd="1" destOrd="0" parTransId="{AF611028-B2AF-48FC-B66A-C9CBF564A5C6}" sibTransId="{B1035D71-ED48-4007-B57D-74426E1196D4}"/>
    <dgm:cxn modelId="{123E4712-79B9-4BC0-B67A-320A08342953}" type="presOf" srcId="{160D297D-2FD9-4BDB-916F-4293A7943BB6}" destId="{5E7C1106-B49F-4C2F-BDD4-F062EC97A043}" srcOrd="1" destOrd="0" presId="urn:microsoft.com/office/officeart/2005/8/layout/radial1"/>
    <dgm:cxn modelId="{D08BB4F5-9ABF-4592-963C-749E6D8FD3A2}" type="presOf" srcId="{17652703-2F5D-4ADF-BAFA-601520331049}" destId="{3846C67B-7288-41B7-ACBE-A69432846328}" srcOrd="0" destOrd="0" presId="urn:microsoft.com/office/officeart/2005/8/layout/radial1"/>
    <dgm:cxn modelId="{B5ACD181-9307-4DE1-A309-40195C62C286}" srcId="{B895E157-735F-4191-9390-D20817E2AECC}" destId="{7C898F21-C180-46A0-A6A6-4A88726A9B4F}" srcOrd="2" destOrd="0" parTransId="{A2F85BAA-9D65-40FD-8906-D743730CAC80}" sibTransId="{F57442D1-2CE7-4712-B7F0-52FD1186DC0B}"/>
    <dgm:cxn modelId="{F1D58F3F-8A5A-4709-A217-6AF179BB7453}" srcId="{B895E157-735F-4191-9390-D20817E2AECC}" destId="{0F417701-A061-4E6C-ABAA-8F9768D92F52}" srcOrd="3" destOrd="0" parTransId="{7497989D-1C74-45F0-A51D-49A0FBA8CDCF}" sibTransId="{48C70562-BF04-4348-A402-C34D0D54F88E}"/>
    <dgm:cxn modelId="{47683E38-107C-4206-9352-2F04C7039FC7}" srcId="{B895E157-735F-4191-9390-D20817E2AECC}" destId="{3FF908FA-FACC-4686-89E8-AA147F2D768F}" srcOrd="4" destOrd="0" parTransId="{160D297D-2FD9-4BDB-916F-4293A7943BB6}" sibTransId="{ABA41A25-599D-4A48-ACD4-B0DA09C75A21}"/>
    <dgm:cxn modelId="{50D48FCB-AA0E-4358-A8C8-08224F9D7982}" srcId="{B895E157-735F-4191-9390-D20817E2AECC}" destId="{98898EC3-4EBE-44F3-9C32-9C9C28B9742E}" srcOrd="0" destOrd="0" parTransId="{1869162E-A447-4D3E-8945-F972F47C25AD}" sibTransId="{F3D9F40F-58DF-4E28-B641-89A23328C59F}"/>
    <dgm:cxn modelId="{8D77D831-9460-4D2A-96B3-7B97FD4AA02F}" type="presOf" srcId="{1869162E-A447-4D3E-8945-F972F47C25AD}" destId="{12F62234-6660-402F-B6A8-D7985CBCB468}" srcOrd="1" destOrd="0" presId="urn:microsoft.com/office/officeart/2005/8/layout/radial1"/>
    <dgm:cxn modelId="{2ED88C27-B1B4-4468-B74E-2C5C30042953}" type="presOf" srcId="{1AC5C890-7541-40AF-82DD-34E065654A84}" destId="{6F2B312F-D7E1-4AC9-B79C-DBDF68A4E371}" srcOrd="1" destOrd="0" presId="urn:microsoft.com/office/officeart/2005/8/layout/radial1"/>
    <dgm:cxn modelId="{005D4037-670E-4BE1-984E-7A114A141203}" type="presOf" srcId="{160D297D-2FD9-4BDB-916F-4293A7943BB6}" destId="{EC4BD462-D2E3-4803-9A7F-28BEFC4BE75A}" srcOrd="0" destOrd="0" presId="urn:microsoft.com/office/officeart/2005/8/layout/radial1"/>
    <dgm:cxn modelId="{1D4BEDE9-44E1-4FC5-B182-AE941115E1E0}" type="presParOf" srcId="{3846C67B-7288-41B7-ACBE-A69432846328}" destId="{9C2400ED-0057-43FE-9FF8-1044C7F7D3EA}" srcOrd="0" destOrd="0" presId="urn:microsoft.com/office/officeart/2005/8/layout/radial1"/>
    <dgm:cxn modelId="{754AE3F4-B081-402E-9D64-36006D896808}" type="presParOf" srcId="{3846C67B-7288-41B7-ACBE-A69432846328}" destId="{0876B9F6-F14D-4987-ADD1-220F501653DF}" srcOrd="1" destOrd="0" presId="urn:microsoft.com/office/officeart/2005/8/layout/radial1"/>
    <dgm:cxn modelId="{47384AB1-8BD8-4CD7-B3F5-8C502F0D8D94}" type="presParOf" srcId="{0876B9F6-F14D-4987-ADD1-220F501653DF}" destId="{12F62234-6660-402F-B6A8-D7985CBCB468}" srcOrd="0" destOrd="0" presId="urn:microsoft.com/office/officeart/2005/8/layout/radial1"/>
    <dgm:cxn modelId="{5A73A6FF-642D-4428-B922-B5AA3E894A9F}" type="presParOf" srcId="{3846C67B-7288-41B7-ACBE-A69432846328}" destId="{A64037B8-69DD-4A97-9461-196802828AA7}" srcOrd="2" destOrd="0" presId="urn:microsoft.com/office/officeart/2005/8/layout/radial1"/>
    <dgm:cxn modelId="{389A537D-6A8F-4534-ADB7-1C7DD906E489}" type="presParOf" srcId="{3846C67B-7288-41B7-ACBE-A69432846328}" destId="{E414CC1D-3B33-40DA-9A44-2B589E02F43A}" srcOrd="3" destOrd="0" presId="urn:microsoft.com/office/officeart/2005/8/layout/radial1"/>
    <dgm:cxn modelId="{8E269CF6-27BE-4B2C-AA7C-EC8E02925DDC}" type="presParOf" srcId="{E414CC1D-3B33-40DA-9A44-2B589E02F43A}" destId="{6F2B312F-D7E1-4AC9-B79C-DBDF68A4E371}" srcOrd="0" destOrd="0" presId="urn:microsoft.com/office/officeart/2005/8/layout/radial1"/>
    <dgm:cxn modelId="{99985D0F-328B-4B42-B316-F7F0F22A4445}" type="presParOf" srcId="{3846C67B-7288-41B7-ACBE-A69432846328}" destId="{880A31A8-4AB4-4360-869E-DAD18175BD51}" srcOrd="4" destOrd="0" presId="urn:microsoft.com/office/officeart/2005/8/layout/radial1"/>
    <dgm:cxn modelId="{7A41B9C2-4833-46F5-87A4-BD5F7A1A065A}" type="presParOf" srcId="{3846C67B-7288-41B7-ACBE-A69432846328}" destId="{DEBE78A8-8698-4C0D-BE37-5B981455B96F}" srcOrd="5" destOrd="0" presId="urn:microsoft.com/office/officeart/2005/8/layout/radial1"/>
    <dgm:cxn modelId="{FBA8CE43-CB77-4FB7-B14D-7580356C552F}" type="presParOf" srcId="{DEBE78A8-8698-4C0D-BE37-5B981455B96F}" destId="{B8FF11ED-CC45-42E4-948B-98F7DB08D7A3}" srcOrd="0" destOrd="0" presId="urn:microsoft.com/office/officeart/2005/8/layout/radial1"/>
    <dgm:cxn modelId="{0FFFBC3C-66B1-47AF-8779-4DBE2BD3CFE9}" type="presParOf" srcId="{3846C67B-7288-41B7-ACBE-A69432846328}" destId="{5EA1469C-D059-4B12-8ABD-647A2D0BD08F}" srcOrd="6" destOrd="0" presId="urn:microsoft.com/office/officeart/2005/8/layout/radial1"/>
    <dgm:cxn modelId="{989F3D77-99EE-493E-86BE-85172B1FF909}" type="presParOf" srcId="{3846C67B-7288-41B7-ACBE-A69432846328}" destId="{78D724D2-738D-474C-B466-DFD82DAF3FF1}" srcOrd="7" destOrd="0" presId="urn:microsoft.com/office/officeart/2005/8/layout/radial1"/>
    <dgm:cxn modelId="{993FDA25-9CA5-4C7C-BFCC-45C341C408C3}" type="presParOf" srcId="{78D724D2-738D-474C-B466-DFD82DAF3FF1}" destId="{F491F572-87E4-477B-8D99-883278355DFC}" srcOrd="0" destOrd="0" presId="urn:microsoft.com/office/officeart/2005/8/layout/radial1"/>
    <dgm:cxn modelId="{9216C35D-4F4E-4696-A3B9-959F1905F451}" type="presParOf" srcId="{3846C67B-7288-41B7-ACBE-A69432846328}" destId="{D36F2871-8AC8-481D-BE8E-3B17D29D7DB1}" srcOrd="8" destOrd="0" presId="urn:microsoft.com/office/officeart/2005/8/layout/radial1"/>
    <dgm:cxn modelId="{7D27A62B-921F-43B3-8053-7DC7F1AE7BBA}" type="presParOf" srcId="{3846C67B-7288-41B7-ACBE-A69432846328}" destId="{EC4BD462-D2E3-4803-9A7F-28BEFC4BE75A}" srcOrd="9" destOrd="0" presId="urn:microsoft.com/office/officeart/2005/8/layout/radial1"/>
    <dgm:cxn modelId="{39497AF4-13B0-42A9-96A2-BDC4FBCA9FDD}" type="presParOf" srcId="{EC4BD462-D2E3-4803-9A7F-28BEFC4BE75A}" destId="{5E7C1106-B49F-4C2F-BDD4-F062EC97A043}" srcOrd="0" destOrd="0" presId="urn:microsoft.com/office/officeart/2005/8/layout/radial1"/>
    <dgm:cxn modelId="{7B8C3691-0D2A-479F-B13B-2677C1CD500D}" type="presParOf" srcId="{3846C67B-7288-41B7-ACBE-A69432846328}" destId="{3D117938-7A6C-41A8-82C4-53BE57C74D88}" srcOrd="10"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16C57A4-7B11-4D8F-B0D5-29EA19EEC181}" type="doc">
      <dgm:prSet loTypeId="urn:microsoft.com/office/officeart/2005/8/layout/hierarchy5" loCatId="hierarchy" qsTypeId="urn:microsoft.com/office/officeart/2005/8/quickstyle/simple5" qsCatId="simple" csTypeId="urn:microsoft.com/office/officeart/2005/8/colors/accent1_2" csCatId="accent1" phldr="1"/>
      <dgm:spPr/>
      <dgm:t>
        <a:bodyPr/>
        <a:lstStyle/>
        <a:p>
          <a:endParaRPr lang="en-GB"/>
        </a:p>
      </dgm:t>
    </dgm:pt>
    <dgm:pt modelId="{46CA5E53-D523-454E-9D70-87EF75160F8B}">
      <dgm:prSet phldrT="[Text]" custT="1"/>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GB" sz="800" b="1"/>
            <a:t>Adopted Local Plan 2012-2030</a:t>
          </a:r>
        </a:p>
      </dgm:t>
    </dgm:pt>
    <dgm:pt modelId="{C5C9C2DE-30A7-401E-A763-28F19EEE2496}" type="parTrans" cxnId="{D591A3E3-C0A3-4293-A714-8AA29D1F0C9A}">
      <dgm:prSet/>
      <dgm:spPr/>
      <dgm:t>
        <a:bodyPr/>
        <a:lstStyle/>
        <a:p>
          <a:endParaRPr lang="en-GB"/>
        </a:p>
      </dgm:t>
    </dgm:pt>
    <dgm:pt modelId="{744BAD60-5E7B-437A-A356-A4C982603BBC}" type="sibTrans" cxnId="{D591A3E3-C0A3-4293-A714-8AA29D1F0C9A}">
      <dgm:prSet/>
      <dgm:spPr/>
      <dgm:t>
        <a:bodyPr/>
        <a:lstStyle/>
        <a:p>
          <a:endParaRPr lang="en-GB"/>
        </a:p>
      </dgm:t>
    </dgm:pt>
    <dgm:pt modelId="{5E17F719-EDE3-45D5-96EF-CC0555A0ED4F}">
      <dgm:prSet phldrT="[Text]" custT="1"/>
      <dgm:spPr/>
      <dgm:t>
        <a:bodyPr/>
        <a:lstStyle/>
        <a:p>
          <a:r>
            <a:rPr lang="en-GB" sz="800"/>
            <a:t>Master Plans</a:t>
          </a:r>
        </a:p>
      </dgm:t>
    </dgm:pt>
    <dgm:pt modelId="{E8430CEA-9CCE-4EA1-9D00-1CB269C4AE1B}" type="parTrans" cxnId="{20ACEE7C-2538-4354-944F-4F057D729B46}">
      <dgm:prSet/>
      <dgm:spPr/>
      <dgm:t>
        <a:bodyPr/>
        <a:lstStyle/>
        <a:p>
          <a:endParaRPr lang="en-GB"/>
        </a:p>
      </dgm:t>
    </dgm:pt>
    <dgm:pt modelId="{CDBAAB3B-DCE0-4FF3-B9F4-96D5DB7E499E}" type="sibTrans" cxnId="{20ACEE7C-2538-4354-944F-4F057D729B46}">
      <dgm:prSet/>
      <dgm:spPr/>
      <dgm:t>
        <a:bodyPr/>
        <a:lstStyle/>
        <a:p>
          <a:endParaRPr lang="en-GB"/>
        </a:p>
      </dgm:t>
    </dgm:pt>
    <dgm:pt modelId="{E9975CB9-8D28-4DA4-8F42-D5F260ABDE57}">
      <dgm:prSet phldrT="[Text]"/>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GB" b="1"/>
            <a:t>Torquay Gateway -</a:t>
          </a:r>
        </a:p>
        <a:p>
          <a:r>
            <a:rPr lang="en-GB" b="1"/>
            <a:t>Adopted </a:t>
          </a:r>
        </a:p>
      </dgm:t>
    </dgm:pt>
    <dgm:pt modelId="{36B1FC55-2956-4063-999D-34DC48AA3026}" type="parTrans" cxnId="{A8655E33-165A-468A-83A6-66E76DF4B6F8}">
      <dgm:prSet/>
      <dgm:spPr/>
      <dgm:t>
        <a:bodyPr/>
        <a:lstStyle/>
        <a:p>
          <a:endParaRPr lang="en-GB"/>
        </a:p>
      </dgm:t>
    </dgm:pt>
    <dgm:pt modelId="{59B0719D-89F8-4B3C-A9FF-2B93E2B6A600}" type="sibTrans" cxnId="{A8655E33-165A-468A-83A6-66E76DF4B6F8}">
      <dgm:prSet/>
      <dgm:spPr/>
      <dgm:t>
        <a:bodyPr/>
        <a:lstStyle/>
        <a:p>
          <a:endParaRPr lang="en-GB"/>
        </a:p>
      </dgm:t>
    </dgm:pt>
    <dgm:pt modelId="{0241EE58-20D8-4388-B5D2-6A425764F5DA}">
      <dgm:prSet phldrT="[Text]"/>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GB" b="1"/>
            <a:t>Paignton town Centre -</a:t>
          </a:r>
        </a:p>
        <a:p>
          <a:r>
            <a:rPr lang="en-GB" b="1"/>
            <a:t>Adopted</a:t>
          </a:r>
        </a:p>
      </dgm:t>
    </dgm:pt>
    <dgm:pt modelId="{5609418A-A99A-4130-9443-5964B7254344}" type="parTrans" cxnId="{FC693D79-E1E9-4A97-BC47-FD174400E684}">
      <dgm:prSet/>
      <dgm:spPr/>
      <dgm:t>
        <a:bodyPr/>
        <a:lstStyle/>
        <a:p>
          <a:endParaRPr lang="en-GB"/>
        </a:p>
      </dgm:t>
    </dgm:pt>
    <dgm:pt modelId="{63B37A43-9E1B-4FE2-BA79-22710BC1FAF5}" type="sibTrans" cxnId="{FC693D79-E1E9-4A97-BC47-FD174400E684}">
      <dgm:prSet/>
      <dgm:spPr/>
      <dgm:t>
        <a:bodyPr/>
        <a:lstStyle/>
        <a:p>
          <a:endParaRPr lang="en-GB"/>
        </a:p>
      </dgm:t>
    </dgm:pt>
    <dgm:pt modelId="{A83415E4-6C04-4A21-9D20-9985618FDF85}">
      <dgm:prSet phldrT="[Text]" custT="1"/>
      <dgm:spPr/>
      <dgm:t>
        <a:bodyPr/>
        <a:lstStyle/>
        <a:p>
          <a:r>
            <a:rPr lang="en-GB" sz="800"/>
            <a:t>Neighbourhood Plans</a:t>
          </a:r>
        </a:p>
      </dgm:t>
    </dgm:pt>
    <dgm:pt modelId="{602D9105-EA2D-41CB-9B14-F926DB0560B4}" type="parTrans" cxnId="{B6C04AA5-09BF-4D04-8AB0-A136E182DD11}">
      <dgm:prSet/>
      <dgm:spPr/>
      <dgm:t>
        <a:bodyPr/>
        <a:lstStyle/>
        <a:p>
          <a:endParaRPr lang="en-GB"/>
        </a:p>
      </dgm:t>
    </dgm:pt>
    <dgm:pt modelId="{D93D9867-9808-4140-9F70-8CE6641A58A0}" type="sibTrans" cxnId="{B6C04AA5-09BF-4D04-8AB0-A136E182DD11}">
      <dgm:prSet/>
      <dgm:spPr/>
      <dgm:t>
        <a:bodyPr/>
        <a:lstStyle/>
        <a:p>
          <a:endParaRPr lang="en-GB"/>
        </a:p>
      </dgm:t>
    </dgm:pt>
    <dgm:pt modelId="{9C7E5A48-4188-4BA7-A255-02C0FF5764BD}">
      <dgm:prSet phldrT="[Text]" custT="1"/>
      <dgm:spPr/>
      <dgm:t>
        <a:bodyPr/>
        <a:lstStyle/>
        <a:p>
          <a:r>
            <a:rPr lang="en-GB" sz="600" b="1"/>
            <a:t>Torquay</a:t>
          </a:r>
        </a:p>
      </dgm:t>
    </dgm:pt>
    <dgm:pt modelId="{604A81FD-A652-4358-BB62-AAD27059EAF5}" type="parTrans" cxnId="{8E44205D-E40E-4E6A-A2D7-569CEC9FA0DA}">
      <dgm:prSet/>
      <dgm:spPr/>
      <dgm:t>
        <a:bodyPr/>
        <a:lstStyle/>
        <a:p>
          <a:endParaRPr lang="en-GB"/>
        </a:p>
      </dgm:t>
    </dgm:pt>
    <dgm:pt modelId="{1016774F-DB8F-48DD-80F2-01B7C6CF11FE}" type="sibTrans" cxnId="{8E44205D-E40E-4E6A-A2D7-569CEC9FA0DA}">
      <dgm:prSet/>
      <dgm:spPr/>
      <dgm:t>
        <a:bodyPr/>
        <a:lstStyle/>
        <a:p>
          <a:endParaRPr lang="en-GB"/>
        </a:p>
      </dgm:t>
    </dgm:pt>
    <dgm:pt modelId="{581B2C4D-99BD-479A-BEEF-AE77769837B2}">
      <dgm:prSet phldrT="[Text]"/>
      <dgm:spPr/>
      <dgm:t>
        <a:bodyPr/>
        <a:lstStyle/>
        <a:p>
          <a:r>
            <a:rPr lang="en-GB"/>
            <a:t>Dec 2015</a:t>
          </a:r>
        </a:p>
      </dgm:t>
    </dgm:pt>
    <dgm:pt modelId="{5DF4998F-23F7-4DEC-9E63-5C36CC0734F6}" type="parTrans" cxnId="{D1E0C168-8CFF-4132-8C84-8B781BEEFD58}">
      <dgm:prSet/>
      <dgm:spPr/>
      <dgm:t>
        <a:bodyPr/>
        <a:lstStyle/>
        <a:p>
          <a:endParaRPr lang="en-GB"/>
        </a:p>
      </dgm:t>
    </dgm:pt>
    <dgm:pt modelId="{F2F8E22E-8E33-48AD-AAC7-6BA7FF4B1AC6}" type="sibTrans" cxnId="{D1E0C168-8CFF-4132-8C84-8B781BEEFD58}">
      <dgm:prSet/>
      <dgm:spPr/>
      <dgm:t>
        <a:bodyPr/>
        <a:lstStyle/>
        <a:p>
          <a:endParaRPr lang="en-GB"/>
        </a:p>
      </dgm:t>
    </dgm:pt>
    <dgm:pt modelId="{82492EFF-E71F-428E-B208-FA559F5FE2B3}">
      <dgm:prSet phldrT="[Text]"/>
      <dgm:spPr/>
      <dgm:t>
        <a:bodyPr/>
        <a:lstStyle/>
        <a:p>
          <a:endParaRPr lang="en-GB"/>
        </a:p>
      </dgm:t>
    </dgm:pt>
    <dgm:pt modelId="{D4CBDFEC-06E7-417F-A180-74C8224EDC8F}" type="parTrans" cxnId="{63136C05-2395-421F-BC1C-DD609380E577}">
      <dgm:prSet/>
      <dgm:spPr/>
      <dgm:t>
        <a:bodyPr/>
        <a:lstStyle/>
        <a:p>
          <a:endParaRPr lang="en-GB"/>
        </a:p>
      </dgm:t>
    </dgm:pt>
    <dgm:pt modelId="{D7A6D32D-F312-465C-9FF8-80A49A027346}" type="sibTrans" cxnId="{63136C05-2395-421F-BC1C-DD609380E577}">
      <dgm:prSet/>
      <dgm:spPr/>
      <dgm:t>
        <a:bodyPr/>
        <a:lstStyle/>
        <a:p>
          <a:endParaRPr lang="en-GB"/>
        </a:p>
      </dgm:t>
    </dgm:pt>
    <dgm:pt modelId="{E5B2B059-CF2B-466B-9422-9FD77635D5F0}">
      <dgm:prSet phldrT="[Text]"/>
      <dgm:spPr/>
      <dgm:t>
        <a:bodyPr/>
        <a:lstStyle/>
        <a:p>
          <a:endParaRPr lang="en-GB"/>
        </a:p>
      </dgm:t>
    </dgm:pt>
    <dgm:pt modelId="{DF0A5114-AF67-484C-9B05-4E5B1D96F9AF}" type="parTrans" cxnId="{66A76992-73CA-483D-B36B-7DFF34CD2992}">
      <dgm:prSet/>
      <dgm:spPr/>
      <dgm:t>
        <a:bodyPr/>
        <a:lstStyle/>
        <a:p>
          <a:endParaRPr lang="en-GB"/>
        </a:p>
      </dgm:t>
    </dgm:pt>
    <dgm:pt modelId="{F4FBB87B-2AD3-42D7-B91B-7058D21158CC}" type="sibTrans" cxnId="{66A76992-73CA-483D-B36B-7DFF34CD2992}">
      <dgm:prSet/>
      <dgm:spPr/>
      <dgm:t>
        <a:bodyPr/>
        <a:lstStyle/>
        <a:p>
          <a:endParaRPr lang="en-GB"/>
        </a:p>
      </dgm:t>
    </dgm:pt>
    <dgm:pt modelId="{41A3788A-F306-4768-BA11-AC054AB3F1D8}">
      <dgm:prSet custT="1"/>
      <dgm:spPr/>
      <dgm:t>
        <a:bodyPr/>
        <a:lstStyle/>
        <a:p>
          <a:r>
            <a:rPr lang="en-GB" sz="600" b="1"/>
            <a:t>Paignton</a:t>
          </a:r>
        </a:p>
      </dgm:t>
    </dgm:pt>
    <dgm:pt modelId="{6D883AC0-5C13-41F0-9910-A2C4E9F1BAE7}" type="parTrans" cxnId="{5DD6B9B0-156D-4A0C-A0D2-9AFABB5C0C39}">
      <dgm:prSet/>
      <dgm:spPr/>
      <dgm:t>
        <a:bodyPr/>
        <a:lstStyle/>
        <a:p>
          <a:endParaRPr lang="en-GB"/>
        </a:p>
      </dgm:t>
    </dgm:pt>
    <dgm:pt modelId="{31E4A94D-043D-4827-983D-EFD4A5978948}" type="sibTrans" cxnId="{5DD6B9B0-156D-4A0C-A0D2-9AFABB5C0C39}">
      <dgm:prSet/>
      <dgm:spPr/>
      <dgm:t>
        <a:bodyPr/>
        <a:lstStyle/>
        <a:p>
          <a:endParaRPr lang="en-GB"/>
        </a:p>
      </dgm:t>
    </dgm:pt>
    <dgm:pt modelId="{9F8679E6-B9BB-4E41-BC6F-C931A21B0322}">
      <dgm:prSet custT="1"/>
      <dgm:spPr/>
      <dgm:t>
        <a:bodyPr/>
        <a:lstStyle/>
        <a:p>
          <a:r>
            <a:rPr lang="en-GB" sz="600" b="1"/>
            <a:t>Brixham Peninsula</a:t>
          </a:r>
        </a:p>
      </dgm:t>
    </dgm:pt>
    <dgm:pt modelId="{B43011DA-1A63-434B-9096-93626AE62831}" type="parTrans" cxnId="{6AF0B76B-DCA3-42DB-91A7-F7B35F3BB20F}">
      <dgm:prSet/>
      <dgm:spPr/>
      <dgm:t>
        <a:bodyPr/>
        <a:lstStyle/>
        <a:p>
          <a:endParaRPr lang="en-GB"/>
        </a:p>
      </dgm:t>
    </dgm:pt>
    <dgm:pt modelId="{8D3F158F-E420-4C4F-BC1A-64DF51A4444E}" type="sibTrans" cxnId="{6AF0B76B-DCA3-42DB-91A7-F7B35F3BB20F}">
      <dgm:prSet/>
      <dgm:spPr/>
      <dgm:t>
        <a:bodyPr/>
        <a:lstStyle/>
        <a:p>
          <a:endParaRPr lang="en-GB"/>
        </a:p>
      </dgm:t>
    </dgm:pt>
    <dgm:pt modelId="{D5B032D1-AC3E-4C44-9C96-3B6C0018F443}">
      <dgm:prSet custT="1"/>
      <dgm:spPr/>
      <dgm:t>
        <a:bodyPr/>
        <a:lstStyle/>
        <a:p>
          <a:r>
            <a:rPr lang="en-GB" sz="800" b="1"/>
            <a:t>DPDs</a:t>
          </a:r>
        </a:p>
      </dgm:t>
    </dgm:pt>
    <dgm:pt modelId="{705ACB8B-DF64-44E1-AB07-85C4F07ED193}" type="parTrans" cxnId="{4A4DA1B5-D190-43E5-8444-D5C838EDCE9D}">
      <dgm:prSet/>
      <dgm:spPr/>
      <dgm:t>
        <a:bodyPr/>
        <a:lstStyle/>
        <a:p>
          <a:endParaRPr lang="en-GB"/>
        </a:p>
      </dgm:t>
    </dgm:pt>
    <dgm:pt modelId="{5BB5ABD2-AF0D-4176-86A7-A2FA2F5CCB77}" type="sibTrans" cxnId="{4A4DA1B5-D190-43E5-8444-D5C838EDCE9D}">
      <dgm:prSet/>
      <dgm:spPr/>
      <dgm:t>
        <a:bodyPr/>
        <a:lstStyle/>
        <a:p>
          <a:endParaRPr lang="en-GB"/>
        </a:p>
      </dgm:t>
    </dgm:pt>
    <dgm:pt modelId="{4B167A4E-ADA9-4F27-A1B0-9BD936466D95}">
      <dgm:prSet/>
      <dgm:spPr/>
      <dgm:t>
        <a:bodyPr/>
        <a:lstStyle/>
        <a:p>
          <a:r>
            <a:rPr lang="en-GB"/>
            <a:t>Site Allocations Document OR Similar</a:t>
          </a:r>
        </a:p>
      </dgm:t>
    </dgm:pt>
    <dgm:pt modelId="{DEA9DE17-8241-4EDD-B357-0E3240E7F92F}" type="parTrans" cxnId="{754C688F-6F6E-47FC-8D02-7908B5361E35}">
      <dgm:prSet/>
      <dgm:spPr/>
      <dgm:t>
        <a:bodyPr/>
        <a:lstStyle/>
        <a:p>
          <a:endParaRPr lang="en-GB"/>
        </a:p>
      </dgm:t>
    </dgm:pt>
    <dgm:pt modelId="{DA404294-8140-488F-864A-03FC5A412605}" type="sibTrans" cxnId="{754C688F-6F6E-47FC-8D02-7908B5361E35}">
      <dgm:prSet/>
      <dgm:spPr/>
      <dgm:t>
        <a:bodyPr/>
        <a:lstStyle/>
        <a:p>
          <a:endParaRPr lang="en-GB"/>
        </a:p>
      </dgm:t>
    </dgm:pt>
    <dgm:pt modelId="{19A545F5-DD0F-492F-96E2-323F2484DC1E}">
      <dgm:prSet custT="1"/>
      <dgm:spPr/>
      <dgm:t>
        <a:bodyPr/>
        <a:lstStyle/>
        <a:p>
          <a:r>
            <a:rPr lang="en-GB" sz="800" b="1"/>
            <a:t>SPD</a:t>
          </a:r>
          <a:r>
            <a:rPr lang="en-GB" sz="600" b="1"/>
            <a:t>s</a:t>
          </a:r>
        </a:p>
      </dgm:t>
    </dgm:pt>
    <dgm:pt modelId="{7FBCC244-1E2B-4C30-84A2-6345CBC8AF16}" type="parTrans" cxnId="{BAAA51E7-F1C9-4313-B5D1-04200F9883CF}">
      <dgm:prSet/>
      <dgm:spPr/>
      <dgm:t>
        <a:bodyPr/>
        <a:lstStyle/>
        <a:p>
          <a:endParaRPr lang="en-GB"/>
        </a:p>
      </dgm:t>
    </dgm:pt>
    <dgm:pt modelId="{F13ECE19-EDA3-48D9-A5AC-7023FDFEB0C3}" type="sibTrans" cxnId="{BAAA51E7-F1C9-4313-B5D1-04200F9883CF}">
      <dgm:prSet/>
      <dgm:spPr/>
      <dgm:t>
        <a:bodyPr/>
        <a:lstStyle/>
        <a:p>
          <a:endParaRPr lang="en-GB"/>
        </a:p>
      </dgm:t>
    </dgm:pt>
    <dgm:pt modelId="{E7DD0C75-A44A-42CE-ABE8-AF32AA5877C0}">
      <dgm:prSet/>
      <dgm:spPr/>
      <dgm:t>
        <a:bodyPr/>
        <a:lstStyle/>
        <a:p>
          <a:r>
            <a:rPr lang="en-GB"/>
            <a:t>Design Guide</a:t>
          </a:r>
        </a:p>
      </dgm:t>
    </dgm:pt>
    <dgm:pt modelId="{A1EE9191-6E27-4C19-B687-AE4D3A20258D}" type="parTrans" cxnId="{F8A3E8B3-9A98-4ACD-A5EC-6635C5CD4D18}">
      <dgm:prSet/>
      <dgm:spPr/>
      <dgm:t>
        <a:bodyPr/>
        <a:lstStyle/>
        <a:p>
          <a:endParaRPr lang="en-GB"/>
        </a:p>
      </dgm:t>
    </dgm:pt>
    <dgm:pt modelId="{06E7DDA6-9126-49DC-AA6C-C0590276100F}" type="sibTrans" cxnId="{F8A3E8B3-9A98-4ACD-A5EC-6635C5CD4D18}">
      <dgm:prSet/>
      <dgm:spPr/>
      <dgm:t>
        <a:bodyPr/>
        <a:lstStyle/>
        <a:p>
          <a:endParaRPr lang="en-GB"/>
        </a:p>
      </dgm:t>
    </dgm:pt>
    <dgm:pt modelId="{E9F292C4-270C-44D4-A34B-F49DDB2A9C3A}">
      <dgm:prSet/>
      <dgm:spPr/>
      <dgm:t>
        <a:bodyPr/>
        <a:lstStyle/>
        <a:p>
          <a:r>
            <a:rPr lang="en-GB"/>
            <a:t>Healthy Torbay - Adopted</a:t>
          </a:r>
        </a:p>
      </dgm:t>
    </dgm:pt>
    <dgm:pt modelId="{05612D6D-81CA-4C5C-AE28-8A39592151B6}" type="parTrans" cxnId="{EC9168E7-9F0C-4F18-B57E-684D5655AD62}">
      <dgm:prSet/>
      <dgm:spPr/>
      <dgm:t>
        <a:bodyPr/>
        <a:lstStyle/>
        <a:p>
          <a:endParaRPr lang="en-GB"/>
        </a:p>
      </dgm:t>
    </dgm:pt>
    <dgm:pt modelId="{4EFF8120-5DA8-4CFB-BAAD-6599CCC08C32}" type="sibTrans" cxnId="{EC9168E7-9F0C-4F18-B57E-684D5655AD62}">
      <dgm:prSet/>
      <dgm:spPr/>
      <dgm:t>
        <a:bodyPr/>
        <a:lstStyle/>
        <a:p>
          <a:endParaRPr lang="en-GB"/>
        </a:p>
      </dgm:t>
    </dgm:pt>
    <dgm:pt modelId="{EBE8A2A7-F1B8-4AC0-A14B-E59649E43118}">
      <dgm:prSet custT="1"/>
      <dgm:spPr/>
      <dgm:t>
        <a:bodyPr/>
        <a:lstStyle/>
        <a:p>
          <a:r>
            <a:rPr lang="en-GB" sz="800"/>
            <a:t>Community Infrastructure Levy</a:t>
          </a:r>
        </a:p>
      </dgm:t>
    </dgm:pt>
    <dgm:pt modelId="{E3B95576-4084-4A1D-9376-4952D63D363E}" type="parTrans" cxnId="{A0C5BC99-ADFA-4EBA-A7A0-E1151F2C019C}">
      <dgm:prSet/>
      <dgm:spPr/>
      <dgm:t>
        <a:bodyPr/>
        <a:lstStyle/>
        <a:p>
          <a:endParaRPr lang="en-GB"/>
        </a:p>
      </dgm:t>
    </dgm:pt>
    <dgm:pt modelId="{F7B0DCFF-28D4-4DF0-9581-DDBDB8A8E3DB}" type="sibTrans" cxnId="{A0C5BC99-ADFA-4EBA-A7A0-E1151F2C019C}">
      <dgm:prSet/>
      <dgm:spPr/>
      <dgm:t>
        <a:bodyPr/>
        <a:lstStyle/>
        <a:p>
          <a:endParaRPr lang="en-GB"/>
        </a:p>
      </dgm:t>
    </dgm:pt>
    <dgm:pt modelId="{9337356C-5255-42D3-9195-A9E9860EBAD8}">
      <dgm:prSet/>
      <dgm:spPr/>
      <dgm:t>
        <a:bodyPr/>
        <a:lstStyle/>
        <a:p>
          <a:r>
            <a:rPr lang="en-GB"/>
            <a:t>S106 Planning Contributions</a:t>
          </a:r>
        </a:p>
      </dgm:t>
    </dgm:pt>
    <dgm:pt modelId="{C3EDBB96-A1C1-4DF5-8F5F-7BA4E7B4A44B}" type="parTrans" cxnId="{1ECDEDA5-2CE6-4608-9A89-7D2E608A1E0B}">
      <dgm:prSet/>
      <dgm:spPr/>
      <dgm:t>
        <a:bodyPr/>
        <a:lstStyle/>
        <a:p>
          <a:endParaRPr lang="en-GB"/>
        </a:p>
      </dgm:t>
    </dgm:pt>
    <dgm:pt modelId="{3A37B53B-E870-47F1-8F67-6B75630DF47E}" type="sibTrans" cxnId="{1ECDEDA5-2CE6-4608-9A89-7D2E608A1E0B}">
      <dgm:prSet/>
      <dgm:spPr/>
      <dgm:t>
        <a:bodyPr/>
        <a:lstStyle/>
        <a:p>
          <a:endParaRPr lang="en-GB"/>
        </a:p>
      </dgm:t>
    </dgm:pt>
    <dgm:pt modelId="{4F909327-060B-4543-AAB0-5538207CF2D2}">
      <dgm:prSet/>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GB" b="1"/>
            <a:t>Torquay</a:t>
          </a:r>
        </a:p>
        <a:p>
          <a:r>
            <a:rPr lang="en-GB" b="1"/>
            <a:t>Town Centre -Adopted</a:t>
          </a:r>
        </a:p>
      </dgm:t>
    </dgm:pt>
    <dgm:pt modelId="{1228E4BD-DF4D-4306-A03D-66449A498029}" type="parTrans" cxnId="{F8D85D3F-07CC-4881-8D07-9CDA51B38A6B}">
      <dgm:prSet/>
      <dgm:spPr/>
      <dgm:t>
        <a:bodyPr/>
        <a:lstStyle/>
        <a:p>
          <a:endParaRPr lang="en-GB"/>
        </a:p>
      </dgm:t>
    </dgm:pt>
    <dgm:pt modelId="{5D110590-1218-4339-8959-9C0EA4663D02}" type="sibTrans" cxnId="{F8D85D3F-07CC-4881-8D07-9CDA51B38A6B}">
      <dgm:prSet/>
      <dgm:spPr/>
      <dgm:t>
        <a:bodyPr/>
        <a:lstStyle/>
        <a:p>
          <a:endParaRPr lang="en-GB"/>
        </a:p>
      </dgm:t>
    </dgm:pt>
    <dgm:pt modelId="{1D58B1A7-4074-4958-AE8D-9D1C8742F59A}">
      <dgm:prSet/>
      <dgm:spPr>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GB" b="1"/>
            <a:t>Paignton CSM - Adopted</a:t>
          </a:r>
        </a:p>
      </dgm:t>
    </dgm:pt>
    <dgm:pt modelId="{6580830A-4032-4516-A3D7-8A61938909DB}" type="parTrans" cxnId="{7521AAFB-39C1-40A4-98A1-3A1954B5BB75}">
      <dgm:prSet/>
      <dgm:spPr/>
      <dgm:t>
        <a:bodyPr/>
        <a:lstStyle/>
        <a:p>
          <a:endParaRPr lang="en-GB"/>
        </a:p>
      </dgm:t>
    </dgm:pt>
    <dgm:pt modelId="{2606C119-8802-4510-83BA-9283AC12C07D}" type="sibTrans" cxnId="{7521AAFB-39C1-40A4-98A1-3A1954B5BB75}">
      <dgm:prSet/>
      <dgm:spPr/>
      <dgm:t>
        <a:bodyPr/>
        <a:lstStyle/>
        <a:p>
          <a:endParaRPr lang="en-GB"/>
        </a:p>
      </dgm:t>
    </dgm:pt>
    <dgm:pt modelId="{AC9B9E9C-EB32-478B-9C0F-31EA5D761EF0}">
      <dgm:prSet/>
      <dgm:spPr/>
      <dgm:t>
        <a:bodyPr/>
        <a:lstStyle/>
        <a:p>
          <a:r>
            <a:rPr lang="en-GB"/>
            <a:t>Paignton Great Parks Guidance</a:t>
          </a:r>
        </a:p>
      </dgm:t>
    </dgm:pt>
    <dgm:pt modelId="{C8779489-3D75-43E2-8A07-4BCD469281FF}" type="parTrans" cxnId="{7C78AD61-451E-4289-A065-D94AA82E8131}">
      <dgm:prSet/>
      <dgm:spPr/>
      <dgm:t>
        <a:bodyPr/>
        <a:lstStyle/>
        <a:p>
          <a:endParaRPr lang="en-GB"/>
        </a:p>
      </dgm:t>
    </dgm:pt>
    <dgm:pt modelId="{EE4CE8F7-29BD-4E4F-9652-8A75AC1D65E4}" type="sibTrans" cxnId="{7C78AD61-451E-4289-A065-D94AA82E8131}">
      <dgm:prSet/>
      <dgm:spPr/>
      <dgm:t>
        <a:bodyPr/>
        <a:lstStyle/>
        <a:p>
          <a:endParaRPr lang="en-GB"/>
        </a:p>
      </dgm:t>
    </dgm:pt>
    <dgm:pt modelId="{8EBBD0AF-A2FC-4F1D-9DC5-D345AB1026E9}" type="pres">
      <dgm:prSet presAssocID="{216C57A4-7B11-4D8F-B0D5-29EA19EEC181}" presName="mainComposite" presStyleCnt="0">
        <dgm:presLayoutVars>
          <dgm:chPref val="1"/>
          <dgm:dir/>
          <dgm:animOne val="branch"/>
          <dgm:animLvl val="lvl"/>
          <dgm:resizeHandles val="exact"/>
        </dgm:presLayoutVars>
      </dgm:prSet>
      <dgm:spPr/>
      <dgm:t>
        <a:bodyPr/>
        <a:lstStyle/>
        <a:p>
          <a:endParaRPr lang="en-GB"/>
        </a:p>
      </dgm:t>
    </dgm:pt>
    <dgm:pt modelId="{FCD95A6E-7A05-475C-85F7-FF2691E7CAAA}" type="pres">
      <dgm:prSet presAssocID="{216C57A4-7B11-4D8F-B0D5-29EA19EEC181}" presName="hierFlow" presStyleCnt="0"/>
      <dgm:spPr/>
      <dgm:t>
        <a:bodyPr/>
        <a:lstStyle/>
        <a:p>
          <a:endParaRPr lang="en-GB"/>
        </a:p>
      </dgm:t>
    </dgm:pt>
    <dgm:pt modelId="{6D30CE75-22F4-41BD-BFFD-317D4062A70A}" type="pres">
      <dgm:prSet presAssocID="{216C57A4-7B11-4D8F-B0D5-29EA19EEC181}" presName="firstBuf" presStyleCnt="0"/>
      <dgm:spPr/>
      <dgm:t>
        <a:bodyPr/>
        <a:lstStyle/>
        <a:p>
          <a:endParaRPr lang="en-GB"/>
        </a:p>
      </dgm:t>
    </dgm:pt>
    <dgm:pt modelId="{201BD2D4-C3B9-4585-9F58-32A81C53F6CF}" type="pres">
      <dgm:prSet presAssocID="{216C57A4-7B11-4D8F-B0D5-29EA19EEC181}" presName="hierChild1" presStyleCnt="0">
        <dgm:presLayoutVars>
          <dgm:chPref val="1"/>
          <dgm:animOne val="branch"/>
          <dgm:animLvl val="lvl"/>
        </dgm:presLayoutVars>
      </dgm:prSet>
      <dgm:spPr/>
      <dgm:t>
        <a:bodyPr/>
        <a:lstStyle/>
        <a:p>
          <a:endParaRPr lang="en-GB"/>
        </a:p>
      </dgm:t>
    </dgm:pt>
    <dgm:pt modelId="{B8BFA5B7-54AE-455D-B466-9A89533789D4}" type="pres">
      <dgm:prSet presAssocID="{46CA5E53-D523-454E-9D70-87EF75160F8B}" presName="Name17" presStyleCnt="0"/>
      <dgm:spPr/>
      <dgm:t>
        <a:bodyPr/>
        <a:lstStyle/>
        <a:p>
          <a:endParaRPr lang="en-GB"/>
        </a:p>
      </dgm:t>
    </dgm:pt>
    <dgm:pt modelId="{F7CE96AA-8C8B-4EE9-96F8-7A8F73139D3B}" type="pres">
      <dgm:prSet presAssocID="{46CA5E53-D523-454E-9D70-87EF75160F8B}" presName="level1Shape" presStyleLbl="node0" presStyleIdx="0" presStyleCnt="1">
        <dgm:presLayoutVars>
          <dgm:chPref val="3"/>
        </dgm:presLayoutVars>
      </dgm:prSet>
      <dgm:spPr/>
      <dgm:t>
        <a:bodyPr/>
        <a:lstStyle/>
        <a:p>
          <a:endParaRPr lang="en-GB"/>
        </a:p>
      </dgm:t>
    </dgm:pt>
    <dgm:pt modelId="{C31C3FA3-DBAA-42F9-9489-54B0D4A014C5}" type="pres">
      <dgm:prSet presAssocID="{46CA5E53-D523-454E-9D70-87EF75160F8B}" presName="hierChild2" presStyleCnt="0"/>
      <dgm:spPr/>
      <dgm:t>
        <a:bodyPr/>
        <a:lstStyle/>
        <a:p>
          <a:endParaRPr lang="en-GB"/>
        </a:p>
      </dgm:t>
    </dgm:pt>
    <dgm:pt modelId="{782F41A0-146C-48C7-8DE2-838397EC4281}" type="pres">
      <dgm:prSet presAssocID="{E8430CEA-9CCE-4EA1-9D00-1CB269C4AE1B}" presName="Name25" presStyleLbl="parChTrans1D2" presStyleIdx="0" presStyleCnt="5"/>
      <dgm:spPr/>
      <dgm:t>
        <a:bodyPr/>
        <a:lstStyle/>
        <a:p>
          <a:endParaRPr lang="en-GB"/>
        </a:p>
      </dgm:t>
    </dgm:pt>
    <dgm:pt modelId="{A0CFEEBB-2800-470D-91C1-BC8EF1CB32E1}" type="pres">
      <dgm:prSet presAssocID="{E8430CEA-9CCE-4EA1-9D00-1CB269C4AE1B}" presName="connTx" presStyleLbl="parChTrans1D2" presStyleIdx="0" presStyleCnt="5"/>
      <dgm:spPr/>
      <dgm:t>
        <a:bodyPr/>
        <a:lstStyle/>
        <a:p>
          <a:endParaRPr lang="en-GB"/>
        </a:p>
      </dgm:t>
    </dgm:pt>
    <dgm:pt modelId="{13D1C198-E1DC-4EEA-B6CB-3E1721791D23}" type="pres">
      <dgm:prSet presAssocID="{5E17F719-EDE3-45D5-96EF-CC0555A0ED4F}" presName="Name30" presStyleCnt="0"/>
      <dgm:spPr/>
      <dgm:t>
        <a:bodyPr/>
        <a:lstStyle/>
        <a:p>
          <a:endParaRPr lang="en-GB"/>
        </a:p>
      </dgm:t>
    </dgm:pt>
    <dgm:pt modelId="{8256D4FA-2CA2-4427-8931-457824FC54F0}" type="pres">
      <dgm:prSet presAssocID="{5E17F719-EDE3-45D5-96EF-CC0555A0ED4F}" presName="level2Shape" presStyleLbl="node2" presStyleIdx="0" presStyleCnt="5" custLinFactNeighborX="7870" custLinFactNeighborY="24201"/>
      <dgm:spPr/>
      <dgm:t>
        <a:bodyPr/>
        <a:lstStyle/>
        <a:p>
          <a:endParaRPr lang="en-GB"/>
        </a:p>
      </dgm:t>
    </dgm:pt>
    <dgm:pt modelId="{DC36D38A-AAB4-4FDA-8483-AE34868A9F96}" type="pres">
      <dgm:prSet presAssocID="{5E17F719-EDE3-45D5-96EF-CC0555A0ED4F}" presName="hierChild3" presStyleCnt="0"/>
      <dgm:spPr/>
      <dgm:t>
        <a:bodyPr/>
        <a:lstStyle/>
        <a:p>
          <a:endParaRPr lang="en-GB"/>
        </a:p>
      </dgm:t>
    </dgm:pt>
    <dgm:pt modelId="{39FA178B-7DF8-4670-83D0-217FD5DB12E1}" type="pres">
      <dgm:prSet presAssocID="{C8779489-3D75-43E2-8A07-4BCD469281FF}" presName="Name25" presStyleLbl="parChTrans1D3" presStyleIdx="0" presStyleCnt="12"/>
      <dgm:spPr/>
      <dgm:t>
        <a:bodyPr/>
        <a:lstStyle/>
        <a:p>
          <a:endParaRPr lang="en-GB"/>
        </a:p>
      </dgm:t>
    </dgm:pt>
    <dgm:pt modelId="{2B9A35A6-0CF9-4E40-A18C-7194E26F55C5}" type="pres">
      <dgm:prSet presAssocID="{C8779489-3D75-43E2-8A07-4BCD469281FF}" presName="connTx" presStyleLbl="parChTrans1D3" presStyleIdx="0" presStyleCnt="12"/>
      <dgm:spPr/>
      <dgm:t>
        <a:bodyPr/>
        <a:lstStyle/>
        <a:p>
          <a:endParaRPr lang="en-GB"/>
        </a:p>
      </dgm:t>
    </dgm:pt>
    <dgm:pt modelId="{D7AC8A36-3379-43B7-8A55-296750E0D91F}" type="pres">
      <dgm:prSet presAssocID="{AC9B9E9C-EB32-478B-9C0F-31EA5D761EF0}" presName="Name30" presStyleCnt="0"/>
      <dgm:spPr/>
      <dgm:t>
        <a:bodyPr/>
        <a:lstStyle/>
        <a:p>
          <a:endParaRPr lang="en-GB"/>
        </a:p>
      </dgm:t>
    </dgm:pt>
    <dgm:pt modelId="{9B9713D0-AEE6-48A2-B07B-77379B208802}" type="pres">
      <dgm:prSet presAssocID="{AC9B9E9C-EB32-478B-9C0F-31EA5D761EF0}" presName="level2Shape" presStyleLbl="node3" presStyleIdx="0" presStyleCnt="12"/>
      <dgm:spPr/>
      <dgm:t>
        <a:bodyPr/>
        <a:lstStyle/>
        <a:p>
          <a:endParaRPr lang="en-GB"/>
        </a:p>
      </dgm:t>
    </dgm:pt>
    <dgm:pt modelId="{BB0E52CC-CCCC-4470-A29A-6F6CACB32E34}" type="pres">
      <dgm:prSet presAssocID="{AC9B9E9C-EB32-478B-9C0F-31EA5D761EF0}" presName="hierChild3" presStyleCnt="0"/>
      <dgm:spPr/>
      <dgm:t>
        <a:bodyPr/>
        <a:lstStyle/>
        <a:p>
          <a:endParaRPr lang="en-GB"/>
        </a:p>
      </dgm:t>
    </dgm:pt>
    <dgm:pt modelId="{646A9CCA-469E-45FB-869F-3C29C4E4B56A}" type="pres">
      <dgm:prSet presAssocID="{1228E4BD-DF4D-4306-A03D-66449A498029}" presName="Name25" presStyleLbl="parChTrans1D3" presStyleIdx="1" presStyleCnt="12"/>
      <dgm:spPr/>
      <dgm:t>
        <a:bodyPr/>
        <a:lstStyle/>
        <a:p>
          <a:endParaRPr lang="en-GB"/>
        </a:p>
      </dgm:t>
    </dgm:pt>
    <dgm:pt modelId="{75453860-ED22-4426-823E-430756E14968}" type="pres">
      <dgm:prSet presAssocID="{1228E4BD-DF4D-4306-A03D-66449A498029}" presName="connTx" presStyleLbl="parChTrans1D3" presStyleIdx="1" presStyleCnt="12"/>
      <dgm:spPr/>
      <dgm:t>
        <a:bodyPr/>
        <a:lstStyle/>
        <a:p>
          <a:endParaRPr lang="en-GB"/>
        </a:p>
      </dgm:t>
    </dgm:pt>
    <dgm:pt modelId="{776565D0-7807-4020-B499-0F31A6447392}" type="pres">
      <dgm:prSet presAssocID="{4F909327-060B-4543-AAB0-5538207CF2D2}" presName="Name30" presStyleCnt="0"/>
      <dgm:spPr/>
      <dgm:t>
        <a:bodyPr/>
        <a:lstStyle/>
        <a:p>
          <a:endParaRPr lang="en-GB"/>
        </a:p>
      </dgm:t>
    </dgm:pt>
    <dgm:pt modelId="{D0FB3787-E71C-4CD2-9832-6E49378E8A8F}" type="pres">
      <dgm:prSet presAssocID="{4F909327-060B-4543-AAB0-5538207CF2D2}" presName="level2Shape" presStyleLbl="node3" presStyleIdx="1" presStyleCnt="12"/>
      <dgm:spPr/>
      <dgm:t>
        <a:bodyPr/>
        <a:lstStyle/>
        <a:p>
          <a:endParaRPr lang="en-GB"/>
        </a:p>
      </dgm:t>
    </dgm:pt>
    <dgm:pt modelId="{418B0442-D245-4E1A-A2CE-B6B5230EA88C}" type="pres">
      <dgm:prSet presAssocID="{4F909327-060B-4543-AAB0-5538207CF2D2}" presName="hierChild3" presStyleCnt="0"/>
      <dgm:spPr/>
      <dgm:t>
        <a:bodyPr/>
        <a:lstStyle/>
        <a:p>
          <a:endParaRPr lang="en-GB"/>
        </a:p>
      </dgm:t>
    </dgm:pt>
    <dgm:pt modelId="{697A2C9D-ACAF-483D-9840-6E44059E1C60}" type="pres">
      <dgm:prSet presAssocID="{36B1FC55-2956-4063-999D-34DC48AA3026}" presName="Name25" presStyleLbl="parChTrans1D3" presStyleIdx="2" presStyleCnt="12"/>
      <dgm:spPr/>
      <dgm:t>
        <a:bodyPr/>
        <a:lstStyle/>
        <a:p>
          <a:endParaRPr lang="en-GB"/>
        </a:p>
      </dgm:t>
    </dgm:pt>
    <dgm:pt modelId="{B7475B98-81B8-4539-A1CF-4FED08C96904}" type="pres">
      <dgm:prSet presAssocID="{36B1FC55-2956-4063-999D-34DC48AA3026}" presName="connTx" presStyleLbl="parChTrans1D3" presStyleIdx="2" presStyleCnt="12"/>
      <dgm:spPr/>
      <dgm:t>
        <a:bodyPr/>
        <a:lstStyle/>
        <a:p>
          <a:endParaRPr lang="en-GB"/>
        </a:p>
      </dgm:t>
    </dgm:pt>
    <dgm:pt modelId="{00102D87-1DEB-49D4-BCD4-DFD2172EE342}" type="pres">
      <dgm:prSet presAssocID="{E9975CB9-8D28-4DA4-8F42-D5F260ABDE57}" presName="Name30" presStyleCnt="0"/>
      <dgm:spPr/>
      <dgm:t>
        <a:bodyPr/>
        <a:lstStyle/>
        <a:p>
          <a:endParaRPr lang="en-GB"/>
        </a:p>
      </dgm:t>
    </dgm:pt>
    <dgm:pt modelId="{ABB0A3D2-75DE-4616-92A3-E634A2944E71}" type="pres">
      <dgm:prSet presAssocID="{E9975CB9-8D28-4DA4-8F42-D5F260ABDE57}" presName="level2Shape" presStyleLbl="node3" presStyleIdx="2" presStyleCnt="12"/>
      <dgm:spPr/>
      <dgm:t>
        <a:bodyPr/>
        <a:lstStyle/>
        <a:p>
          <a:endParaRPr lang="en-GB"/>
        </a:p>
      </dgm:t>
    </dgm:pt>
    <dgm:pt modelId="{51D4DB67-138E-44F2-B505-868FF32CBF65}" type="pres">
      <dgm:prSet presAssocID="{E9975CB9-8D28-4DA4-8F42-D5F260ABDE57}" presName="hierChild3" presStyleCnt="0"/>
      <dgm:spPr/>
      <dgm:t>
        <a:bodyPr/>
        <a:lstStyle/>
        <a:p>
          <a:endParaRPr lang="en-GB"/>
        </a:p>
      </dgm:t>
    </dgm:pt>
    <dgm:pt modelId="{9E7D3845-8D2E-4DA4-B299-651CEFEA0B68}" type="pres">
      <dgm:prSet presAssocID="{5609418A-A99A-4130-9443-5964B7254344}" presName="Name25" presStyleLbl="parChTrans1D3" presStyleIdx="3" presStyleCnt="12"/>
      <dgm:spPr/>
      <dgm:t>
        <a:bodyPr/>
        <a:lstStyle/>
        <a:p>
          <a:endParaRPr lang="en-GB"/>
        </a:p>
      </dgm:t>
    </dgm:pt>
    <dgm:pt modelId="{05B6C376-17C8-4F40-9BA2-2B4755091613}" type="pres">
      <dgm:prSet presAssocID="{5609418A-A99A-4130-9443-5964B7254344}" presName="connTx" presStyleLbl="parChTrans1D3" presStyleIdx="3" presStyleCnt="12"/>
      <dgm:spPr/>
      <dgm:t>
        <a:bodyPr/>
        <a:lstStyle/>
        <a:p>
          <a:endParaRPr lang="en-GB"/>
        </a:p>
      </dgm:t>
    </dgm:pt>
    <dgm:pt modelId="{67FEC396-0B58-4ED4-B4CC-7CC749621DCF}" type="pres">
      <dgm:prSet presAssocID="{0241EE58-20D8-4388-B5D2-6A425764F5DA}" presName="Name30" presStyleCnt="0"/>
      <dgm:spPr/>
      <dgm:t>
        <a:bodyPr/>
        <a:lstStyle/>
        <a:p>
          <a:endParaRPr lang="en-GB"/>
        </a:p>
      </dgm:t>
    </dgm:pt>
    <dgm:pt modelId="{A7565CA5-8C8B-48DD-9477-A26DD7A74EA2}" type="pres">
      <dgm:prSet presAssocID="{0241EE58-20D8-4388-B5D2-6A425764F5DA}" presName="level2Shape" presStyleLbl="node3" presStyleIdx="3" presStyleCnt="12"/>
      <dgm:spPr/>
      <dgm:t>
        <a:bodyPr/>
        <a:lstStyle/>
        <a:p>
          <a:endParaRPr lang="en-GB"/>
        </a:p>
      </dgm:t>
    </dgm:pt>
    <dgm:pt modelId="{853B9906-73D0-4E97-A316-DC4414457D71}" type="pres">
      <dgm:prSet presAssocID="{0241EE58-20D8-4388-B5D2-6A425764F5DA}" presName="hierChild3" presStyleCnt="0"/>
      <dgm:spPr/>
      <dgm:t>
        <a:bodyPr/>
        <a:lstStyle/>
        <a:p>
          <a:endParaRPr lang="en-GB"/>
        </a:p>
      </dgm:t>
    </dgm:pt>
    <dgm:pt modelId="{2BBED418-9047-4013-8619-4EDC30F95932}" type="pres">
      <dgm:prSet presAssocID="{6580830A-4032-4516-A3D7-8A61938909DB}" presName="Name25" presStyleLbl="parChTrans1D3" presStyleIdx="4" presStyleCnt="12"/>
      <dgm:spPr/>
      <dgm:t>
        <a:bodyPr/>
        <a:lstStyle/>
        <a:p>
          <a:endParaRPr lang="en-GB"/>
        </a:p>
      </dgm:t>
    </dgm:pt>
    <dgm:pt modelId="{E77234B5-9763-4589-B8CA-B3568F69866A}" type="pres">
      <dgm:prSet presAssocID="{6580830A-4032-4516-A3D7-8A61938909DB}" presName="connTx" presStyleLbl="parChTrans1D3" presStyleIdx="4" presStyleCnt="12"/>
      <dgm:spPr/>
      <dgm:t>
        <a:bodyPr/>
        <a:lstStyle/>
        <a:p>
          <a:endParaRPr lang="en-GB"/>
        </a:p>
      </dgm:t>
    </dgm:pt>
    <dgm:pt modelId="{65923042-D986-437D-88A6-8B7AF47C8E15}" type="pres">
      <dgm:prSet presAssocID="{1D58B1A7-4074-4958-AE8D-9D1C8742F59A}" presName="Name30" presStyleCnt="0"/>
      <dgm:spPr/>
      <dgm:t>
        <a:bodyPr/>
        <a:lstStyle/>
        <a:p>
          <a:endParaRPr lang="en-GB"/>
        </a:p>
      </dgm:t>
    </dgm:pt>
    <dgm:pt modelId="{BBBE79C7-0A85-43FD-ADCF-16AD817EBFDA}" type="pres">
      <dgm:prSet presAssocID="{1D58B1A7-4074-4958-AE8D-9D1C8742F59A}" presName="level2Shape" presStyleLbl="node3" presStyleIdx="4" presStyleCnt="12"/>
      <dgm:spPr/>
      <dgm:t>
        <a:bodyPr/>
        <a:lstStyle/>
        <a:p>
          <a:endParaRPr lang="en-GB"/>
        </a:p>
      </dgm:t>
    </dgm:pt>
    <dgm:pt modelId="{3478A25C-0E51-4587-8330-83E87BFE80D7}" type="pres">
      <dgm:prSet presAssocID="{1D58B1A7-4074-4958-AE8D-9D1C8742F59A}" presName="hierChild3" presStyleCnt="0"/>
      <dgm:spPr/>
      <dgm:t>
        <a:bodyPr/>
        <a:lstStyle/>
        <a:p>
          <a:endParaRPr lang="en-GB"/>
        </a:p>
      </dgm:t>
    </dgm:pt>
    <dgm:pt modelId="{9DDDE59E-BA9C-4796-B813-C1F9F087744F}" type="pres">
      <dgm:prSet presAssocID="{602D9105-EA2D-41CB-9B14-F926DB0560B4}" presName="Name25" presStyleLbl="parChTrans1D2" presStyleIdx="1" presStyleCnt="5"/>
      <dgm:spPr/>
      <dgm:t>
        <a:bodyPr/>
        <a:lstStyle/>
        <a:p>
          <a:endParaRPr lang="en-GB"/>
        </a:p>
      </dgm:t>
    </dgm:pt>
    <dgm:pt modelId="{A495737A-4BD6-4938-9B7C-48FE4D94281A}" type="pres">
      <dgm:prSet presAssocID="{602D9105-EA2D-41CB-9B14-F926DB0560B4}" presName="connTx" presStyleLbl="parChTrans1D2" presStyleIdx="1" presStyleCnt="5"/>
      <dgm:spPr/>
      <dgm:t>
        <a:bodyPr/>
        <a:lstStyle/>
        <a:p>
          <a:endParaRPr lang="en-GB"/>
        </a:p>
      </dgm:t>
    </dgm:pt>
    <dgm:pt modelId="{53641CF3-80B2-4E21-8E1F-ADD890BBE05F}" type="pres">
      <dgm:prSet presAssocID="{A83415E4-6C04-4A21-9D20-9985618FDF85}" presName="Name30" presStyleCnt="0"/>
      <dgm:spPr/>
      <dgm:t>
        <a:bodyPr/>
        <a:lstStyle/>
        <a:p>
          <a:endParaRPr lang="en-GB"/>
        </a:p>
      </dgm:t>
    </dgm:pt>
    <dgm:pt modelId="{00AED848-D02E-47BE-BD86-D4608F5288AA}" type="pres">
      <dgm:prSet presAssocID="{A83415E4-6C04-4A21-9D20-9985618FDF85}" presName="level2Shape" presStyleLbl="node2" presStyleIdx="1" presStyleCnt="5" custLinFactNeighborX="10785" custLinFactNeighborY="9910"/>
      <dgm:spPr/>
      <dgm:t>
        <a:bodyPr/>
        <a:lstStyle/>
        <a:p>
          <a:endParaRPr lang="en-GB"/>
        </a:p>
      </dgm:t>
    </dgm:pt>
    <dgm:pt modelId="{2AFBA594-B227-4CD9-ACEC-DBFE95EDC7A3}" type="pres">
      <dgm:prSet presAssocID="{A83415E4-6C04-4A21-9D20-9985618FDF85}" presName="hierChild3" presStyleCnt="0"/>
      <dgm:spPr/>
      <dgm:t>
        <a:bodyPr/>
        <a:lstStyle/>
        <a:p>
          <a:endParaRPr lang="en-GB"/>
        </a:p>
      </dgm:t>
    </dgm:pt>
    <dgm:pt modelId="{7EC2A983-86E4-49CA-8C51-B70FA434741F}" type="pres">
      <dgm:prSet presAssocID="{604A81FD-A652-4358-BB62-AAD27059EAF5}" presName="Name25" presStyleLbl="parChTrans1D3" presStyleIdx="5" presStyleCnt="12"/>
      <dgm:spPr/>
      <dgm:t>
        <a:bodyPr/>
        <a:lstStyle/>
        <a:p>
          <a:endParaRPr lang="en-GB"/>
        </a:p>
      </dgm:t>
    </dgm:pt>
    <dgm:pt modelId="{6ED0C570-281D-43FC-BD44-B6EEC437389E}" type="pres">
      <dgm:prSet presAssocID="{604A81FD-A652-4358-BB62-AAD27059EAF5}" presName="connTx" presStyleLbl="parChTrans1D3" presStyleIdx="5" presStyleCnt="12"/>
      <dgm:spPr/>
      <dgm:t>
        <a:bodyPr/>
        <a:lstStyle/>
        <a:p>
          <a:endParaRPr lang="en-GB"/>
        </a:p>
      </dgm:t>
    </dgm:pt>
    <dgm:pt modelId="{4D9CE2F2-79DA-4800-B1CD-E37FFCCFE45A}" type="pres">
      <dgm:prSet presAssocID="{9C7E5A48-4188-4BA7-A255-02C0FF5764BD}" presName="Name30" presStyleCnt="0"/>
      <dgm:spPr/>
      <dgm:t>
        <a:bodyPr/>
        <a:lstStyle/>
        <a:p>
          <a:endParaRPr lang="en-GB"/>
        </a:p>
      </dgm:t>
    </dgm:pt>
    <dgm:pt modelId="{53071431-6A65-4789-A93B-3D3AEB121517}" type="pres">
      <dgm:prSet presAssocID="{9C7E5A48-4188-4BA7-A255-02C0FF5764BD}" presName="level2Shape" presStyleLbl="node3" presStyleIdx="5" presStyleCnt="12"/>
      <dgm:spPr/>
      <dgm:t>
        <a:bodyPr/>
        <a:lstStyle/>
        <a:p>
          <a:endParaRPr lang="en-GB"/>
        </a:p>
      </dgm:t>
    </dgm:pt>
    <dgm:pt modelId="{6691CB12-D2C2-4AA0-BF60-BB084948F64D}" type="pres">
      <dgm:prSet presAssocID="{9C7E5A48-4188-4BA7-A255-02C0FF5764BD}" presName="hierChild3" presStyleCnt="0"/>
      <dgm:spPr/>
      <dgm:t>
        <a:bodyPr/>
        <a:lstStyle/>
        <a:p>
          <a:endParaRPr lang="en-GB"/>
        </a:p>
      </dgm:t>
    </dgm:pt>
    <dgm:pt modelId="{D37AD6B2-AEE6-43C2-8633-13B2B747984E}" type="pres">
      <dgm:prSet presAssocID="{6D883AC0-5C13-41F0-9910-A2C4E9F1BAE7}" presName="Name25" presStyleLbl="parChTrans1D3" presStyleIdx="6" presStyleCnt="12"/>
      <dgm:spPr/>
      <dgm:t>
        <a:bodyPr/>
        <a:lstStyle/>
        <a:p>
          <a:endParaRPr lang="en-GB"/>
        </a:p>
      </dgm:t>
    </dgm:pt>
    <dgm:pt modelId="{052D2C4C-D60E-45EE-A8B3-3943598C9A94}" type="pres">
      <dgm:prSet presAssocID="{6D883AC0-5C13-41F0-9910-A2C4E9F1BAE7}" presName="connTx" presStyleLbl="parChTrans1D3" presStyleIdx="6" presStyleCnt="12"/>
      <dgm:spPr/>
      <dgm:t>
        <a:bodyPr/>
        <a:lstStyle/>
        <a:p>
          <a:endParaRPr lang="en-GB"/>
        </a:p>
      </dgm:t>
    </dgm:pt>
    <dgm:pt modelId="{B43A4251-EBED-4E00-8DA6-23C7D8AB81A6}" type="pres">
      <dgm:prSet presAssocID="{41A3788A-F306-4768-BA11-AC054AB3F1D8}" presName="Name30" presStyleCnt="0"/>
      <dgm:spPr/>
      <dgm:t>
        <a:bodyPr/>
        <a:lstStyle/>
        <a:p>
          <a:endParaRPr lang="en-GB"/>
        </a:p>
      </dgm:t>
    </dgm:pt>
    <dgm:pt modelId="{E865D188-2B04-4910-9E5A-EAABE71BBAFF}" type="pres">
      <dgm:prSet presAssocID="{41A3788A-F306-4768-BA11-AC054AB3F1D8}" presName="level2Shape" presStyleLbl="node3" presStyleIdx="6" presStyleCnt="12"/>
      <dgm:spPr/>
      <dgm:t>
        <a:bodyPr/>
        <a:lstStyle/>
        <a:p>
          <a:endParaRPr lang="en-GB"/>
        </a:p>
      </dgm:t>
    </dgm:pt>
    <dgm:pt modelId="{F875DF8F-FC13-45E8-99F5-8696C33D556D}" type="pres">
      <dgm:prSet presAssocID="{41A3788A-F306-4768-BA11-AC054AB3F1D8}" presName="hierChild3" presStyleCnt="0"/>
      <dgm:spPr/>
      <dgm:t>
        <a:bodyPr/>
        <a:lstStyle/>
        <a:p>
          <a:endParaRPr lang="en-GB"/>
        </a:p>
      </dgm:t>
    </dgm:pt>
    <dgm:pt modelId="{8371BA1D-E198-480E-B1A4-9D24FAA72036}" type="pres">
      <dgm:prSet presAssocID="{B43011DA-1A63-434B-9096-93626AE62831}" presName="Name25" presStyleLbl="parChTrans1D3" presStyleIdx="7" presStyleCnt="12"/>
      <dgm:spPr/>
      <dgm:t>
        <a:bodyPr/>
        <a:lstStyle/>
        <a:p>
          <a:endParaRPr lang="en-GB"/>
        </a:p>
      </dgm:t>
    </dgm:pt>
    <dgm:pt modelId="{24398905-4566-4298-8623-087C1F3A0E4F}" type="pres">
      <dgm:prSet presAssocID="{B43011DA-1A63-434B-9096-93626AE62831}" presName="connTx" presStyleLbl="parChTrans1D3" presStyleIdx="7" presStyleCnt="12"/>
      <dgm:spPr/>
      <dgm:t>
        <a:bodyPr/>
        <a:lstStyle/>
        <a:p>
          <a:endParaRPr lang="en-GB"/>
        </a:p>
      </dgm:t>
    </dgm:pt>
    <dgm:pt modelId="{209F33B9-EDD8-48DD-804D-76563FCC5A66}" type="pres">
      <dgm:prSet presAssocID="{9F8679E6-B9BB-4E41-BC6F-C931A21B0322}" presName="Name30" presStyleCnt="0"/>
      <dgm:spPr/>
      <dgm:t>
        <a:bodyPr/>
        <a:lstStyle/>
        <a:p>
          <a:endParaRPr lang="en-GB"/>
        </a:p>
      </dgm:t>
    </dgm:pt>
    <dgm:pt modelId="{235DBBCB-23EE-46BD-9840-25CF3B637FBE}" type="pres">
      <dgm:prSet presAssocID="{9F8679E6-B9BB-4E41-BC6F-C931A21B0322}" presName="level2Shape" presStyleLbl="node3" presStyleIdx="7" presStyleCnt="12"/>
      <dgm:spPr/>
      <dgm:t>
        <a:bodyPr/>
        <a:lstStyle/>
        <a:p>
          <a:endParaRPr lang="en-GB"/>
        </a:p>
      </dgm:t>
    </dgm:pt>
    <dgm:pt modelId="{3E18DCF9-AB12-4CD2-A82E-CD6B9CCE1560}" type="pres">
      <dgm:prSet presAssocID="{9F8679E6-B9BB-4E41-BC6F-C931A21B0322}" presName="hierChild3" presStyleCnt="0"/>
      <dgm:spPr/>
      <dgm:t>
        <a:bodyPr/>
        <a:lstStyle/>
        <a:p>
          <a:endParaRPr lang="en-GB"/>
        </a:p>
      </dgm:t>
    </dgm:pt>
    <dgm:pt modelId="{E6C5D122-5369-4025-B64D-BE80CBE189EA}" type="pres">
      <dgm:prSet presAssocID="{705ACB8B-DF64-44E1-AB07-85C4F07ED193}" presName="Name25" presStyleLbl="parChTrans1D2" presStyleIdx="2" presStyleCnt="5"/>
      <dgm:spPr/>
      <dgm:t>
        <a:bodyPr/>
        <a:lstStyle/>
        <a:p>
          <a:endParaRPr lang="en-GB"/>
        </a:p>
      </dgm:t>
    </dgm:pt>
    <dgm:pt modelId="{426380E5-57A0-4C3C-AEB7-2B8E9FC77948}" type="pres">
      <dgm:prSet presAssocID="{705ACB8B-DF64-44E1-AB07-85C4F07ED193}" presName="connTx" presStyleLbl="parChTrans1D2" presStyleIdx="2" presStyleCnt="5"/>
      <dgm:spPr/>
      <dgm:t>
        <a:bodyPr/>
        <a:lstStyle/>
        <a:p>
          <a:endParaRPr lang="en-GB"/>
        </a:p>
      </dgm:t>
    </dgm:pt>
    <dgm:pt modelId="{441C61B2-DF92-4316-9E5D-5A8520FBC147}" type="pres">
      <dgm:prSet presAssocID="{D5B032D1-AC3E-4C44-9C96-3B6C0018F443}" presName="Name30" presStyleCnt="0"/>
      <dgm:spPr/>
      <dgm:t>
        <a:bodyPr/>
        <a:lstStyle/>
        <a:p>
          <a:endParaRPr lang="en-GB"/>
        </a:p>
      </dgm:t>
    </dgm:pt>
    <dgm:pt modelId="{E1FE80A3-9260-4AB4-B11A-7492E1942AE6}" type="pres">
      <dgm:prSet presAssocID="{D5B032D1-AC3E-4C44-9C96-3B6C0018F443}" presName="level2Shape" presStyleLbl="node2" presStyleIdx="2" presStyleCnt="5" custLinFactNeighborX="13056" custLinFactNeighborY="6080"/>
      <dgm:spPr/>
      <dgm:t>
        <a:bodyPr/>
        <a:lstStyle/>
        <a:p>
          <a:endParaRPr lang="en-GB"/>
        </a:p>
      </dgm:t>
    </dgm:pt>
    <dgm:pt modelId="{27141FDD-70E2-40A6-BD1D-6DF328068E0B}" type="pres">
      <dgm:prSet presAssocID="{D5B032D1-AC3E-4C44-9C96-3B6C0018F443}" presName="hierChild3" presStyleCnt="0"/>
      <dgm:spPr/>
      <dgm:t>
        <a:bodyPr/>
        <a:lstStyle/>
        <a:p>
          <a:endParaRPr lang="en-GB"/>
        </a:p>
      </dgm:t>
    </dgm:pt>
    <dgm:pt modelId="{D2F0EE13-B5DF-4B3D-85CF-7896FF4B5E81}" type="pres">
      <dgm:prSet presAssocID="{DEA9DE17-8241-4EDD-B357-0E3240E7F92F}" presName="Name25" presStyleLbl="parChTrans1D3" presStyleIdx="8" presStyleCnt="12"/>
      <dgm:spPr/>
      <dgm:t>
        <a:bodyPr/>
        <a:lstStyle/>
        <a:p>
          <a:endParaRPr lang="en-GB"/>
        </a:p>
      </dgm:t>
    </dgm:pt>
    <dgm:pt modelId="{134C76D8-5557-4100-999A-EA41E3271DC5}" type="pres">
      <dgm:prSet presAssocID="{DEA9DE17-8241-4EDD-B357-0E3240E7F92F}" presName="connTx" presStyleLbl="parChTrans1D3" presStyleIdx="8" presStyleCnt="12"/>
      <dgm:spPr/>
      <dgm:t>
        <a:bodyPr/>
        <a:lstStyle/>
        <a:p>
          <a:endParaRPr lang="en-GB"/>
        </a:p>
      </dgm:t>
    </dgm:pt>
    <dgm:pt modelId="{FDF5C094-85B3-42A0-B9DE-E0F9F32B82C5}" type="pres">
      <dgm:prSet presAssocID="{4B167A4E-ADA9-4F27-A1B0-9BD936466D95}" presName="Name30" presStyleCnt="0"/>
      <dgm:spPr/>
      <dgm:t>
        <a:bodyPr/>
        <a:lstStyle/>
        <a:p>
          <a:endParaRPr lang="en-GB"/>
        </a:p>
      </dgm:t>
    </dgm:pt>
    <dgm:pt modelId="{FFB81A09-3714-4077-BA7D-36FCDA244619}" type="pres">
      <dgm:prSet presAssocID="{4B167A4E-ADA9-4F27-A1B0-9BD936466D95}" presName="level2Shape" presStyleLbl="node3" presStyleIdx="8" presStyleCnt="12"/>
      <dgm:spPr/>
      <dgm:t>
        <a:bodyPr/>
        <a:lstStyle/>
        <a:p>
          <a:endParaRPr lang="en-GB"/>
        </a:p>
      </dgm:t>
    </dgm:pt>
    <dgm:pt modelId="{DDB3A575-F5CF-42BB-A11D-2F63725106AF}" type="pres">
      <dgm:prSet presAssocID="{4B167A4E-ADA9-4F27-A1B0-9BD936466D95}" presName="hierChild3" presStyleCnt="0"/>
      <dgm:spPr/>
      <dgm:t>
        <a:bodyPr/>
        <a:lstStyle/>
        <a:p>
          <a:endParaRPr lang="en-GB"/>
        </a:p>
      </dgm:t>
    </dgm:pt>
    <dgm:pt modelId="{F8F0EF4B-C183-4A6E-8D4B-D55A4B9EBD47}" type="pres">
      <dgm:prSet presAssocID="{7FBCC244-1E2B-4C30-84A2-6345CBC8AF16}" presName="Name25" presStyleLbl="parChTrans1D2" presStyleIdx="3" presStyleCnt="5"/>
      <dgm:spPr/>
      <dgm:t>
        <a:bodyPr/>
        <a:lstStyle/>
        <a:p>
          <a:endParaRPr lang="en-GB"/>
        </a:p>
      </dgm:t>
    </dgm:pt>
    <dgm:pt modelId="{7A2ED772-CF14-4492-8E27-6EE5A2BE4DE1}" type="pres">
      <dgm:prSet presAssocID="{7FBCC244-1E2B-4C30-84A2-6345CBC8AF16}" presName="connTx" presStyleLbl="parChTrans1D2" presStyleIdx="3" presStyleCnt="5"/>
      <dgm:spPr/>
      <dgm:t>
        <a:bodyPr/>
        <a:lstStyle/>
        <a:p>
          <a:endParaRPr lang="en-GB"/>
        </a:p>
      </dgm:t>
    </dgm:pt>
    <dgm:pt modelId="{1F607016-3771-451D-8E26-902A6CAB92AD}" type="pres">
      <dgm:prSet presAssocID="{19A545F5-DD0F-492F-96E2-323F2484DC1E}" presName="Name30" presStyleCnt="0"/>
      <dgm:spPr/>
      <dgm:t>
        <a:bodyPr/>
        <a:lstStyle/>
        <a:p>
          <a:endParaRPr lang="en-GB"/>
        </a:p>
      </dgm:t>
    </dgm:pt>
    <dgm:pt modelId="{D5E391EC-270B-4BAC-8137-7737575AF51A}" type="pres">
      <dgm:prSet presAssocID="{19A545F5-DD0F-492F-96E2-323F2484DC1E}" presName="level2Shape" presStyleLbl="node2" presStyleIdx="3" presStyleCnt="5" custLinFactNeighborX="9182" custLinFactNeighborY="0"/>
      <dgm:spPr/>
      <dgm:t>
        <a:bodyPr/>
        <a:lstStyle/>
        <a:p>
          <a:endParaRPr lang="en-GB"/>
        </a:p>
      </dgm:t>
    </dgm:pt>
    <dgm:pt modelId="{036A10C5-5BBF-41E2-8ECF-5754C8F69515}" type="pres">
      <dgm:prSet presAssocID="{19A545F5-DD0F-492F-96E2-323F2484DC1E}" presName="hierChild3" presStyleCnt="0"/>
      <dgm:spPr/>
      <dgm:t>
        <a:bodyPr/>
        <a:lstStyle/>
        <a:p>
          <a:endParaRPr lang="en-GB"/>
        </a:p>
      </dgm:t>
    </dgm:pt>
    <dgm:pt modelId="{65105C19-A979-4587-971D-1A500D8C0C42}" type="pres">
      <dgm:prSet presAssocID="{A1EE9191-6E27-4C19-B687-AE4D3A20258D}" presName="Name25" presStyleLbl="parChTrans1D3" presStyleIdx="9" presStyleCnt="12"/>
      <dgm:spPr/>
      <dgm:t>
        <a:bodyPr/>
        <a:lstStyle/>
        <a:p>
          <a:endParaRPr lang="en-GB"/>
        </a:p>
      </dgm:t>
    </dgm:pt>
    <dgm:pt modelId="{468B746F-B3EC-42EF-9F61-33B755E74532}" type="pres">
      <dgm:prSet presAssocID="{A1EE9191-6E27-4C19-B687-AE4D3A20258D}" presName="connTx" presStyleLbl="parChTrans1D3" presStyleIdx="9" presStyleCnt="12"/>
      <dgm:spPr/>
      <dgm:t>
        <a:bodyPr/>
        <a:lstStyle/>
        <a:p>
          <a:endParaRPr lang="en-GB"/>
        </a:p>
      </dgm:t>
    </dgm:pt>
    <dgm:pt modelId="{13627DEC-BACD-4148-B147-8A3B99A9EF40}" type="pres">
      <dgm:prSet presAssocID="{E7DD0C75-A44A-42CE-ABE8-AF32AA5877C0}" presName="Name30" presStyleCnt="0"/>
      <dgm:spPr/>
      <dgm:t>
        <a:bodyPr/>
        <a:lstStyle/>
        <a:p>
          <a:endParaRPr lang="en-GB"/>
        </a:p>
      </dgm:t>
    </dgm:pt>
    <dgm:pt modelId="{DB071D1D-5B1E-4EA9-A423-53712C445E93}" type="pres">
      <dgm:prSet presAssocID="{E7DD0C75-A44A-42CE-ABE8-AF32AA5877C0}" presName="level2Shape" presStyleLbl="node3" presStyleIdx="9" presStyleCnt="12"/>
      <dgm:spPr/>
      <dgm:t>
        <a:bodyPr/>
        <a:lstStyle/>
        <a:p>
          <a:endParaRPr lang="en-GB"/>
        </a:p>
      </dgm:t>
    </dgm:pt>
    <dgm:pt modelId="{F431C076-4C46-49B6-A664-91EEBC47A115}" type="pres">
      <dgm:prSet presAssocID="{E7DD0C75-A44A-42CE-ABE8-AF32AA5877C0}" presName="hierChild3" presStyleCnt="0"/>
      <dgm:spPr/>
      <dgm:t>
        <a:bodyPr/>
        <a:lstStyle/>
        <a:p>
          <a:endParaRPr lang="en-GB"/>
        </a:p>
      </dgm:t>
    </dgm:pt>
    <dgm:pt modelId="{0A797EB2-35BA-46F7-9BE4-F2E4EEB2E24C}" type="pres">
      <dgm:prSet presAssocID="{05612D6D-81CA-4C5C-AE28-8A39592151B6}" presName="Name25" presStyleLbl="parChTrans1D3" presStyleIdx="10" presStyleCnt="12"/>
      <dgm:spPr/>
      <dgm:t>
        <a:bodyPr/>
        <a:lstStyle/>
        <a:p>
          <a:endParaRPr lang="en-GB"/>
        </a:p>
      </dgm:t>
    </dgm:pt>
    <dgm:pt modelId="{3F69AF57-8084-4245-A3B3-AC981AAC5C50}" type="pres">
      <dgm:prSet presAssocID="{05612D6D-81CA-4C5C-AE28-8A39592151B6}" presName="connTx" presStyleLbl="parChTrans1D3" presStyleIdx="10" presStyleCnt="12"/>
      <dgm:spPr/>
      <dgm:t>
        <a:bodyPr/>
        <a:lstStyle/>
        <a:p>
          <a:endParaRPr lang="en-GB"/>
        </a:p>
      </dgm:t>
    </dgm:pt>
    <dgm:pt modelId="{E89BE8AB-ACDE-4F7B-9050-3DBD5640D456}" type="pres">
      <dgm:prSet presAssocID="{E9F292C4-270C-44D4-A34B-F49DDB2A9C3A}" presName="Name30" presStyleCnt="0"/>
      <dgm:spPr/>
      <dgm:t>
        <a:bodyPr/>
        <a:lstStyle/>
        <a:p>
          <a:endParaRPr lang="en-GB"/>
        </a:p>
      </dgm:t>
    </dgm:pt>
    <dgm:pt modelId="{D17875FB-66DB-412D-ACB4-DBA0601CFC9A}" type="pres">
      <dgm:prSet presAssocID="{E9F292C4-270C-44D4-A34B-F49DDB2A9C3A}" presName="level2Shape" presStyleLbl="node3" presStyleIdx="10" presStyleCnt="12"/>
      <dgm:spPr/>
      <dgm:t>
        <a:bodyPr/>
        <a:lstStyle/>
        <a:p>
          <a:endParaRPr lang="en-GB"/>
        </a:p>
      </dgm:t>
    </dgm:pt>
    <dgm:pt modelId="{A3260E4A-4890-44BD-B9F5-39082867AEE5}" type="pres">
      <dgm:prSet presAssocID="{E9F292C4-270C-44D4-A34B-F49DDB2A9C3A}" presName="hierChild3" presStyleCnt="0"/>
      <dgm:spPr/>
      <dgm:t>
        <a:bodyPr/>
        <a:lstStyle/>
        <a:p>
          <a:endParaRPr lang="en-GB"/>
        </a:p>
      </dgm:t>
    </dgm:pt>
    <dgm:pt modelId="{C1F65630-C54F-4610-87A9-8BD2661390C6}" type="pres">
      <dgm:prSet presAssocID="{C3EDBB96-A1C1-4DF5-8F5F-7BA4E7B4A44B}" presName="Name25" presStyleLbl="parChTrans1D3" presStyleIdx="11" presStyleCnt="12"/>
      <dgm:spPr/>
      <dgm:t>
        <a:bodyPr/>
        <a:lstStyle/>
        <a:p>
          <a:endParaRPr lang="en-GB"/>
        </a:p>
      </dgm:t>
    </dgm:pt>
    <dgm:pt modelId="{A7BED379-2FAD-43D0-B63D-8C6D7FE796E0}" type="pres">
      <dgm:prSet presAssocID="{C3EDBB96-A1C1-4DF5-8F5F-7BA4E7B4A44B}" presName="connTx" presStyleLbl="parChTrans1D3" presStyleIdx="11" presStyleCnt="12"/>
      <dgm:spPr/>
      <dgm:t>
        <a:bodyPr/>
        <a:lstStyle/>
        <a:p>
          <a:endParaRPr lang="en-GB"/>
        </a:p>
      </dgm:t>
    </dgm:pt>
    <dgm:pt modelId="{F1FA5A43-CC5E-4A8F-8BA7-E1B141456B33}" type="pres">
      <dgm:prSet presAssocID="{9337356C-5255-42D3-9195-A9E9860EBAD8}" presName="Name30" presStyleCnt="0"/>
      <dgm:spPr/>
      <dgm:t>
        <a:bodyPr/>
        <a:lstStyle/>
        <a:p>
          <a:endParaRPr lang="en-GB"/>
        </a:p>
      </dgm:t>
    </dgm:pt>
    <dgm:pt modelId="{90B4C148-F9F9-4834-A069-A702DC08EE95}" type="pres">
      <dgm:prSet presAssocID="{9337356C-5255-42D3-9195-A9E9860EBAD8}" presName="level2Shape" presStyleLbl="node3" presStyleIdx="11" presStyleCnt="12"/>
      <dgm:spPr/>
      <dgm:t>
        <a:bodyPr/>
        <a:lstStyle/>
        <a:p>
          <a:endParaRPr lang="en-GB"/>
        </a:p>
      </dgm:t>
    </dgm:pt>
    <dgm:pt modelId="{4A672287-CDD5-4734-B78D-88FA503FBA32}" type="pres">
      <dgm:prSet presAssocID="{9337356C-5255-42D3-9195-A9E9860EBAD8}" presName="hierChild3" presStyleCnt="0"/>
      <dgm:spPr/>
      <dgm:t>
        <a:bodyPr/>
        <a:lstStyle/>
        <a:p>
          <a:endParaRPr lang="en-GB"/>
        </a:p>
      </dgm:t>
    </dgm:pt>
    <dgm:pt modelId="{F461FF49-C7C0-4019-961C-9ED1FD03042E}" type="pres">
      <dgm:prSet presAssocID="{E3B95576-4084-4A1D-9376-4952D63D363E}" presName="Name25" presStyleLbl="parChTrans1D2" presStyleIdx="4" presStyleCnt="5"/>
      <dgm:spPr/>
      <dgm:t>
        <a:bodyPr/>
        <a:lstStyle/>
        <a:p>
          <a:endParaRPr lang="en-GB"/>
        </a:p>
      </dgm:t>
    </dgm:pt>
    <dgm:pt modelId="{3B85A1C8-9597-452A-83BF-96321871AB3A}" type="pres">
      <dgm:prSet presAssocID="{E3B95576-4084-4A1D-9376-4952D63D363E}" presName="connTx" presStyleLbl="parChTrans1D2" presStyleIdx="4" presStyleCnt="5"/>
      <dgm:spPr/>
      <dgm:t>
        <a:bodyPr/>
        <a:lstStyle/>
        <a:p>
          <a:endParaRPr lang="en-GB"/>
        </a:p>
      </dgm:t>
    </dgm:pt>
    <dgm:pt modelId="{968AA6BF-9D0C-40E5-8B04-ED5359BCB895}" type="pres">
      <dgm:prSet presAssocID="{EBE8A2A7-F1B8-4AC0-A14B-E59649E43118}" presName="Name30" presStyleCnt="0"/>
      <dgm:spPr/>
      <dgm:t>
        <a:bodyPr/>
        <a:lstStyle/>
        <a:p>
          <a:endParaRPr lang="en-GB"/>
        </a:p>
      </dgm:t>
    </dgm:pt>
    <dgm:pt modelId="{3730CFAA-AD74-4B67-9DA1-0A621FDAE421}" type="pres">
      <dgm:prSet presAssocID="{EBE8A2A7-F1B8-4AC0-A14B-E59649E43118}" presName="level2Shape" presStyleLbl="node2" presStyleIdx="4" presStyleCnt="5" custLinFactY="-700000" custLinFactNeighborX="10444" custLinFactNeighborY="-702792"/>
      <dgm:spPr/>
      <dgm:t>
        <a:bodyPr/>
        <a:lstStyle/>
        <a:p>
          <a:endParaRPr lang="en-GB"/>
        </a:p>
      </dgm:t>
    </dgm:pt>
    <dgm:pt modelId="{E8B64076-93FA-4FB5-BDA3-155E333CA1B2}" type="pres">
      <dgm:prSet presAssocID="{EBE8A2A7-F1B8-4AC0-A14B-E59649E43118}" presName="hierChild3" presStyleCnt="0"/>
      <dgm:spPr/>
      <dgm:t>
        <a:bodyPr/>
        <a:lstStyle/>
        <a:p>
          <a:endParaRPr lang="en-GB"/>
        </a:p>
      </dgm:t>
    </dgm:pt>
    <dgm:pt modelId="{37DD2E5C-9B86-4846-A586-220EF1697180}" type="pres">
      <dgm:prSet presAssocID="{216C57A4-7B11-4D8F-B0D5-29EA19EEC181}" presName="bgShapesFlow" presStyleCnt="0"/>
      <dgm:spPr/>
      <dgm:t>
        <a:bodyPr/>
        <a:lstStyle/>
        <a:p>
          <a:endParaRPr lang="en-GB"/>
        </a:p>
      </dgm:t>
    </dgm:pt>
    <dgm:pt modelId="{39734812-0B7D-4116-8109-B1F33097A9CD}" type="pres">
      <dgm:prSet presAssocID="{581B2C4D-99BD-479A-BEEF-AE77769837B2}" presName="rectComp" presStyleCnt="0"/>
      <dgm:spPr/>
      <dgm:t>
        <a:bodyPr/>
        <a:lstStyle/>
        <a:p>
          <a:endParaRPr lang="en-GB"/>
        </a:p>
      </dgm:t>
    </dgm:pt>
    <dgm:pt modelId="{6B1995A3-D640-41CF-AD07-BA50E7A2259F}" type="pres">
      <dgm:prSet presAssocID="{581B2C4D-99BD-479A-BEEF-AE77769837B2}" presName="bgRect" presStyleLbl="bgShp" presStyleIdx="0" presStyleCnt="3" custLinFactNeighborX="-1515" custLinFactNeighborY="-1344"/>
      <dgm:spPr/>
      <dgm:t>
        <a:bodyPr/>
        <a:lstStyle/>
        <a:p>
          <a:endParaRPr lang="en-GB"/>
        </a:p>
      </dgm:t>
    </dgm:pt>
    <dgm:pt modelId="{D895EDBA-86BE-4B47-933B-25BBFFBF1943}" type="pres">
      <dgm:prSet presAssocID="{581B2C4D-99BD-479A-BEEF-AE77769837B2}" presName="bgRectTx" presStyleLbl="bgShp" presStyleIdx="0" presStyleCnt="3">
        <dgm:presLayoutVars>
          <dgm:bulletEnabled val="1"/>
        </dgm:presLayoutVars>
      </dgm:prSet>
      <dgm:spPr/>
      <dgm:t>
        <a:bodyPr/>
        <a:lstStyle/>
        <a:p>
          <a:endParaRPr lang="en-GB"/>
        </a:p>
      </dgm:t>
    </dgm:pt>
    <dgm:pt modelId="{9C21D5DE-11E1-44BA-8FD7-A85830CE7518}" type="pres">
      <dgm:prSet presAssocID="{581B2C4D-99BD-479A-BEEF-AE77769837B2}" presName="spComp" presStyleCnt="0"/>
      <dgm:spPr/>
      <dgm:t>
        <a:bodyPr/>
        <a:lstStyle/>
        <a:p>
          <a:endParaRPr lang="en-GB"/>
        </a:p>
      </dgm:t>
    </dgm:pt>
    <dgm:pt modelId="{9A63F13B-0861-46BF-BBE7-9F076EA419E2}" type="pres">
      <dgm:prSet presAssocID="{581B2C4D-99BD-479A-BEEF-AE77769837B2}" presName="hSp" presStyleCnt="0"/>
      <dgm:spPr/>
      <dgm:t>
        <a:bodyPr/>
        <a:lstStyle/>
        <a:p>
          <a:endParaRPr lang="en-GB"/>
        </a:p>
      </dgm:t>
    </dgm:pt>
    <dgm:pt modelId="{4E541945-7577-4349-AAAC-CB435A6DC419}" type="pres">
      <dgm:prSet presAssocID="{82492EFF-E71F-428E-B208-FA559F5FE2B3}" presName="rectComp" presStyleCnt="0"/>
      <dgm:spPr/>
      <dgm:t>
        <a:bodyPr/>
        <a:lstStyle/>
        <a:p>
          <a:endParaRPr lang="en-GB"/>
        </a:p>
      </dgm:t>
    </dgm:pt>
    <dgm:pt modelId="{B6C6C495-60DB-453D-A46E-672F965B9804}" type="pres">
      <dgm:prSet presAssocID="{82492EFF-E71F-428E-B208-FA559F5FE2B3}" presName="bgRect" presStyleLbl="bgShp" presStyleIdx="1" presStyleCnt="3" custLinFactNeighborX="9071" custLinFactNeighborY="-718"/>
      <dgm:spPr/>
      <dgm:t>
        <a:bodyPr/>
        <a:lstStyle/>
        <a:p>
          <a:endParaRPr lang="en-GB"/>
        </a:p>
      </dgm:t>
    </dgm:pt>
    <dgm:pt modelId="{8D730D95-2CA2-4CE7-969F-34322AB7AEFB}" type="pres">
      <dgm:prSet presAssocID="{82492EFF-E71F-428E-B208-FA559F5FE2B3}" presName="bgRectTx" presStyleLbl="bgShp" presStyleIdx="1" presStyleCnt="3">
        <dgm:presLayoutVars>
          <dgm:bulletEnabled val="1"/>
        </dgm:presLayoutVars>
      </dgm:prSet>
      <dgm:spPr/>
      <dgm:t>
        <a:bodyPr/>
        <a:lstStyle/>
        <a:p>
          <a:endParaRPr lang="en-GB"/>
        </a:p>
      </dgm:t>
    </dgm:pt>
    <dgm:pt modelId="{6A8FCB91-B215-49EF-9C94-10091A5777A4}" type="pres">
      <dgm:prSet presAssocID="{82492EFF-E71F-428E-B208-FA559F5FE2B3}" presName="spComp" presStyleCnt="0"/>
      <dgm:spPr/>
      <dgm:t>
        <a:bodyPr/>
        <a:lstStyle/>
        <a:p>
          <a:endParaRPr lang="en-GB"/>
        </a:p>
      </dgm:t>
    </dgm:pt>
    <dgm:pt modelId="{14091C87-0517-402B-A5A5-A470F4DD5013}" type="pres">
      <dgm:prSet presAssocID="{82492EFF-E71F-428E-B208-FA559F5FE2B3}" presName="hSp" presStyleCnt="0"/>
      <dgm:spPr/>
      <dgm:t>
        <a:bodyPr/>
        <a:lstStyle/>
        <a:p>
          <a:endParaRPr lang="en-GB"/>
        </a:p>
      </dgm:t>
    </dgm:pt>
    <dgm:pt modelId="{1A545A7D-FA6E-4FA4-A098-E8932EF0A4A8}" type="pres">
      <dgm:prSet presAssocID="{E5B2B059-CF2B-466B-9422-9FD77635D5F0}" presName="rectComp" presStyleCnt="0"/>
      <dgm:spPr/>
      <dgm:t>
        <a:bodyPr/>
        <a:lstStyle/>
        <a:p>
          <a:endParaRPr lang="en-GB"/>
        </a:p>
      </dgm:t>
    </dgm:pt>
    <dgm:pt modelId="{08C13935-BC41-48F1-BFAC-F5793A3CEAD5}" type="pres">
      <dgm:prSet presAssocID="{E5B2B059-CF2B-466B-9422-9FD77635D5F0}" presName="bgRect" presStyleLbl="bgShp" presStyleIdx="2" presStyleCnt="3"/>
      <dgm:spPr/>
      <dgm:t>
        <a:bodyPr/>
        <a:lstStyle/>
        <a:p>
          <a:endParaRPr lang="en-GB"/>
        </a:p>
      </dgm:t>
    </dgm:pt>
    <dgm:pt modelId="{A010277F-21AC-42A5-915B-0CAAC36455B4}" type="pres">
      <dgm:prSet presAssocID="{E5B2B059-CF2B-466B-9422-9FD77635D5F0}" presName="bgRectTx" presStyleLbl="bgShp" presStyleIdx="2" presStyleCnt="3">
        <dgm:presLayoutVars>
          <dgm:bulletEnabled val="1"/>
        </dgm:presLayoutVars>
      </dgm:prSet>
      <dgm:spPr/>
      <dgm:t>
        <a:bodyPr/>
        <a:lstStyle/>
        <a:p>
          <a:endParaRPr lang="en-GB"/>
        </a:p>
      </dgm:t>
    </dgm:pt>
  </dgm:ptLst>
  <dgm:cxnLst>
    <dgm:cxn modelId="{ECF9D8F3-CFFB-4D1B-9102-DDC0F123F5C8}" type="presOf" srcId="{6D883AC0-5C13-41F0-9910-A2C4E9F1BAE7}" destId="{052D2C4C-D60E-45EE-A8B3-3943598C9A94}" srcOrd="1" destOrd="0" presId="urn:microsoft.com/office/officeart/2005/8/layout/hierarchy5"/>
    <dgm:cxn modelId="{754C688F-6F6E-47FC-8D02-7908B5361E35}" srcId="{D5B032D1-AC3E-4C44-9C96-3B6C0018F443}" destId="{4B167A4E-ADA9-4F27-A1B0-9BD936466D95}" srcOrd="0" destOrd="0" parTransId="{DEA9DE17-8241-4EDD-B357-0E3240E7F92F}" sibTransId="{DA404294-8140-488F-864A-03FC5A412605}"/>
    <dgm:cxn modelId="{99E727BD-6DA7-4815-BCDA-6A7F2DC86025}" type="presOf" srcId="{E5B2B059-CF2B-466B-9422-9FD77635D5F0}" destId="{A010277F-21AC-42A5-915B-0CAAC36455B4}" srcOrd="1" destOrd="0" presId="urn:microsoft.com/office/officeart/2005/8/layout/hierarchy5"/>
    <dgm:cxn modelId="{4FB58FCD-7B33-4F9C-8719-C89FC239881A}" type="presOf" srcId="{9337356C-5255-42D3-9195-A9E9860EBAD8}" destId="{90B4C148-F9F9-4834-A069-A702DC08EE95}" srcOrd="0" destOrd="0" presId="urn:microsoft.com/office/officeart/2005/8/layout/hierarchy5"/>
    <dgm:cxn modelId="{D64D6FD6-8FD7-42AC-B663-D18143641A75}" type="presOf" srcId="{602D9105-EA2D-41CB-9B14-F926DB0560B4}" destId="{A495737A-4BD6-4938-9B7C-48FE4D94281A}" srcOrd="1" destOrd="0" presId="urn:microsoft.com/office/officeart/2005/8/layout/hierarchy5"/>
    <dgm:cxn modelId="{B6C04AA5-09BF-4D04-8AB0-A136E182DD11}" srcId="{46CA5E53-D523-454E-9D70-87EF75160F8B}" destId="{A83415E4-6C04-4A21-9D20-9985618FDF85}" srcOrd="1" destOrd="0" parTransId="{602D9105-EA2D-41CB-9B14-F926DB0560B4}" sibTransId="{D93D9867-9808-4140-9F70-8CE6641A58A0}"/>
    <dgm:cxn modelId="{E808C649-DE71-4E6B-A7C9-E82DF45FC07A}" type="presOf" srcId="{A1EE9191-6E27-4C19-B687-AE4D3A20258D}" destId="{65105C19-A979-4587-971D-1A500D8C0C42}" srcOrd="0" destOrd="0" presId="urn:microsoft.com/office/officeart/2005/8/layout/hierarchy5"/>
    <dgm:cxn modelId="{74451393-B0B5-4208-819A-845F30623398}" type="presOf" srcId="{0241EE58-20D8-4388-B5D2-6A425764F5DA}" destId="{A7565CA5-8C8B-48DD-9477-A26DD7A74EA2}" srcOrd="0" destOrd="0" presId="urn:microsoft.com/office/officeart/2005/8/layout/hierarchy5"/>
    <dgm:cxn modelId="{0B9606ED-A5B9-4103-B5C7-425E8E58215C}" type="presOf" srcId="{C8779489-3D75-43E2-8A07-4BCD469281FF}" destId="{39FA178B-7DF8-4670-83D0-217FD5DB12E1}" srcOrd="0" destOrd="0" presId="urn:microsoft.com/office/officeart/2005/8/layout/hierarchy5"/>
    <dgm:cxn modelId="{559C2DA0-CA14-4B7F-98D0-1755318C6FE1}" type="presOf" srcId="{DEA9DE17-8241-4EDD-B357-0E3240E7F92F}" destId="{134C76D8-5557-4100-999A-EA41E3271DC5}" srcOrd="1" destOrd="0" presId="urn:microsoft.com/office/officeart/2005/8/layout/hierarchy5"/>
    <dgm:cxn modelId="{5B44A155-DFAE-4325-9167-AFDCB7349941}" type="presOf" srcId="{602D9105-EA2D-41CB-9B14-F926DB0560B4}" destId="{9DDDE59E-BA9C-4796-B813-C1F9F087744F}" srcOrd="0" destOrd="0" presId="urn:microsoft.com/office/officeart/2005/8/layout/hierarchy5"/>
    <dgm:cxn modelId="{91EA1D0A-FD6A-4800-8AFF-8DA3D939DA28}" type="presOf" srcId="{9C7E5A48-4188-4BA7-A255-02C0FF5764BD}" destId="{53071431-6A65-4789-A93B-3D3AEB121517}" srcOrd="0" destOrd="0" presId="urn:microsoft.com/office/officeart/2005/8/layout/hierarchy5"/>
    <dgm:cxn modelId="{4CDB8721-66D8-45F5-BCE2-EE9E12E8462E}" type="presOf" srcId="{E9975CB9-8D28-4DA4-8F42-D5F260ABDE57}" destId="{ABB0A3D2-75DE-4616-92A3-E634A2944E71}" srcOrd="0" destOrd="0" presId="urn:microsoft.com/office/officeart/2005/8/layout/hierarchy5"/>
    <dgm:cxn modelId="{AA242A36-17B1-429B-8706-9D9E8024E57A}" type="presOf" srcId="{82492EFF-E71F-428E-B208-FA559F5FE2B3}" destId="{B6C6C495-60DB-453D-A46E-672F965B9804}" srcOrd="0" destOrd="0" presId="urn:microsoft.com/office/officeart/2005/8/layout/hierarchy5"/>
    <dgm:cxn modelId="{C77556AF-FC95-443D-9B8F-7089D5A81329}" type="presOf" srcId="{DEA9DE17-8241-4EDD-B357-0E3240E7F92F}" destId="{D2F0EE13-B5DF-4B3D-85CF-7896FF4B5E81}" srcOrd="0" destOrd="0" presId="urn:microsoft.com/office/officeart/2005/8/layout/hierarchy5"/>
    <dgm:cxn modelId="{247FF1C5-8DD7-42F7-9D1A-A046AAA1F2FC}" type="presOf" srcId="{7FBCC244-1E2B-4C30-84A2-6345CBC8AF16}" destId="{7A2ED772-CF14-4492-8E27-6EE5A2BE4DE1}" srcOrd="1" destOrd="0" presId="urn:microsoft.com/office/officeart/2005/8/layout/hierarchy5"/>
    <dgm:cxn modelId="{CA8250A8-2C3B-42BB-93CC-14B8E8238D04}" type="presOf" srcId="{6D883AC0-5C13-41F0-9910-A2C4E9F1BAE7}" destId="{D37AD6B2-AEE6-43C2-8633-13B2B747984E}" srcOrd="0" destOrd="0" presId="urn:microsoft.com/office/officeart/2005/8/layout/hierarchy5"/>
    <dgm:cxn modelId="{7521AAFB-39C1-40A4-98A1-3A1954B5BB75}" srcId="{5E17F719-EDE3-45D5-96EF-CC0555A0ED4F}" destId="{1D58B1A7-4074-4958-AE8D-9D1C8742F59A}" srcOrd="4" destOrd="0" parTransId="{6580830A-4032-4516-A3D7-8A61938909DB}" sibTransId="{2606C119-8802-4510-83BA-9283AC12C07D}"/>
    <dgm:cxn modelId="{66A76992-73CA-483D-B36B-7DFF34CD2992}" srcId="{216C57A4-7B11-4D8F-B0D5-29EA19EEC181}" destId="{E5B2B059-CF2B-466B-9422-9FD77635D5F0}" srcOrd="3" destOrd="0" parTransId="{DF0A5114-AF67-484C-9B05-4E5B1D96F9AF}" sibTransId="{F4FBB87B-2AD3-42D7-B91B-7058D21158CC}"/>
    <dgm:cxn modelId="{CC5595EB-C169-4C0E-9026-DBBDC6B05F70}" type="presOf" srcId="{C3EDBB96-A1C1-4DF5-8F5F-7BA4E7B4A44B}" destId="{C1F65630-C54F-4610-87A9-8BD2661390C6}" srcOrd="0" destOrd="0" presId="urn:microsoft.com/office/officeart/2005/8/layout/hierarchy5"/>
    <dgm:cxn modelId="{79513D3D-0710-4D23-97E4-C40369ADD71C}" type="presOf" srcId="{1228E4BD-DF4D-4306-A03D-66449A498029}" destId="{646A9CCA-469E-45FB-869F-3C29C4E4B56A}" srcOrd="0" destOrd="0" presId="urn:microsoft.com/office/officeart/2005/8/layout/hierarchy5"/>
    <dgm:cxn modelId="{EC639854-C08E-4EE4-A9DC-CFA126155A2E}" type="presOf" srcId="{C8779489-3D75-43E2-8A07-4BCD469281FF}" destId="{2B9A35A6-0CF9-4E40-A18C-7194E26F55C5}" srcOrd="1" destOrd="0" presId="urn:microsoft.com/office/officeart/2005/8/layout/hierarchy5"/>
    <dgm:cxn modelId="{C03B1931-813D-4442-8F69-A24088F67247}" type="presOf" srcId="{5609418A-A99A-4130-9443-5964B7254344}" destId="{9E7D3845-8D2E-4DA4-B299-651CEFEA0B68}" srcOrd="0" destOrd="0" presId="urn:microsoft.com/office/officeart/2005/8/layout/hierarchy5"/>
    <dgm:cxn modelId="{CDD5969E-6EAE-4E7F-AE98-619BAA0F5E63}" type="presOf" srcId="{5609418A-A99A-4130-9443-5964B7254344}" destId="{05B6C376-17C8-4F40-9BA2-2B4755091613}" srcOrd="1" destOrd="0" presId="urn:microsoft.com/office/officeart/2005/8/layout/hierarchy5"/>
    <dgm:cxn modelId="{88EF2B15-DDD0-445F-BE08-BB6B8EA0D797}" type="presOf" srcId="{41A3788A-F306-4768-BA11-AC054AB3F1D8}" destId="{E865D188-2B04-4910-9E5A-EAABE71BBAFF}" srcOrd="0" destOrd="0" presId="urn:microsoft.com/office/officeart/2005/8/layout/hierarchy5"/>
    <dgm:cxn modelId="{12CDA510-721A-4030-828F-C3B515F577D1}" type="presOf" srcId="{A1EE9191-6E27-4C19-B687-AE4D3A20258D}" destId="{468B746F-B3EC-42EF-9F61-33B755E74532}" srcOrd="1" destOrd="0" presId="urn:microsoft.com/office/officeart/2005/8/layout/hierarchy5"/>
    <dgm:cxn modelId="{0B97D765-CA4A-4541-AA5F-AD2F2754591B}" type="presOf" srcId="{4F909327-060B-4543-AAB0-5538207CF2D2}" destId="{D0FB3787-E71C-4CD2-9832-6E49378E8A8F}" srcOrd="0" destOrd="0" presId="urn:microsoft.com/office/officeart/2005/8/layout/hierarchy5"/>
    <dgm:cxn modelId="{00E89D26-749A-42D8-BCC4-B08EF5352122}" type="presOf" srcId="{1228E4BD-DF4D-4306-A03D-66449A498029}" destId="{75453860-ED22-4426-823E-430756E14968}" srcOrd="1" destOrd="0" presId="urn:microsoft.com/office/officeart/2005/8/layout/hierarchy5"/>
    <dgm:cxn modelId="{7C3B3D43-CBBC-4A0D-A203-45AA4A452BA3}" type="presOf" srcId="{E3B95576-4084-4A1D-9376-4952D63D363E}" destId="{3B85A1C8-9597-452A-83BF-96321871AB3A}" srcOrd="1" destOrd="0" presId="urn:microsoft.com/office/officeart/2005/8/layout/hierarchy5"/>
    <dgm:cxn modelId="{82C0B97B-0F8B-4FD1-BC9C-D397D6E79F98}" type="presOf" srcId="{E5B2B059-CF2B-466B-9422-9FD77635D5F0}" destId="{08C13935-BC41-48F1-BFAC-F5793A3CEAD5}" srcOrd="0" destOrd="0" presId="urn:microsoft.com/office/officeart/2005/8/layout/hierarchy5"/>
    <dgm:cxn modelId="{DB167612-FD77-4D5D-8901-CEFC991A8A66}" type="presOf" srcId="{7FBCC244-1E2B-4C30-84A2-6345CBC8AF16}" destId="{F8F0EF4B-C183-4A6E-8D4B-D55A4B9EBD47}" srcOrd="0" destOrd="0" presId="urn:microsoft.com/office/officeart/2005/8/layout/hierarchy5"/>
    <dgm:cxn modelId="{51E3E20E-2B81-43DF-A605-93126D5AC950}" type="presOf" srcId="{AC9B9E9C-EB32-478B-9C0F-31EA5D761EF0}" destId="{9B9713D0-AEE6-48A2-B07B-77379B208802}" srcOrd="0" destOrd="0" presId="urn:microsoft.com/office/officeart/2005/8/layout/hierarchy5"/>
    <dgm:cxn modelId="{5DD6B9B0-156D-4A0C-A0D2-9AFABB5C0C39}" srcId="{A83415E4-6C04-4A21-9D20-9985618FDF85}" destId="{41A3788A-F306-4768-BA11-AC054AB3F1D8}" srcOrd="1" destOrd="0" parTransId="{6D883AC0-5C13-41F0-9910-A2C4E9F1BAE7}" sibTransId="{31E4A94D-043D-4827-983D-EFD4A5978948}"/>
    <dgm:cxn modelId="{CDC57A16-FF43-4670-A0FB-A6EB5E0E95A8}" type="presOf" srcId="{E8430CEA-9CCE-4EA1-9D00-1CB269C4AE1B}" destId="{A0CFEEBB-2800-470D-91C1-BC8EF1CB32E1}" srcOrd="1" destOrd="0" presId="urn:microsoft.com/office/officeart/2005/8/layout/hierarchy5"/>
    <dgm:cxn modelId="{959FB033-7797-43D5-B0DD-63C1D11A3BB5}" type="presOf" srcId="{604A81FD-A652-4358-BB62-AAD27059EAF5}" destId="{6ED0C570-281D-43FC-BD44-B6EEC437389E}" srcOrd="1" destOrd="0" presId="urn:microsoft.com/office/officeart/2005/8/layout/hierarchy5"/>
    <dgm:cxn modelId="{1ECDEDA5-2CE6-4608-9A89-7D2E608A1E0B}" srcId="{19A545F5-DD0F-492F-96E2-323F2484DC1E}" destId="{9337356C-5255-42D3-9195-A9E9860EBAD8}" srcOrd="2" destOrd="0" parTransId="{C3EDBB96-A1C1-4DF5-8F5F-7BA4E7B4A44B}" sibTransId="{3A37B53B-E870-47F1-8F67-6B75630DF47E}"/>
    <dgm:cxn modelId="{E06933E8-35DF-484E-8E4F-0BDFC6C207E0}" type="presOf" srcId="{604A81FD-A652-4358-BB62-AAD27059EAF5}" destId="{7EC2A983-86E4-49CA-8C51-B70FA434741F}" srcOrd="0" destOrd="0" presId="urn:microsoft.com/office/officeart/2005/8/layout/hierarchy5"/>
    <dgm:cxn modelId="{EC9168E7-9F0C-4F18-B57E-684D5655AD62}" srcId="{19A545F5-DD0F-492F-96E2-323F2484DC1E}" destId="{E9F292C4-270C-44D4-A34B-F49DDB2A9C3A}" srcOrd="1" destOrd="0" parTransId="{05612D6D-81CA-4C5C-AE28-8A39592151B6}" sibTransId="{4EFF8120-5DA8-4CFB-BAAD-6599CCC08C32}"/>
    <dgm:cxn modelId="{BAAA51E7-F1C9-4313-B5D1-04200F9883CF}" srcId="{46CA5E53-D523-454E-9D70-87EF75160F8B}" destId="{19A545F5-DD0F-492F-96E2-323F2484DC1E}" srcOrd="3" destOrd="0" parTransId="{7FBCC244-1E2B-4C30-84A2-6345CBC8AF16}" sibTransId="{F13ECE19-EDA3-48D9-A5AC-7023FDFEB0C3}"/>
    <dgm:cxn modelId="{378D12D4-0261-47E0-9FF8-BC8344E47F23}" type="presOf" srcId="{05612D6D-81CA-4C5C-AE28-8A39592151B6}" destId="{3F69AF57-8084-4245-A3B3-AC981AAC5C50}" srcOrd="1" destOrd="0" presId="urn:microsoft.com/office/officeart/2005/8/layout/hierarchy5"/>
    <dgm:cxn modelId="{2AD6BDFF-3B56-408E-83FD-BEE92184C33D}" type="presOf" srcId="{19A545F5-DD0F-492F-96E2-323F2484DC1E}" destId="{D5E391EC-270B-4BAC-8137-7737575AF51A}" srcOrd="0" destOrd="0" presId="urn:microsoft.com/office/officeart/2005/8/layout/hierarchy5"/>
    <dgm:cxn modelId="{CC6A246F-DB01-4EB0-B539-432138D0A027}" type="presOf" srcId="{705ACB8B-DF64-44E1-AB07-85C4F07ED193}" destId="{426380E5-57A0-4C3C-AEB7-2B8E9FC77948}" srcOrd="1" destOrd="0" presId="urn:microsoft.com/office/officeart/2005/8/layout/hierarchy5"/>
    <dgm:cxn modelId="{C243C058-92F1-4334-A726-7BDA37441E0B}" type="presOf" srcId="{581B2C4D-99BD-479A-BEEF-AE77769837B2}" destId="{6B1995A3-D640-41CF-AD07-BA50E7A2259F}" srcOrd="0" destOrd="0" presId="urn:microsoft.com/office/officeart/2005/8/layout/hierarchy5"/>
    <dgm:cxn modelId="{20ACEE7C-2538-4354-944F-4F057D729B46}" srcId="{46CA5E53-D523-454E-9D70-87EF75160F8B}" destId="{5E17F719-EDE3-45D5-96EF-CC0555A0ED4F}" srcOrd="0" destOrd="0" parTransId="{E8430CEA-9CCE-4EA1-9D00-1CB269C4AE1B}" sibTransId="{CDBAAB3B-DCE0-4FF3-B9F4-96D5DB7E499E}"/>
    <dgm:cxn modelId="{57F2C01F-48EE-4A48-A760-ECDBD395505D}" type="presOf" srcId="{1D58B1A7-4074-4958-AE8D-9D1C8742F59A}" destId="{BBBE79C7-0A85-43FD-ADCF-16AD817EBFDA}" srcOrd="0" destOrd="0" presId="urn:microsoft.com/office/officeart/2005/8/layout/hierarchy5"/>
    <dgm:cxn modelId="{32188CF3-154E-4B62-80E7-938A27788995}" type="presOf" srcId="{EBE8A2A7-F1B8-4AC0-A14B-E59649E43118}" destId="{3730CFAA-AD74-4B67-9DA1-0A621FDAE421}" srcOrd="0" destOrd="0" presId="urn:microsoft.com/office/officeart/2005/8/layout/hierarchy5"/>
    <dgm:cxn modelId="{962602C8-4DC2-49AB-B388-91A029BBFA26}" type="presOf" srcId="{705ACB8B-DF64-44E1-AB07-85C4F07ED193}" destId="{E6C5D122-5369-4025-B64D-BE80CBE189EA}" srcOrd="0" destOrd="0" presId="urn:microsoft.com/office/officeart/2005/8/layout/hierarchy5"/>
    <dgm:cxn modelId="{D96DACB5-530C-4F9E-81DA-BABAA98F5EDF}" type="presOf" srcId="{C3EDBB96-A1C1-4DF5-8F5F-7BA4E7B4A44B}" destId="{A7BED379-2FAD-43D0-B63D-8C6D7FE796E0}" srcOrd="1" destOrd="0" presId="urn:microsoft.com/office/officeart/2005/8/layout/hierarchy5"/>
    <dgm:cxn modelId="{9E7A6AF4-8A95-446D-9763-EB7DAC349EC3}" type="presOf" srcId="{D5B032D1-AC3E-4C44-9C96-3B6C0018F443}" destId="{E1FE80A3-9260-4AB4-B11A-7492E1942AE6}" srcOrd="0" destOrd="0" presId="urn:microsoft.com/office/officeart/2005/8/layout/hierarchy5"/>
    <dgm:cxn modelId="{F8D85D3F-07CC-4881-8D07-9CDA51B38A6B}" srcId="{5E17F719-EDE3-45D5-96EF-CC0555A0ED4F}" destId="{4F909327-060B-4543-AAB0-5538207CF2D2}" srcOrd="1" destOrd="0" parTransId="{1228E4BD-DF4D-4306-A03D-66449A498029}" sibTransId="{5D110590-1218-4339-8959-9C0EA4663D02}"/>
    <dgm:cxn modelId="{7FEED73A-72BD-4351-8F58-809AACF953CF}" type="presOf" srcId="{E3B95576-4084-4A1D-9376-4952D63D363E}" destId="{F461FF49-C7C0-4019-961C-9ED1FD03042E}" srcOrd="0" destOrd="0" presId="urn:microsoft.com/office/officeart/2005/8/layout/hierarchy5"/>
    <dgm:cxn modelId="{4378CB60-9628-4426-B03F-493F1B4EE165}" type="presOf" srcId="{5E17F719-EDE3-45D5-96EF-CC0555A0ED4F}" destId="{8256D4FA-2CA2-4427-8931-457824FC54F0}" srcOrd="0" destOrd="0" presId="urn:microsoft.com/office/officeart/2005/8/layout/hierarchy5"/>
    <dgm:cxn modelId="{93F51C9E-43DC-4F17-BEDC-0D40C93350E9}" type="presOf" srcId="{E7DD0C75-A44A-42CE-ABE8-AF32AA5877C0}" destId="{DB071D1D-5B1E-4EA9-A423-53712C445E93}" srcOrd="0" destOrd="0" presId="urn:microsoft.com/office/officeart/2005/8/layout/hierarchy5"/>
    <dgm:cxn modelId="{63A1C297-7DBC-4AF1-995F-2E3E47FFA1A9}" type="presOf" srcId="{6580830A-4032-4516-A3D7-8A61938909DB}" destId="{2BBED418-9047-4013-8619-4EDC30F95932}" srcOrd="0" destOrd="0" presId="urn:microsoft.com/office/officeart/2005/8/layout/hierarchy5"/>
    <dgm:cxn modelId="{D591A3E3-C0A3-4293-A714-8AA29D1F0C9A}" srcId="{216C57A4-7B11-4D8F-B0D5-29EA19EEC181}" destId="{46CA5E53-D523-454E-9D70-87EF75160F8B}" srcOrd="0" destOrd="0" parTransId="{C5C9C2DE-30A7-401E-A763-28F19EEE2496}" sibTransId="{744BAD60-5E7B-437A-A356-A4C982603BBC}"/>
    <dgm:cxn modelId="{6AF0B76B-DCA3-42DB-91A7-F7B35F3BB20F}" srcId="{A83415E4-6C04-4A21-9D20-9985618FDF85}" destId="{9F8679E6-B9BB-4E41-BC6F-C931A21B0322}" srcOrd="2" destOrd="0" parTransId="{B43011DA-1A63-434B-9096-93626AE62831}" sibTransId="{8D3F158F-E420-4C4F-BC1A-64DF51A4444E}"/>
    <dgm:cxn modelId="{FC693D79-E1E9-4A97-BC47-FD174400E684}" srcId="{5E17F719-EDE3-45D5-96EF-CC0555A0ED4F}" destId="{0241EE58-20D8-4388-B5D2-6A425764F5DA}" srcOrd="3" destOrd="0" parTransId="{5609418A-A99A-4130-9443-5964B7254344}" sibTransId="{63B37A43-9E1B-4FE2-BA79-22710BC1FAF5}"/>
    <dgm:cxn modelId="{6522882A-E79D-4B24-A676-CD1E6492C107}" type="presOf" srcId="{216C57A4-7B11-4D8F-B0D5-29EA19EEC181}" destId="{8EBBD0AF-A2FC-4F1D-9DC5-D345AB1026E9}" srcOrd="0" destOrd="0" presId="urn:microsoft.com/office/officeart/2005/8/layout/hierarchy5"/>
    <dgm:cxn modelId="{812F25F3-220D-4C5F-835A-3C50B10A2A37}" type="presOf" srcId="{82492EFF-E71F-428E-B208-FA559F5FE2B3}" destId="{8D730D95-2CA2-4CE7-969F-34322AB7AEFB}" srcOrd="1" destOrd="0" presId="urn:microsoft.com/office/officeart/2005/8/layout/hierarchy5"/>
    <dgm:cxn modelId="{B77E8087-C640-4E0C-AA14-A5736D6A671A}" type="presOf" srcId="{9F8679E6-B9BB-4E41-BC6F-C931A21B0322}" destId="{235DBBCB-23EE-46BD-9840-25CF3B637FBE}" srcOrd="0" destOrd="0" presId="urn:microsoft.com/office/officeart/2005/8/layout/hierarchy5"/>
    <dgm:cxn modelId="{BADDD9EE-EBE2-4B13-88FC-5E5D259DF19E}" type="presOf" srcId="{E9F292C4-270C-44D4-A34B-F49DDB2A9C3A}" destId="{D17875FB-66DB-412D-ACB4-DBA0601CFC9A}" srcOrd="0" destOrd="0" presId="urn:microsoft.com/office/officeart/2005/8/layout/hierarchy5"/>
    <dgm:cxn modelId="{D1E0C168-8CFF-4132-8C84-8B781BEEFD58}" srcId="{216C57A4-7B11-4D8F-B0D5-29EA19EEC181}" destId="{581B2C4D-99BD-479A-BEEF-AE77769837B2}" srcOrd="1" destOrd="0" parTransId="{5DF4998F-23F7-4DEC-9E63-5C36CC0734F6}" sibTransId="{F2F8E22E-8E33-48AD-AAC7-6BA7FF4B1AC6}"/>
    <dgm:cxn modelId="{6651298F-8E08-471E-8AAC-2E5C66942A04}" type="presOf" srcId="{46CA5E53-D523-454E-9D70-87EF75160F8B}" destId="{F7CE96AA-8C8B-4EE9-96F8-7A8F73139D3B}" srcOrd="0" destOrd="0" presId="urn:microsoft.com/office/officeart/2005/8/layout/hierarchy5"/>
    <dgm:cxn modelId="{98A46858-7C2D-4A3C-9EAD-3ABCA2241ED8}" type="presOf" srcId="{36B1FC55-2956-4063-999D-34DC48AA3026}" destId="{B7475B98-81B8-4539-A1CF-4FED08C96904}" srcOrd="1" destOrd="0" presId="urn:microsoft.com/office/officeart/2005/8/layout/hierarchy5"/>
    <dgm:cxn modelId="{82A7540F-23D4-4AAB-9F7E-63CC17FA671C}" type="presOf" srcId="{4B167A4E-ADA9-4F27-A1B0-9BD936466D95}" destId="{FFB81A09-3714-4077-BA7D-36FCDA244619}" srcOrd="0" destOrd="0" presId="urn:microsoft.com/office/officeart/2005/8/layout/hierarchy5"/>
    <dgm:cxn modelId="{8E44205D-E40E-4E6A-A2D7-569CEC9FA0DA}" srcId="{A83415E4-6C04-4A21-9D20-9985618FDF85}" destId="{9C7E5A48-4188-4BA7-A255-02C0FF5764BD}" srcOrd="0" destOrd="0" parTransId="{604A81FD-A652-4358-BB62-AAD27059EAF5}" sibTransId="{1016774F-DB8F-48DD-80F2-01B7C6CF11FE}"/>
    <dgm:cxn modelId="{63136C05-2395-421F-BC1C-DD609380E577}" srcId="{216C57A4-7B11-4D8F-B0D5-29EA19EEC181}" destId="{82492EFF-E71F-428E-B208-FA559F5FE2B3}" srcOrd="2" destOrd="0" parTransId="{D4CBDFEC-06E7-417F-A180-74C8224EDC8F}" sibTransId="{D7A6D32D-F312-465C-9FF8-80A49A027346}"/>
    <dgm:cxn modelId="{D682AE94-E7DF-4ED7-9F57-906444CDEABD}" type="presOf" srcId="{E8430CEA-9CCE-4EA1-9D00-1CB269C4AE1B}" destId="{782F41A0-146C-48C7-8DE2-838397EC4281}" srcOrd="0" destOrd="0" presId="urn:microsoft.com/office/officeart/2005/8/layout/hierarchy5"/>
    <dgm:cxn modelId="{83F75CFB-E915-485F-887C-563BB3318DD3}" type="presOf" srcId="{6580830A-4032-4516-A3D7-8A61938909DB}" destId="{E77234B5-9763-4589-B8CA-B3568F69866A}" srcOrd="1" destOrd="0" presId="urn:microsoft.com/office/officeart/2005/8/layout/hierarchy5"/>
    <dgm:cxn modelId="{71B09B3E-1AD4-438B-BBA1-558930F58C70}" type="presOf" srcId="{05612D6D-81CA-4C5C-AE28-8A39592151B6}" destId="{0A797EB2-35BA-46F7-9BE4-F2E4EEB2E24C}" srcOrd="0" destOrd="0" presId="urn:microsoft.com/office/officeart/2005/8/layout/hierarchy5"/>
    <dgm:cxn modelId="{03FC2B6E-1FD8-418A-A771-EB0C5A5B45B1}" type="presOf" srcId="{B43011DA-1A63-434B-9096-93626AE62831}" destId="{8371BA1D-E198-480E-B1A4-9D24FAA72036}" srcOrd="0" destOrd="0" presId="urn:microsoft.com/office/officeart/2005/8/layout/hierarchy5"/>
    <dgm:cxn modelId="{A0C5BC99-ADFA-4EBA-A7A0-E1151F2C019C}" srcId="{46CA5E53-D523-454E-9D70-87EF75160F8B}" destId="{EBE8A2A7-F1B8-4AC0-A14B-E59649E43118}" srcOrd="4" destOrd="0" parTransId="{E3B95576-4084-4A1D-9376-4952D63D363E}" sibTransId="{F7B0DCFF-28D4-4DF0-9581-DDBDB8A8E3DB}"/>
    <dgm:cxn modelId="{FAC9B489-87CF-4D15-A529-CBA7523C6FE0}" type="presOf" srcId="{36B1FC55-2956-4063-999D-34DC48AA3026}" destId="{697A2C9D-ACAF-483D-9840-6E44059E1C60}" srcOrd="0" destOrd="0" presId="urn:microsoft.com/office/officeart/2005/8/layout/hierarchy5"/>
    <dgm:cxn modelId="{A72D51A3-72F9-48D9-BF6A-776E0E71E7A7}" type="presOf" srcId="{A83415E4-6C04-4A21-9D20-9985618FDF85}" destId="{00AED848-D02E-47BE-BD86-D4608F5288AA}" srcOrd="0" destOrd="0" presId="urn:microsoft.com/office/officeart/2005/8/layout/hierarchy5"/>
    <dgm:cxn modelId="{4A4DA1B5-D190-43E5-8444-D5C838EDCE9D}" srcId="{46CA5E53-D523-454E-9D70-87EF75160F8B}" destId="{D5B032D1-AC3E-4C44-9C96-3B6C0018F443}" srcOrd="2" destOrd="0" parTransId="{705ACB8B-DF64-44E1-AB07-85C4F07ED193}" sibTransId="{5BB5ABD2-AF0D-4176-86A7-A2FA2F5CCB77}"/>
    <dgm:cxn modelId="{61566613-C04A-4B39-9515-67B8815276BF}" type="presOf" srcId="{581B2C4D-99BD-479A-BEEF-AE77769837B2}" destId="{D895EDBA-86BE-4B47-933B-25BBFFBF1943}" srcOrd="1" destOrd="0" presId="urn:microsoft.com/office/officeart/2005/8/layout/hierarchy5"/>
    <dgm:cxn modelId="{F8A3E8B3-9A98-4ACD-A5EC-6635C5CD4D18}" srcId="{19A545F5-DD0F-492F-96E2-323F2484DC1E}" destId="{E7DD0C75-A44A-42CE-ABE8-AF32AA5877C0}" srcOrd="0" destOrd="0" parTransId="{A1EE9191-6E27-4C19-B687-AE4D3A20258D}" sibTransId="{06E7DDA6-9126-49DC-AA6C-C0590276100F}"/>
    <dgm:cxn modelId="{6C993B82-D851-40B7-AAC9-D267D731B089}" type="presOf" srcId="{B43011DA-1A63-434B-9096-93626AE62831}" destId="{24398905-4566-4298-8623-087C1F3A0E4F}" srcOrd="1" destOrd="0" presId="urn:microsoft.com/office/officeart/2005/8/layout/hierarchy5"/>
    <dgm:cxn modelId="{7C78AD61-451E-4289-A065-D94AA82E8131}" srcId="{5E17F719-EDE3-45D5-96EF-CC0555A0ED4F}" destId="{AC9B9E9C-EB32-478B-9C0F-31EA5D761EF0}" srcOrd="0" destOrd="0" parTransId="{C8779489-3D75-43E2-8A07-4BCD469281FF}" sibTransId="{EE4CE8F7-29BD-4E4F-9652-8A75AC1D65E4}"/>
    <dgm:cxn modelId="{A8655E33-165A-468A-83A6-66E76DF4B6F8}" srcId="{5E17F719-EDE3-45D5-96EF-CC0555A0ED4F}" destId="{E9975CB9-8D28-4DA4-8F42-D5F260ABDE57}" srcOrd="2" destOrd="0" parTransId="{36B1FC55-2956-4063-999D-34DC48AA3026}" sibTransId="{59B0719D-89F8-4B3C-A9FF-2B93E2B6A600}"/>
    <dgm:cxn modelId="{7045904D-6608-4B94-9509-54B97EED76EE}" type="presParOf" srcId="{8EBBD0AF-A2FC-4F1D-9DC5-D345AB1026E9}" destId="{FCD95A6E-7A05-475C-85F7-FF2691E7CAAA}" srcOrd="0" destOrd="0" presId="urn:microsoft.com/office/officeart/2005/8/layout/hierarchy5"/>
    <dgm:cxn modelId="{1027AEE1-1E04-4EE7-B780-0F177ACBB08E}" type="presParOf" srcId="{FCD95A6E-7A05-475C-85F7-FF2691E7CAAA}" destId="{6D30CE75-22F4-41BD-BFFD-317D4062A70A}" srcOrd="0" destOrd="0" presId="urn:microsoft.com/office/officeart/2005/8/layout/hierarchy5"/>
    <dgm:cxn modelId="{79F7B18F-B625-4421-A654-E037E4AB9BBD}" type="presParOf" srcId="{FCD95A6E-7A05-475C-85F7-FF2691E7CAAA}" destId="{201BD2D4-C3B9-4585-9F58-32A81C53F6CF}" srcOrd="1" destOrd="0" presId="urn:microsoft.com/office/officeart/2005/8/layout/hierarchy5"/>
    <dgm:cxn modelId="{4B9E1180-6448-4F93-839F-E1A99F8CE87A}" type="presParOf" srcId="{201BD2D4-C3B9-4585-9F58-32A81C53F6CF}" destId="{B8BFA5B7-54AE-455D-B466-9A89533789D4}" srcOrd="0" destOrd="0" presId="urn:microsoft.com/office/officeart/2005/8/layout/hierarchy5"/>
    <dgm:cxn modelId="{7976F7BA-9D32-4F6E-8634-F4AC3B419335}" type="presParOf" srcId="{B8BFA5B7-54AE-455D-B466-9A89533789D4}" destId="{F7CE96AA-8C8B-4EE9-96F8-7A8F73139D3B}" srcOrd="0" destOrd="0" presId="urn:microsoft.com/office/officeart/2005/8/layout/hierarchy5"/>
    <dgm:cxn modelId="{DC211A5A-C56C-45F9-B71B-72A2CDFAED8D}" type="presParOf" srcId="{B8BFA5B7-54AE-455D-B466-9A89533789D4}" destId="{C31C3FA3-DBAA-42F9-9489-54B0D4A014C5}" srcOrd="1" destOrd="0" presId="urn:microsoft.com/office/officeart/2005/8/layout/hierarchy5"/>
    <dgm:cxn modelId="{1C0C02C1-98D5-41FD-8FCC-327E52BEE512}" type="presParOf" srcId="{C31C3FA3-DBAA-42F9-9489-54B0D4A014C5}" destId="{782F41A0-146C-48C7-8DE2-838397EC4281}" srcOrd="0" destOrd="0" presId="urn:microsoft.com/office/officeart/2005/8/layout/hierarchy5"/>
    <dgm:cxn modelId="{548E1DC1-88A0-45A5-BCE5-132993DB23B5}" type="presParOf" srcId="{782F41A0-146C-48C7-8DE2-838397EC4281}" destId="{A0CFEEBB-2800-470D-91C1-BC8EF1CB32E1}" srcOrd="0" destOrd="0" presId="urn:microsoft.com/office/officeart/2005/8/layout/hierarchy5"/>
    <dgm:cxn modelId="{F87906ED-D842-4468-A889-73FEAD5AA134}" type="presParOf" srcId="{C31C3FA3-DBAA-42F9-9489-54B0D4A014C5}" destId="{13D1C198-E1DC-4EEA-B6CB-3E1721791D23}" srcOrd="1" destOrd="0" presId="urn:microsoft.com/office/officeart/2005/8/layout/hierarchy5"/>
    <dgm:cxn modelId="{D170D46E-D98F-4275-B627-3B756F7C8FFE}" type="presParOf" srcId="{13D1C198-E1DC-4EEA-B6CB-3E1721791D23}" destId="{8256D4FA-2CA2-4427-8931-457824FC54F0}" srcOrd="0" destOrd="0" presId="urn:microsoft.com/office/officeart/2005/8/layout/hierarchy5"/>
    <dgm:cxn modelId="{1CDF505F-9245-469C-BA74-DB550D976678}" type="presParOf" srcId="{13D1C198-E1DC-4EEA-B6CB-3E1721791D23}" destId="{DC36D38A-AAB4-4FDA-8483-AE34868A9F96}" srcOrd="1" destOrd="0" presId="urn:microsoft.com/office/officeart/2005/8/layout/hierarchy5"/>
    <dgm:cxn modelId="{CA38C09F-FCFC-416E-A203-81A9EEFB19DF}" type="presParOf" srcId="{DC36D38A-AAB4-4FDA-8483-AE34868A9F96}" destId="{39FA178B-7DF8-4670-83D0-217FD5DB12E1}" srcOrd="0" destOrd="0" presId="urn:microsoft.com/office/officeart/2005/8/layout/hierarchy5"/>
    <dgm:cxn modelId="{662D2F32-6FA9-43A9-A9B0-56469C4BD478}" type="presParOf" srcId="{39FA178B-7DF8-4670-83D0-217FD5DB12E1}" destId="{2B9A35A6-0CF9-4E40-A18C-7194E26F55C5}" srcOrd="0" destOrd="0" presId="urn:microsoft.com/office/officeart/2005/8/layout/hierarchy5"/>
    <dgm:cxn modelId="{104BFA4E-4F94-4D15-BE04-90F6D8F8E138}" type="presParOf" srcId="{DC36D38A-AAB4-4FDA-8483-AE34868A9F96}" destId="{D7AC8A36-3379-43B7-8A55-296750E0D91F}" srcOrd="1" destOrd="0" presId="urn:microsoft.com/office/officeart/2005/8/layout/hierarchy5"/>
    <dgm:cxn modelId="{37A24DD1-D86C-404F-93ED-4F55232B48E8}" type="presParOf" srcId="{D7AC8A36-3379-43B7-8A55-296750E0D91F}" destId="{9B9713D0-AEE6-48A2-B07B-77379B208802}" srcOrd="0" destOrd="0" presId="urn:microsoft.com/office/officeart/2005/8/layout/hierarchy5"/>
    <dgm:cxn modelId="{66B798DD-BBA1-43EA-9771-6E64DBA13DCA}" type="presParOf" srcId="{D7AC8A36-3379-43B7-8A55-296750E0D91F}" destId="{BB0E52CC-CCCC-4470-A29A-6F6CACB32E34}" srcOrd="1" destOrd="0" presId="urn:microsoft.com/office/officeart/2005/8/layout/hierarchy5"/>
    <dgm:cxn modelId="{33997A81-929B-449B-971E-1098A35931AA}" type="presParOf" srcId="{DC36D38A-AAB4-4FDA-8483-AE34868A9F96}" destId="{646A9CCA-469E-45FB-869F-3C29C4E4B56A}" srcOrd="2" destOrd="0" presId="urn:microsoft.com/office/officeart/2005/8/layout/hierarchy5"/>
    <dgm:cxn modelId="{BD0B40E8-D3C3-484D-BE6D-9A3A5C0AE298}" type="presParOf" srcId="{646A9CCA-469E-45FB-869F-3C29C4E4B56A}" destId="{75453860-ED22-4426-823E-430756E14968}" srcOrd="0" destOrd="0" presId="urn:microsoft.com/office/officeart/2005/8/layout/hierarchy5"/>
    <dgm:cxn modelId="{DCE23C25-8C94-496E-BD75-7BBB53060A2F}" type="presParOf" srcId="{DC36D38A-AAB4-4FDA-8483-AE34868A9F96}" destId="{776565D0-7807-4020-B499-0F31A6447392}" srcOrd="3" destOrd="0" presId="urn:microsoft.com/office/officeart/2005/8/layout/hierarchy5"/>
    <dgm:cxn modelId="{70453B5A-4077-40A7-A8F2-CA5FF0924788}" type="presParOf" srcId="{776565D0-7807-4020-B499-0F31A6447392}" destId="{D0FB3787-E71C-4CD2-9832-6E49378E8A8F}" srcOrd="0" destOrd="0" presId="urn:microsoft.com/office/officeart/2005/8/layout/hierarchy5"/>
    <dgm:cxn modelId="{C2BFA4B1-2839-4B12-834B-147EBEFBD898}" type="presParOf" srcId="{776565D0-7807-4020-B499-0F31A6447392}" destId="{418B0442-D245-4E1A-A2CE-B6B5230EA88C}" srcOrd="1" destOrd="0" presId="urn:microsoft.com/office/officeart/2005/8/layout/hierarchy5"/>
    <dgm:cxn modelId="{0992A37F-77AE-4637-9943-CA9B0F871F45}" type="presParOf" srcId="{DC36D38A-AAB4-4FDA-8483-AE34868A9F96}" destId="{697A2C9D-ACAF-483D-9840-6E44059E1C60}" srcOrd="4" destOrd="0" presId="urn:microsoft.com/office/officeart/2005/8/layout/hierarchy5"/>
    <dgm:cxn modelId="{E5CA0F59-907B-40C8-9E42-66BF617C5AD7}" type="presParOf" srcId="{697A2C9D-ACAF-483D-9840-6E44059E1C60}" destId="{B7475B98-81B8-4539-A1CF-4FED08C96904}" srcOrd="0" destOrd="0" presId="urn:microsoft.com/office/officeart/2005/8/layout/hierarchy5"/>
    <dgm:cxn modelId="{62B6FB38-A097-44E8-8372-534E24E99D8B}" type="presParOf" srcId="{DC36D38A-AAB4-4FDA-8483-AE34868A9F96}" destId="{00102D87-1DEB-49D4-BCD4-DFD2172EE342}" srcOrd="5" destOrd="0" presId="urn:microsoft.com/office/officeart/2005/8/layout/hierarchy5"/>
    <dgm:cxn modelId="{E30C4778-0745-4135-98E2-7652F798F3E9}" type="presParOf" srcId="{00102D87-1DEB-49D4-BCD4-DFD2172EE342}" destId="{ABB0A3D2-75DE-4616-92A3-E634A2944E71}" srcOrd="0" destOrd="0" presId="urn:microsoft.com/office/officeart/2005/8/layout/hierarchy5"/>
    <dgm:cxn modelId="{42168E1B-1E4A-4AC3-9C88-F8F43D318C6D}" type="presParOf" srcId="{00102D87-1DEB-49D4-BCD4-DFD2172EE342}" destId="{51D4DB67-138E-44F2-B505-868FF32CBF65}" srcOrd="1" destOrd="0" presId="urn:microsoft.com/office/officeart/2005/8/layout/hierarchy5"/>
    <dgm:cxn modelId="{9AE14CDE-C47D-4921-9740-BA5AD23E6EE3}" type="presParOf" srcId="{DC36D38A-AAB4-4FDA-8483-AE34868A9F96}" destId="{9E7D3845-8D2E-4DA4-B299-651CEFEA0B68}" srcOrd="6" destOrd="0" presId="urn:microsoft.com/office/officeart/2005/8/layout/hierarchy5"/>
    <dgm:cxn modelId="{3C1899D5-1F75-40F5-AF72-7AE2504DD8C6}" type="presParOf" srcId="{9E7D3845-8D2E-4DA4-B299-651CEFEA0B68}" destId="{05B6C376-17C8-4F40-9BA2-2B4755091613}" srcOrd="0" destOrd="0" presId="urn:microsoft.com/office/officeart/2005/8/layout/hierarchy5"/>
    <dgm:cxn modelId="{C92F3536-8A8E-4B15-986B-CB59738BE98E}" type="presParOf" srcId="{DC36D38A-AAB4-4FDA-8483-AE34868A9F96}" destId="{67FEC396-0B58-4ED4-B4CC-7CC749621DCF}" srcOrd="7" destOrd="0" presId="urn:microsoft.com/office/officeart/2005/8/layout/hierarchy5"/>
    <dgm:cxn modelId="{2FB88DF3-5E2F-41F5-AEDB-13A3229B6EB0}" type="presParOf" srcId="{67FEC396-0B58-4ED4-B4CC-7CC749621DCF}" destId="{A7565CA5-8C8B-48DD-9477-A26DD7A74EA2}" srcOrd="0" destOrd="0" presId="urn:microsoft.com/office/officeart/2005/8/layout/hierarchy5"/>
    <dgm:cxn modelId="{75F4E6C0-A560-491D-B141-96295FBCD417}" type="presParOf" srcId="{67FEC396-0B58-4ED4-B4CC-7CC749621DCF}" destId="{853B9906-73D0-4E97-A316-DC4414457D71}" srcOrd="1" destOrd="0" presId="urn:microsoft.com/office/officeart/2005/8/layout/hierarchy5"/>
    <dgm:cxn modelId="{531537EC-2B6E-460C-A0C0-A3FAC87FCD27}" type="presParOf" srcId="{DC36D38A-AAB4-4FDA-8483-AE34868A9F96}" destId="{2BBED418-9047-4013-8619-4EDC30F95932}" srcOrd="8" destOrd="0" presId="urn:microsoft.com/office/officeart/2005/8/layout/hierarchy5"/>
    <dgm:cxn modelId="{7CC00EAD-1FA4-4849-910B-91926F9E1DFD}" type="presParOf" srcId="{2BBED418-9047-4013-8619-4EDC30F95932}" destId="{E77234B5-9763-4589-B8CA-B3568F69866A}" srcOrd="0" destOrd="0" presId="urn:microsoft.com/office/officeart/2005/8/layout/hierarchy5"/>
    <dgm:cxn modelId="{C665801A-3B1B-4B9C-A64A-DEB76438004F}" type="presParOf" srcId="{DC36D38A-AAB4-4FDA-8483-AE34868A9F96}" destId="{65923042-D986-437D-88A6-8B7AF47C8E15}" srcOrd="9" destOrd="0" presId="urn:microsoft.com/office/officeart/2005/8/layout/hierarchy5"/>
    <dgm:cxn modelId="{8D75CDAA-ADD2-4134-8EC2-5FC8FB4DB1B8}" type="presParOf" srcId="{65923042-D986-437D-88A6-8B7AF47C8E15}" destId="{BBBE79C7-0A85-43FD-ADCF-16AD817EBFDA}" srcOrd="0" destOrd="0" presId="urn:microsoft.com/office/officeart/2005/8/layout/hierarchy5"/>
    <dgm:cxn modelId="{30D5017D-96A8-48CC-AE3D-2E6C5DCC9340}" type="presParOf" srcId="{65923042-D986-437D-88A6-8B7AF47C8E15}" destId="{3478A25C-0E51-4587-8330-83E87BFE80D7}" srcOrd="1" destOrd="0" presId="urn:microsoft.com/office/officeart/2005/8/layout/hierarchy5"/>
    <dgm:cxn modelId="{447762D9-2388-48A2-B996-01B853DCA3C2}" type="presParOf" srcId="{C31C3FA3-DBAA-42F9-9489-54B0D4A014C5}" destId="{9DDDE59E-BA9C-4796-B813-C1F9F087744F}" srcOrd="2" destOrd="0" presId="urn:microsoft.com/office/officeart/2005/8/layout/hierarchy5"/>
    <dgm:cxn modelId="{9C1CD8CE-EABE-48AA-89E6-C1A86596931D}" type="presParOf" srcId="{9DDDE59E-BA9C-4796-B813-C1F9F087744F}" destId="{A495737A-4BD6-4938-9B7C-48FE4D94281A}" srcOrd="0" destOrd="0" presId="urn:microsoft.com/office/officeart/2005/8/layout/hierarchy5"/>
    <dgm:cxn modelId="{E9C59C73-A826-4621-9DE6-F03591C9F3F1}" type="presParOf" srcId="{C31C3FA3-DBAA-42F9-9489-54B0D4A014C5}" destId="{53641CF3-80B2-4E21-8E1F-ADD890BBE05F}" srcOrd="3" destOrd="0" presId="urn:microsoft.com/office/officeart/2005/8/layout/hierarchy5"/>
    <dgm:cxn modelId="{F91D99B1-A72B-4925-B7AF-C2B5256B6084}" type="presParOf" srcId="{53641CF3-80B2-4E21-8E1F-ADD890BBE05F}" destId="{00AED848-D02E-47BE-BD86-D4608F5288AA}" srcOrd="0" destOrd="0" presId="urn:microsoft.com/office/officeart/2005/8/layout/hierarchy5"/>
    <dgm:cxn modelId="{456B1E3F-8CD1-4B56-90F3-C02B12B4D9B3}" type="presParOf" srcId="{53641CF3-80B2-4E21-8E1F-ADD890BBE05F}" destId="{2AFBA594-B227-4CD9-ACEC-DBFE95EDC7A3}" srcOrd="1" destOrd="0" presId="urn:microsoft.com/office/officeart/2005/8/layout/hierarchy5"/>
    <dgm:cxn modelId="{1DA99860-3AEC-4F9B-A196-D02EC3BB5ACF}" type="presParOf" srcId="{2AFBA594-B227-4CD9-ACEC-DBFE95EDC7A3}" destId="{7EC2A983-86E4-49CA-8C51-B70FA434741F}" srcOrd="0" destOrd="0" presId="urn:microsoft.com/office/officeart/2005/8/layout/hierarchy5"/>
    <dgm:cxn modelId="{1202B681-BA20-47E5-8F26-B4000511AF8E}" type="presParOf" srcId="{7EC2A983-86E4-49CA-8C51-B70FA434741F}" destId="{6ED0C570-281D-43FC-BD44-B6EEC437389E}" srcOrd="0" destOrd="0" presId="urn:microsoft.com/office/officeart/2005/8/layout/hierarchy5"/>
    <dgm:cxn modelId="{9B29ED09-B434-4F3F-B6F1-29D57EA9578D}" type="presParOf" srcId="{2AFBA594-B227-4CD9-ACEC-DBFE95EDC7A3}" destId="{4D9CE2F2-79DA-4800-B1CD-E37FFCCFE45A}" srcOrd="1" destOrd="0" presId="urn:microsoft.com/office/officeart/2005/8/layout/hierarchy5"/>
    <dgm:cxn modelId="{44F2810A-5B02-4F24-833C-4F43AE9D3557}" type="presParOf" srcId="{4D9CE2F2-79DA-4800-B1CD-E37FFCCFE45A}" destId="{53071431-6A65-4789-A93B-3D3AEB121517}" srcOrd="0" destOrd="0" presId="urn:microsoft.com/office/officeart/2005/8/layout/hierarchy5"/>
    <dgm:cxn modelId="{DE15D06B-37A9-413B-BCA9-F2E637D242CE}" type="presParOf" srcId="{4D9CE2F2-79DA-4800-B1CD-E37FFCCFE45A}" destId="{6691CB12-D2C2-4AA0-BF60-BB084948F64D}" srcOrd="1" destOrd="0" presId="urn:microsoft.com/office/officeart/2005/8/layout/hierarchy5"/>
    <dgm:cxn modelId="{DCE2CA44-6DA9-4D66-9907-8E6F81ABF7CA}" type="presParOf" srcId="{2AFBA594-B227-4CD9-ACEC-DBFE95EDC7A3}" destId="{D37AD6B2-AEE6-43C2-8633-13B2B747984E}" srcOrd="2" destOrd="0" presId="urn:microsoft.com/office/officeart/2005/8/layout/hierarchy5"/>
    <dgm:cxn modelId="{0543B9C0-2874-45DF-B2D4-B20736A98E1A}" type="presParOf" srcId="{D37AD6B2-AEE6-43C2-8633-13B2B747984E}" destId="{052D2C4C-D60E-45EE-A8B3-3943598C9A94}" srcOrd="0" destOrd="0" presId="urn:microsoft.com/office/officeart/2005/8/layout/hierarchy5"/>
    <dgm:cxn modelId="{AEF8FA17-42FC-4E47-B707-7B33005AFFF0}" type="presParOf" srcId="{2AFBA594-B227-4CD9-ACEC-DBFE95EDC7A3}" destId="{B43A4251-EBED-4E00-8DA6-23C7D8AB81A6}" srcOrd="3" destOrd="0" presId="urn:microsoft.com/office/officeart/2005/8/layout/hierarchy5"/>
    <dgm:cxn modelId="{79519D18-1615-4EF4-A44A-A36AEF6A6330}" type="presParOf" srcId="{B43A4251-EBED-4E00-8DA6-23C7D8AB81A6}" destId="{E865D188-2B04-4910-9E5A-EAABE71BBAFF}" srcOrd="0" destOrd="0" presId="urn:microsoft.com/office/officeart/2005/8/layout/hierarchy5"/>
    <dgm:cxn modelId="{55CE8B90-2940-47FD-BF34-23D1DD81511A}" type="presParOf" srcId="{B43A4251-EBED-4E00-8DA6-23C7D8AB81A6}" destId="{F875DF8F-FC13-45E8-99F5-8696C33D556D}" srcOrd="1" destOrd="0" presId="urn:microsoft.com/office/officeart/2005/8/layout/hierarchy5"/>
    <dgm:cxn modelId="{5E9247A5-5D03-4FA5-B8C6-1B6CFF7F2E97}" type="presParOf" srcId="{2AFBA594-B227-4CD9-ACEC-DBFE95EDC7A3}" destId="{8371BA1D-E198-480E-B1A4-9D24FAA72036}" srcOrd="4" destOrd="0" presId="urn:microsoft.com/office/officeart/2005/8/layout/hierarchy5"/>
    <dgm:cxn modelId="{BC15B78D-7E27-415E-A442-CC8C9DFFA44E}" type="presParOf" srcId="{8371BA1D-E198-480E-B1A4-9D24FAA72036}" destId="{24398905-4566-4298-8623-087C1F3A0E4F}" srcOrd="0" destOrd="0" presId="urn:microsoft.com/office/officeart/2005/8/layout/hierarchy5"/>
    <dgm:cxn modelId="{484A67C5-6DAA-4B59-9D2F-9437C659EDB4}" type="presParOf" srcId="{2AFBA594-B227-4CD9-ACEC-DBFE95EDC7A3}" destId="{209F33B9-EDD8-48DD-804D-76563FCC5A66}" srcOrd="5" destOrd="0" presId="urn:microsoft.com/office/officeart/2005/8/layout/hierarchy5"/>
    <dgm:cxn modelId="{76085A55-488A-46C6-B3D1-72F1ADF05A1A}" type="presParOf" srcId="{209F33B9-EDD8-48DD-804D-76563FCC5A66}" destId="{235DBBCB-23EE-46BD-9840-25CF3B637FBE}" srcOrd="0" destOrd="0" presId="urn:microsoft.com/office/officeart/2005/8/layout/hierarchy5"/>
    <dgm:cxn modelId="{F4383183-FB67-4924-8BCE-1BADEE9B71A8}" type="presParOf" srcId="{209F33B9-EDD8-48DD-804D-76563FCC5A66}" destId="{3E18DCF9-AB12-4CD2-A82E-CD6B9CCE1560}" srcOrd="1" destOrd="0" presId="urn:microsoft.com/office/officeart/2005/8/layout/hierarchy5"/>
    <dgm:cxn modelId="{AEBADBDC-86AB-4C5D-A06E-EEA4A28AF242}" type="presParOf" srcId="{C31C3FA3-DBAA-42F9-9489-54B0D4A014C5}" destId="{E6C5D122-5369-4025-B64D-BE80CBE189EA}" srcOrd="4" destOrd="0" presId="urn:microsoft.com/office/officeart/2005/8/layout/hierarchy5"/>
    <dgm:cxn modelId="{B4045884-15EB-4D0D-80D3-6F461A70F89A}" type="presParOf" srcId="{E6C5D122-5369-4025-B64D-BE80CBE189EA}" destId="{426380E5-57A0-4C3C-AEB7-2B8E9FC77948}" srcOrd="0" destOrd="0" presId="urn:microsoft.com/office/officeart/2005/8/layout/hierarchy5"/>
    <dgm:cxn modelId="{FF05AD93-5ED1-49DD-BD6E-397E98F47FC1}" type="presParOf" srcId="{C31C3FA3-DBAA-42F9-9489-54B0D4A014C5}" destId="{441C61B2-DF92-4316-9E5D-5A8520FBC147}" srcOrd="5" destOrd="0" presId="urn:microsoft.com/office/officeart/2005/8/layout/hierarchy5"/>
    <dgm:cxn modelId="{E72B88BE-008B-4D15-9C9F-B41CD46527EB}" type="presParOf" srcId="{441C61B2-DF92-4316-9E5D-5A8520FBC147}" destId="{E1FE80A3-9260-4AB4-B11A-7492E1942AE6}" srcOrd="0" destOrd="0" presId="urn:microsoft.com/office/officeart/2005/8/layout/hierarchy5"/>
    <dgm:cxn modelId="{0278503C-AA7D-41C2-96F9-293ED0E9B186}" type="presParOf" srcId="{441C61B2-DF92-4316-9E5D-5A8520FBC147}" destId="{27141FDD-70E2-40A6-BD1D-6DF328068E0B}" srcOrd="1" destOrd="0" presId="urn:microsoft.com/office/officeart/2005/8/layout/hierarchy5"/>
    <dgm:cxn modelId="{0ACAA7D3-3D3E-4CA7-9798-172FFD92BD4B}" type="presParOf" srcId="{27141FDD-70E2-40A6-BD1D-6DF328068E0B}" destId="{D2F0EE13-B5DF-4B3D-85CF-7896FF4B5E81}" srcOrd="0" destOrd="0" presId="urn:microsoft.com/office/officeart/2005/8/layout/hierarchy5"/>
    <dgm:cxn modelId="{C03C836F-5C26-47AB-B3BA-DBEBA2EF1117}" type="presParOf" srcId="{D2F0EE13-B5DF-4B3D-85CF-7896FF4B5E81}" destId="{134C76D8-5557-4100-999A-EA41E3271DC5}" srcOrd="0" destOrd="0" presId="urn:microsoft.com/office/officeart/2005/8/layout/hierarchy5"/>
    <dgm:cxn modelId="{50B12D3B-2126-4A7F-9679-A87FE68EB584}" type="presParOf" srcId="{27141FDD-70E2-40A6-BD1D-6DF328068E0B}" destId="{FDF5C094-85B3-42A0-B9DE-E0F9F32B82C5}" srcOrd="1" destOrd="0" presId="urn:microsoft.com/office/officeart/2005/8/layout/hierarchy5"/>
    <dgm:cxn modelId="{12EDB682-F14B-48E4-A5A8-7ADE38DA730F}" type="presParOf" srcId="{FDF5C094-85B3-42A0-B9DE-E0F9F32B82C5}" destId="{FFB81A09-3714-4077-BA7D-36FCDA244619}" srcOrd="0" destOrd="0" presId="urn:microsoft.com/office/officeart/2005/8/layout/hierarchy5"/>
    <dgm:cxn modelId="{AE14D856-A31C-4082-AA58-7D1FAC5542A4}" type="presParOf" srcId="{FDF5C094-85B3-42A0-B9DE-E0F9F32B82C5}" destId="{DDB3A575-F5CF-42BB-A11D-2F63725106AF}" srcOrd="1" destOrd="0" presId="urn:microsoft.com/office/officeart/2005/8/layout/hierarchy5"/>
    <dgm:cxn modelId="{4AC923B9-5DE6-416D-AB10-74CD0035E89B}" type="presParOf" srcId="{C31C3FA3-DBAA-42F9-9489-54B0D4A014C5}" destId="{F8F0EF4B-C183-4A6E-8D4B-D55A4B9EBD47}" srcOrd="6" destOrd="0" presId="urn:microsoft.com/office/officeart/2005/8/layout/hierarchy5"/>
    <dgm:cxn modelId="{E9BFA2B6-68FF-4BDB-8DB9-EB3829A41CBB}" type="presParOf" srcId="{F8F0EF4B-C183-4A6E-8D4B-D55A4B9EBD47}" destId="{7A2ED772-CF14-4492-8E27-6EE5A2BE4DE1}" srcOrd="0" destOrd="0" presId="urn:microsoft.com/office/officeart/2005/8/layout/hierarchy5"/>
    <dgm:cxn modelId="{C31B379F-9977-4BBA-9DBB-E4E7083F0E89}" type="presParOf" srcId="{C31C3FA3-DBAA-42F9-9489-54B0D4A014C5}" destId="{1F607016-3771-451D-8E26-902A6CAB92AD}" srcOrd="7" destOrd="0" presId="urn:microsoft.com/office/officeart/2005/8/layout/hierarchy5"/>
    <dgm:cxn modelId="{018268EB-A711-4B07-B131-B8E0B05D67E5}" type="presParOf" srcId="{1F607016-3771-451D-8E26-902A6CAB92AD}" destId="{D5E391EC-270B-4BAC-8137-7737575AF51A}" srcOrd="0" destOrd="0" presId="urn:microsoft.com/office/officeart/2005/8/layout/hierarchy5"/>
    <dgm:cxn modelId="{D5D79E26-89F6-4875-A892-ED63865A7EA9}" type="presParOf" srcId="{1F607016-3771-451D-8E26-902A6CAB92AD}" destId="{036A10C5-5BBF-41E2-8ECF-5754C8F69515}" srcOrd="1" destOrd="0" presId="urn:microsoft.com/office/officeart/2005/8/layout/hierarchy5"/>
    <dgm:cxn modelId="{D2D007A5-095A-4E19-9794-F32B99EA91ED}" type="presParOf" srcId="{036A10C5-5BBF-41E2-8ECF-5754C8F69515}" destId="{65105C19-A979-4587-971D-1A500D8C0C42}" srcOrd="0" destOrd="0" presId="urn:microsoft.com/office/officeart/2005/8/layout/hierarchy5"/>
    <dgm:cxn modelId="{A54E6037-44C2-4086-AC80-6B6B48623E35}" type="presParOf" srcId="{65105C19-A979-4587-971D-1A500D8C0C42}" destId="{468B746F-B3EC-42EF-9F61-33B755E74532}" srcOrd="0" destOrd="0" presId="urn:microsoft.com/office/officeart/2005/8/layout/hierarchy5"/>
    <dgm:cxn modelId="{CF3FDD6C-6CB5-4B04-9A96-0322AA869A2A}" type="presParOf" srcId="{036A10C5-5BBF-41E2-8ECF-5754C8F69515}" destId="{13627DEC-BACD-4148-B147-8A3B99A9EF40}" srcOrd="1" destOrd="0" presId="urn:microsoft.com/office/officeart/2005/8/layout/hierarchy5"/>
    <dgm:cxn modelId="{CDD8E4DC-1782-4902-8979-3DAD46CE53BC}" type="presParOf" srcId="{13627DEC-BACD-4148-B147-8A3B99A9EF40}" destId="{DB071D1D-5B1E-4EA9-A423-53712C445E93}" srcOrd="0" destOrd="0" presId="urn:microsoft.com/office/officeart/2005/8/layout/hierarchy5"/>
    <dgm:cxn modelId="{F5411F99-FA7C-4015-A819-49B1D77F71CF}" type="presParOf" srcId="{13627DEC-BACD-4148-B147-8A3B99A9EF40}" destId="{F431C076-4C46-49B6-A664-91EEBC47A115}" srcOrd="1" destOrd="0" presId="urn:microsoft.com/office/officeart/2005/8/layout/hierarchy5"/>
    <dgm:cxn modelId="{A9453BEF-2BB9-410A-982E-1AE2CCD298B3}" type="presParOf" srcId="{036A10C5-5BBF-41E2-8ECF-5754C8F69515}" destId="{0A797EB2-35BA-46F7-9BE4-F2E4EEB2E24C}" srcOrd="2" destOrd="0" presId="urn:microsoft.com/office/officeart/2005/8/layout/hierarchy5"/>
    <dgm:cxn modelId="{CE625B2E-386F-41EA-85C4-11E65C8F77CD}" type="presParOf" srcId="{0A797EB2-35BA-46F7-9BE4-F2E4EEB2E24C}" destId="{3F69AF57-8084-4245-A3B3-AC981AAC5C50}" srcOrd="0" destOrd="0" presId="urn:microsoft.com/office/officeart/2005/8/layout/hierarchy5"/>
    <dgm:cxn modelId="{219ECB47-6666-4CAA-B56C-A4A2CBAD7F3D}" type="presParOf" srcId="{036A10C5-5BBF-41E2-8ECF-5754C8F69515}" destId="{E89BE8AB-ACDE-4F7B-9050-3DBD5640D456}" srcOrd="3" destOrd="0" presId="urn:microsoft.com/office/officeart/2005/8/layout/hierarchy5"/>
    <dgm:cxn modelId="{E7ACF127-0C7B-4C38-AFA6-96515D4F612B}" type="presParOf" srcId="{E89BE8AB-ACDE-4F7B-9050-3DBD5640D456}" destId="{D17875FB-66DB-412D-ACB4-DBA0601CFC9A}" srcOrd="0" destOrd="0" presId="urn:microsoft.com/office/officeart/2005/8/layout/hierarchy5"/>
    <dgm:cxn modelId="{E94DB143-CBCE-4861-B351-E1C0F5375810}" type="presParOf" srcId="{E89BE8AB-ACDE-4F7B-9050-3DBD5640D456}" destId="{A3260E4A-4890-44BD-B9F5-39082867AEE5}" srcOrd="1" destOrd="0" presId="urn:microsoft.com/office/officeart/2005/8/layout/hierarchy5"/>
    <dgm:cxn modelId="{CB0AD680-FDF8-4177-82DB-5994BC815C30}" type="presParOf" srcId="{036A10C5-5BBF-41E2-8ECF-5754C8F69515}" destId="{C1F65630-C54F-4610-87A9-8BD2661390C6}" srcOrd="4" destOrd="0" presId="urn:microsoft.com/office/officeart/2005/8/layout/hierarchy5"/>
    <dgm:cxn modelId="{7AB93D47-A7AA-4DF1-AB13-C86BF5197A25}" type="presParOf" srcId="{C1F65630-C54F-4610-87A9-8BD2661390C6}" destId="{A7BED379-2FAD-43D0-B63D-8C6D7FE796E0}" srcOrd="0" destOrd="0" presId="urn:microsoft.com/office/officeart/2005/8/layout/hierarchy5"/>
    <dgm:cxn modelId="{F25EFA6F-89C6-48E7-9840-1FBCBA6CC412}" type="presParOf" srcId="{036A10C5-5BBF-41E2-8ECF-5754C8F69515}" destId="{F1FA5A43-CC5E-4A8F-8BA7-E1B141456B33}" srcOrd="5" destOrd="0" presId="urn:microsoft.com/office/officeart/2005/8/layout/hierarchy5"/>
    <dgm:cxn modelId="{0B834F00-7424-4A91-A9F5-14F24E5F368F}" type="presParOf" srcId="{F1FA5A43-CC5E-4A8F-8BA7-E1B141456B33}" destId="{90B4C148-F9F9-4834-A069-A702DC08EE95}" srcOrd="0" destOrd="0" presId="urn:microsoft.com/office/officeart/2005/8/layout/hierarchy5"/>
    <dgm:cxn modelId="{0AF94F65-DD48-4018-A4D2-BC759771491E}" type="presParOf" srcId="{F1FA5A43-CC5E-4A8F-8BA7-E1B141456B33}" destId="{4A672287-CDD5-4734-B78D-88FA503FBA32}" srcOrd="1" destOrd="0" presId="urn:microsoft.com/office/officeart/2005/8/layout/hierarchy5"/>
    <dgm:cxn modelId="{5A938D3E-B1D5-4929-B144-7312C083A92A}" type="presParOf" srcId="{C31C3FA3-DBAA-42F9-9489-54B0D4A014C5}" destId="{F461FF49-C7C0-4019-961C-9ED1FD03042E}" srcOrd="8" destOrd="0" presId="urn:microsoft.com/office/officeart/2005/8/layout/hierarchy5"/>
    <dgm:cxn modelId="{9F0B71D4-1485-4F98-A1B5-66D34CD6654A}" type="presParOf" srcId="{F461FF49-C7C0-4019-961C-9ED1FD03042E}" destId="{3B85A1C8-9597-452A-83BF-96321871AB3A}" srcOrd="0" destOrd="0" presId="urn:microsoft.com/office/officeart/2005/8/layout/hierarchy5"/>
    <dgm:cxn modelId="{F5E2965C-07B2-4332-A3C8-C4A7DAB4F702}" type="presParOf" srcId="{C31C3FA3-DBAA-42F9-9489-54B0D4A014C5}" destId="{968AA6BF-9D0C-40E5-8B04-ED5359BCB895}" srcOrd="9" destOrd="0" presId="urn:microsoft.com/office/officeart/2005/8/layout/hierarchy5"/>
    <dgm:cxn modelId="{4F31F755-6992-45FD-9EA8-6A5FB4FDB154}" type="presParOf" srcId="{968AA6BF-9D0C-40E5-8B04-ED5359BCB895}" destId="{3730CFAA-AD74-4B67-9DA1-0A621FDAE421}" srcOrd="0" destOrd="0" presId="urn:microsoft.com/office/officeart/2005/8/layout/hierarchy5"/>
    <dgm:cxn modelId="{54178DBE-593E-42AC-ADA9-69058BC0231B}" type="presParOf" srcId="{968AA6BF-9D0C-40E5-8B04-ED5359BCB895}" destId="{E8B64076-93FA-4FB5-BDA3-155E333CA1B2}" srcOrd="1" destOrd="0" presId="urn:microsoft.com/office/officeart/2005/8/layout/hierarchy5"/>
    <dgm:cxn modelId="{B80CEE6D-8D30-4372-9513-8C025D176D28}" type="presParOf" srcId="{8EBBD0AF-A2FC-4F1D-9DC5-D345AB1026E9}" destId="{37DD2E5C-9B86-4846-A586-220EF1697180}" srcOrd="1" destOrd="0" presId="urn:microsoft.com/office/officeart/2005/8/layout/hierarchy5"/>
    <dgm:cxn modelId="{90ED9686-636C-4E1E-8DF5-0034724C2D53}" type="presParOf" srcId="{37DD2E5C-9B86-4846-A586-220EF1697180}" destId="{39734812-0B7D-4116-8109-B1F33097A9CD}" srcOrd="0" destOrd="0" presId="urn:microsoft.com/office/officeart/2005/8/layout/hierarchy5"/>
    <dgm:cxn modelId="{81A09D8B-E052-4F70-81D2-1CA5C5E23A90}" type="presParOf" srcId="{39734812-0B7D-4116-8109-B1F33097A9CD}" destId="{6B1995A3-D640-41CF-AD07-BA50E7A2259F}" srcOrd="0" destOrd="0" presId="urn:microsoft.com/office/officeart/2005/8/layout/hierarchy5"/>
    <dgm:cxn modelId="{BB4AA5E3-066D-4C26-A2FF-75CFDE142944}" type="presParOf" srcId="{39734812-0B7D-4116-8109-B1F33097A9CD}" destId="{D895EDBA-86BE-4B47-933B-25BBFFBF1943}" srcOrd="1" destOrd="0" presId="urn:microsoft.com/office/officeart/2005/8/layout/hierarchy5"/>
    <dgm:cxn modelId="{B14E0EBD-7426-4894-B172-0F2496392BCE}" type="presParOf" srcId="{37DD2E5C-9B86-4846-A586-220EF1697180}" destId="{9C21D5DE-11E1-44BA-8FD7-A85830CE7518}" srcOrd="1" destOrd="0" presId="urn:microsoft.com/office/officeart/2005/8/layout/hierarchy5"/>
    <dgm:cxn modelId="{CB656CD8-C5E1-47DC-B128-B43DBFF6A346}" type="presParOf" srcId="{9C21D5DE-11E1-44BA-8FD7-A85830CE7518}" destId="{9A63F13B-0861-46BF-BBE7-9F076EA419E2}" srcOrd="0" destOrd="0" presId="urn:microsoft.com/office/officeart/2005/8/layout/hierarchy5"/>
    <dgm:cxn modelId="{29778CF2-B13B-4E78-AB9C-B2C66C739982}" type="presParOf" srcId="{37DD2E5C-9B86-4846-A586-220EF1697180}" destId="{4E541945-7577-4349-AAAC-CB435A6DC419}" srcOrd="2" destOrd="0" presId="urn:microsoft.com/office/officeart/2005/8/layout/hierarchy5"/>
    <dgm:cxn modelId="{26F5EAD8-422A-4CE3-9021-FCC54E20D57C}" type="presParOf" srcId="{4E541945-7577-4349-AAAC-CB435A6DC419}" destId="{B6C6C495-60DB-453D-A46E-672F965B9804}" srcOrd="0" destOrd="0" presId="urn:microsoft.com/office/officeart/2005/8/layout/hierarchy5"/>
    <dgm:cxn modelId="{17881F83-3B57-45B6-8AEF-8FC3A1622BC4}" type="presParOf" srcId="{4E541945-7577-4349-AAAC-CB435A6DC419}" destId="{8D730D95-2CA2-4CE7-969F-34322AB7AEFB}" srcOrd="1" destOrd="0" presId="urn:microsoft.com/office/officeart/2005/8/layout/hierarchy5"/>
    <dgm:cxn modelId="{2FE5E8D4-593B-49E4-B855-554747F159F9}" type="presParOf" srcId="{37DD2E5C-9B86-4846-A586-220EF1697180}" destId="{6A8FCB91-B215-49EF-9C94-10091A5777A4}" srcOrd="3" destOrd="0" presId="urn:microsoft.com/office/officeart/2005/8/layout/hierarchy5"/>
    <dgm:cxn modelId="{7487134E-409F-4AF1-BA27-3395D3297424}" type="presParOf" srcId="{6A8FCB91-B215-49EF-9C94-10091A5777A4}" destId="{14091C87-0517-402B-A5A5-A470F4DD5013}" srcOrd="0" destOrd="0" presId="urn:microsoft.com/office/officeart/2005/8/layout/hierarchy5"/>
    <dgm:cxn modelId="{3D663CC6-AEE9-43F2-B813-791D5C0068E8}" type="presParOf" srcId="{37DD2E5C-9B86-4846-A586-220EF1697180}" destId="{1A545A7D-FA6E-4FA4-A098-E8932EF0A4A8}" srcOrd="4" destOrd="0" presId="urn:microsoft.com/office/officeart/2005/8/layout/hierarchy5"/>
    <dgm:cxn modelId="{64F4D9E7-B56D-4E85-8C67-D638DF0238B7}" type="presParOf" srcId="{1A545A7D-FA6E-4FA4-A098-E8932EF0A4A8}" destId="{08C13935-BC41-48F1-BFAC-F5793A3CEAD5}" srcOrd="0" destOrd="0" presId="urn:microsoft.com/office/officeart/2005/8/layout/hierarchy5"/>
    <dgm:cxn modelId="{910855C5-61F5-406A-B33C-C7B5FB5C1196}" type="presParOf" srcId="{1A545A7D-FA6E-4FA4-A098-E8932EF0A4A8}" destId="{A010277F-21AC-42A5-915B-0CAAC36455B4}" srcOrd="1" destOrd="0" presId="urn:microsoft.com/office/officeart/2005/8/layout/hierarchy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400ED-0057-43FE-9FF8-1044C7F7D3EA}">
      <dsp:nvSpPr>
        <dsp:cNvPr id="0" name=""/>
        <dsp:cNvSpPr/>
      </dsp:nvSpPr>
      <dsp:spPr>
        <a:xfrm>
          <a:off x="2275879" y="1241783"/>
          <a:ext cx="953690" cy="953690"/>
        </a:xfrm>
        <a:prstGeom prst="ellipse">
          <a:avLst/>
        </a:prstGeom>
        <a:solidFill>
          <a:schemeClr val="accent2">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Local Plan 2012-2030</a:t>
          </a:r>
        </a:p>
      </dsp:txBody>
      <dsp:txXfrm>
        <a:off x="2415544" y="1381448"/>
        <a:ext cx="674360" cy="674360"/>
      </dsp:txXfrm>
    </dsp:sp>
    <dsp:sp modelId="{0876B9F6-F14D-4987-ADD1-220F501653DF}">
      <dsp:nvSpPr>
        <dsp:cNvPr id="0" name=""/>
        <dsp:cNvSpPr/>
      </dsp:nvSpPr>
      <dsp:spPr>
        <a:xfrm rot="16173599">
          <a:off x="2604689" y="1082884"/>
          <a:ext cx="286545" cy="31289"/>
        </a:xfrm>
        <a:custGeom>
          <a:avLst/>
          <a:gdLst/>
          <a:ahLst/>
          <a:cxnLst/>
          <a:rect l="0" t="0" r="0" b="0"/>
          <a:pathLst>
            <a:path>
              <a:moveTo>
                <a:pt x="0" y="15644"/>
              </a:moveTo>
              <a:lnTo>
                <a:pt x="286545" y="1564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740798" y="1091365"/>
        <a:ext cx="14327" cy="14327"/>
      </dsp:txXfrm>
    </dsp:sp>
    <dsp:sp modelId="{A64037B8-69DD-4A97-9461-196802828AA7}">
      <dsp:nvSpPr>
        <dsp:cNvPr id="0" name=""/>
        <dsp:cNvSpPr/>
      </dsp:nvSpPr>
      <dsp:spPr>
        <a:xfrm>
          <a:off x="2266354" y="1583"/>
          <a:ext cx="953690" cy="953690"/>
        </a:xfrm>
        <a:prstGeom prst="ellipse">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Local Development Scheme</a:t>
          </a:r>
        </a:p>
      </dsp:txBody>
      <dsp:txXfrm>
        <a:off x="2406019" y="141248"/>
        <a:ext cx="674360" cy="674360"/>
      </dsp:txXfrm>
    </dsp:sp>
    <dsp:sp modelId="{E414CC1D-3B33-40DA-9A44-2B589E02F43A}">
      <dsp:nvSpPr>
        <dsp:cNvPr id="0" name=""/>
        <dsp:cNvSpPr/>
      </dsp:nvSpPr>
      <dsp:spPr>
        <a:xfrm rot="20511781">
          <a:off x="3198985" y="1511362"/>
          <a:ext cx="277453" cy="31289"/>
        </a:xfrm>
        <a:custGeom>
          <a:avLst/>
          <a:gdLst/>
          <a:ahLst/>
          <a:cxnLst/>
          <a:rect l="0" t="0" r="0" b="0"/>
          <a:pathLst>
            <a:path>
              <a:moveTo>
                <a:pt x="0" y="15644"/>
              </a:moveTo>
              <a:lnTo>
                <a:pt x="277453" y="1564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30775" y="1520070"/>
        <a:ext cx="13872" cy="13872"/>
      </dsp:txXfrm>
    </dsp:sp>
    <dsp:sp modelId="{880A31A8-4AB4-4360-869E-DAD18175BD51}">
      <dsp:nvSpPr>
        <dsp:cNvPr id="0" name=""/>
        <dsp:cNvSpPr/>
      </dsp:nvSpPr>
      <dsp:spPr>
        <a:xfrm>
          <a:off x="3445854" y="858540"/>
          <a:ext cx="953690" cy="953690"/>
        </a:xfrm>
        <a:prstGeom prst="ellipse">
          <a:avLst/>
        </a:prstGeom>
        <a:solidFill>
          <a:schemeClr val="accent2">
            <a:shade val="50000"/>
            <a:hueOff val="-151315"/>
            <a:satOff val="2046"/>
            <a:lumOff val="174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Supplementary Planning Documents</a:t>
          </a:r>
        </a:p>
      </dsp:txBody>
      <dsp:txXfrm>
        <a:off x="3585519" y="998205"/>
        <a:ext cx="674360" cy="674360"/>
      </dsp:txXfrm>
    </dsp:sp>
    <dsp:sp modelId="{DEBE78A8-8698-4C0D-BE37-5B981455B96F}">
      <dsp:nvSpPr>
        <dsp:cNvPr id="0" name=""/>
        <dsp:cNvSpPr/>
      </dsp:nvSpPr>
      <dsp:spPr>
        <a:xfrm rot="3261456">
          <a:off x="2971980" y="2204655"/>
          <a:ext cx="280934" cy="31289"/>
        </a:xfrm>
        <a:custGeom>
          <a:avLst/>
          <a:gdLst/>
          <a:ahLst/>
          <a:cxnLst/>
          <a:rect l="0" t="0" r="0" b="0"/>
          <a:pathLst>
            <a:path>
              <a:moveTo>
                <a:pt x="0" y="15644"/>
              </a:moveTo>
              <a:lnTo>
                <a:pt x="280934" y="1564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05424" y="2213276"/>
        <a:ext cx="14046" cy="14046"/>
      </dsp:txXfrm>
    </dsp:sp>
    <dsp:sp modelId="{5EA1469C-D059-4B12-8ABD-647A2D0BD08F}">
      <dsp:nvSpPr>
        <dsp:cNvPr id="0" name=""/>
        <dsp:cNvSpPr/>
      </dsp:nvSpPr>
      <dsp:spPr>
        <a:xfrm>
          <a:off x="2995325" y="2245125"/>
          <a:ext cx="953690" cy="953690"/>
        </a:xfrm>
        <a:prstGeom prst="ellipse">
          <a:avLst/>
        </a:prstGeom>
        <a:solidFill>
          <a:schemeClr val="accent2">
            <a:shade val="50000"/>
            <a:hueOff val="-302631"/>
            <a:satOff val="4092"/>
            <a:lumOff val="349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Statement of Community Involvement</a:t>
          </a:r>
        </a:p>
      </dsp:txBody>
      <dsp:txXfrm>
        <a:off x="3134990" y="2384790"/>
        <a:ext cx="674360" cy="674360"/>
      </dsp:txXfrm>
    </dsp:sp>
    <dsp:sp modelId="{78D724D2-738D-474C-B466-DFD82DAF3FF1}">
      <dsp:nvSpPr>
        <dsp:cNvPr id="0" name=""/>
        <dsp:cNvSpPr/>
      </dsp:nvSpPr>
      <dsp:spPr>
        <a:xfrm rot="7581263">
          <a:off x="2237411" y="2204655"/>
          <a:ext cx="292131" cy="31289"/>
        </a:xfrm>
        <a:custGeom>
          <a:avLst/>
          <a:gdLst/>
          <a:ahLst/>
          <a:cxnLst/>
          <a:rect l="0" t="0" r="0" b="0"/>
          <a:pathLst>
            <a:path>
              <a:moveTo>
                <a:pt x="0" y="15644"/>
              </a:moveTo>
              <a:lnTo>
                <a:pt x="292131" y="1564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376173" y="2212996"/>
        <a:ext cx="14606" cy="14606"/>
      </dsp:txXfrm>
    </dsp:sp>
    <dsp:sp modelId="{D36F2871-8AC8-481D-BE8E-3B17D29D7DB1}">
      <dsp:nvSpPr>
        <dsp:cNvPr id="0" name=""/>
        <dsp:cNvSpPr/>
      </dsp:nvSpPr>
      <dsp:spPr>
        <a:xfrm>
          <a:off x="1537383" y="2245125"/>
          <a:ext cx="953690" cy="953690"/>
        </a:xfrm>
        <a:prstGeom prst="ellipse">
          <a:avLst/>
        </a:prstGeom>
        <a:solidFill>
          <a:schemeClr val="accent2">
            <a:shade val="50000"/>
            <a:hueOff val="-302631"/>
            <a:satOff val="4092"/>
            <a:lumOff val="349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Authority Monitoring Report</a:t>
          </a:r>
        </a:p>
      </dsp:txBody>
      <dsp:txXfrm>
        <a:off x="1677048" y="2384790"/>
        <a:ext cx="674360" cy="674360"/>
      </dsp:txXfrm>
    </dsp:sp>
    <dsp:sp modelId="{EC4BD462-D2E3-4803-9A7F-28BEFC4BE75A}">
      <dsp:nvSpPr>
        <dsp:cNvPr id="0" name=""/>
        <dsp:cNvSpPr/>
      </dsp:nvSpPr>
      <dsp:spPr>
        <a:xfrm rot="11871901">
          <a:off x="2010426" y="1511362"/>
          <a:ext cx="295571" cy="31289"/>
        </a:xfrm>
        <a:custGeom>
          <a:avLst/>
          <a:gdLst/>
          <a:ahLst/>
          <a:cxnLst/>
          <a:rect l="0" t="0" r="0" b="0"/>
          <a:pathLst>
            <a:path>
              <a:moveTo>
                <a:pt x="0" y="15644"/>
              </a:moveTo>
              <a:lnTo>
                <a:pt x="295571" y="1564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150823" y="1519617"/>
        <a:ext cx="14778" cy="14778"/>
      </dsp:txXfrm>
    </dsp:sp>
    <dsp:sp modelId="{3D117938-7A6C-41A8-82C4-53BE57C74D88}">
      <dsp:nvSpPr>
        <dsp:cNvPr id="0" name=""/>
        <dsp:cNvSpPr/>
      </dsp:nvSpPr>
      <dsp:spPr>
        <a:xfrm>
          <a:off x="1086854" y="858540"/>
          <a:ext cx="953690" cy="953690"/>
        </a:xfrm>
        <a:prstGeom prst="ellipse">
          <a:avLst/>
        </a:prstGeom>
        <a:solidFill>
          <a:schemeClr val="accent2">
            <a:shade val="50000"/>
            <a:hueOff val="-151315"/>
            <a:satOff val="2046"/>
            <a:lumOff val="1746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Neighbourhood Plans (forthcoming)</a:t>
          </a:r>
        </a:p>
      </dsp:txBody>
      <dsp:txXfrm>
        <a:off x="1226519" y="998205"/>
        <a:ext cx="674360" cy="674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13935-BC41-48F1-BFAC-F5793A3CEAD5}">
      <dsp:nvSpPr>
        <dsp:cNvPr id="0" name=""/>
        <dsp:cNvSpPr/>
      </dsp:nvSpPr>
      <dsp:spPr>
        <a:xfrm>
          <a:off x="2392560" y="0"/>
          <a:ext cx="795635" cy="685800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GB" sz="1800" kern="1200"/>
        </a:p>
      </dsp:txBody>
      <dsp:txXfrm>
        <a:off x="2392560" y="0"/>
        <a:ext cx="795635" cy="2057400"/>
      </dsp:txXfrm>
    </dsp:sp>
    <dsp:sp modelId="{B6C6C495-60DB-453D-A46E-672F965B9804}">
      <dsp:nvSpPr>
        <dsp:cNvPr id="0" name=""/>
        <dsp:cNvSpPr/>
      </dsp:nvSpPr>
      <dsp:spPr>
        <a:xfrm>
          <a:off x="1536491" y="0"/>
          <a:ext cx="795635" cy="685800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endParaRPr lang="en-GB" sz="1800" kern="1200"/>
        </a:p>
      </dsp:txBody>
      <dsp:txXfrm>
        <a:off x="1536491" y="0"/>
        <a:ext cx="795635" cy="2057400"/>
      </dsp:txXfrm>
    </dsp:sp>
    <dsp:sp modelId="{6B1995A3-D640-41CF-AD07-BA50E7A2259F}">
      <dsp:nvSpPr>
        <dsp:cNvPr id="0" name=""/>
        <dsp:cNvSpPr/>
      </dsp:nvSpPr>
      <dsp:spPr>
        <a:xfrm>
          <a:off x="524025" y="0"/>
          <a:ext cx="795635" cy="6858000"/>
        </a:xfrm>
        <a:prstGeom prst="roundRect">
          <a:avLst>
            <a:gd name="adj" fmla="val 10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GB" sz="1800" kern="1200"/>
            <a:t>Dec 2015</a:t>
          </a:r>
        </a:p>
      </dsp:txBody>
      <dsp:txXfrm>
        <a:off x="524025" y="0"/>
        <a:ext cx="795635" cy="2057400"/>
      </dsp:txXfrm>
    </dsp:sp>
    <dsp:sp modelId="{F7CE96AA-8C8B-4EE9-96F8-7A8F73139D3B}">
      <dsp:nvSpPr>
        <dsp:cNvPr id="0" name=""/>
        <dsp:cNvSpPr/>
      </dsp:nvSpPr>
      <dsp:spPr>
        <a:xfrm>
          <a:off x="602381" y="4536024"/>
          <a:ext cx="663029" cy="331514"/>
        </a:xfrm>
        <a:prstGeom prst="roundRect">
          <a:avLst>
            <a:gd name="adj" fmla="val 10000"/>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Adopted Local Plan 2012-2030</a:t>
          </a:r>
        </a:p>
      </dsp:txBody>
      <dsp:txXfrm>
        <a:off x="612091" y="4545734"/>
        <a:ext cx="643609" cy="312094"/>
      </dsp:txXfrm>
    </dsp:sp>
    <dsp:sp modelId="{782F41A0-146C-48C7-8DE2-838397EC4281}">
      <dsp:nvSpPr>
        <dsp:cNvPr id="0" name=""/>
        <dsp:cNvSpPr/>
      </dsp:nvSpPr>
      <dsp:spPr>
        <a:xfrm rot="16859009">
          <a:off x="591170" y="3879752"/>
          <a:ext cx="1665873" cy="8701"/>
        </a:xfrm>
        <a:custGeom>
          <a:avLst/>
          <a:gdLst/>
          <a:ahLst/>
          <a:cxnLst/>
          <a:rect l="0" t="0" r="0" b="0"/>
          <a:pathLst>
            <a:path>
              <a:moveTo>
                <a:pt x="0" y="4350"/>
              </a:moveTo>
              <a:lnTo>
                <a:pt x="1665873" y="4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82460" y="3842455"/>
        <a:ext cx="83293" cy="83293"/>
      </dsp:txXfrm>
    </dsp:sp>
    <dsp:sp modelId="{8256D4FA-2CA2-4427-8931-457824FC54F0}">
      <dsp:nvSpPr>
        <dsp:cNvPr id="0" name=""/>
        <dsp:cNvSpPr/>
      </dsp:nvSpPr>
      <dsp:spPr>
        <a:xfrm>
          <a:off x="1582803" y="2900666"/>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Master Plans</a:t>
          </a:r>
        </a:p>
      </dsp:txBody>
      <dsp:txXfrm>
        <a:off x="1592513" y="2910376"/>
        <a:ext cx="643609" cy="312094"/>
      </dsp:txXfrm>
    </dsp:sp>
    <dsp:sp modelId="{39FA178B-7DF8-4670-83D0-217FD5DB12E1}">
      <dsp:nvSpPr>
        <dsp:cNvPr id="0" name=""/>
        <dsp:cNvSpPr/>
      </dsp:nvSpPr>
      <dsp:spPr>
        <a:xfrm rot="17051203">
          <a:off x="1917736" y="2640716"/>
          <a:ext cx="869222" cy="8701"/>
        </a:xfrm>
        <a:custGeom>
          <a:avLst/>
          <a:gdLst/>
          <a:ahLst/>
          <a:cxnLst/>
          <a:rect l="0" t="0" r="0" b="0"/>
          <a:pathLst>
            <a:path>
              <a:moveTo>
                <a:pt x="0" y="4350"/>
              </a:moveTo>
              <a:lnTo>
                <a:pt x="869222"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30617" y="2623336"/>
        <a:ext cx="43461" cy="43461"/>
      </dsp:txXfrm>
    </dsp:sp>
    <dsp:sp modelId="{9B9713D0-AEE6-48A2-B07B-77379B208802}">
      <dsp:nvSpPr>
        <dsp:cNvPr id="0" name=""/>
        <dsp:cNvSpPr/>
      </dsp:nvSpPr>
      <dsp:spPr>
        <a:xfrm>
          <a:off x="2458863" y="2057952"/>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Paignton Great Parks Guidance</a:t>
          </a:r>
        </a:p>
      </dsp:txBody>
      <dsp:txXfrm>
        <a:off x="2468573" y="2067662"/>
        <a:ext cx="643609" cy="312094"/>
      </dsp:txXfrm>
    </dsp:sp>
    <dsp:sp modelId="{646A9CCA-469E-45FB-869F-3C29C4E4B56A}">
      <dsp:nvSpPr>
        <dsp:cNvPr id="0" name=""/>
        <dsp:cNvSpPr/>
      </dsp:nvSpPr>
      <dsp:spPr>
        <a:xfrm rot="17686781">
          <a:off x="2098213" y="2831336"/>
          <a:ext cx="508270" cy="8701"/>
        </a:xfrm>
        <a:custGeom>
          <a:avLst/>
          <a:gdLst/>
          <a:ahLst/>
          <a:cxnLst/>
          <a:rect l="0" t="0" r="0" b="0"/>
          <a:pathLst>
            <a:path>
              <a:moveTo>
                <a:pt x="0" y="4350"/>
              </a:moveTo>
              <a:lnTo>
                <a:pt x="508270"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39641" y="2822980"/>
        <a:ext cx="25413" cy="25413"/>
      </dsp:txXfrm>
    </dsp:sp>
    <dsp:sp modelId="{D0FB3787-E71C-4CD2-9832-6E49378E8A8F}">
      <dsp:nvSpPr>
        <dsp:cNvPr id="0" name=""/>
        <dsp:cNvSpPr/>
      </dsp:nvSpPr>
      <dsp:spPr>
        <a:xfrm>
          <a:off x="2458863" y="2439194"/>
          <a:ext cx="663029" cy="331514"/>
        </a:xfrm>
        <a:prstGeom prst="roundRect">
          <a:avLst>
            <a:gd name="adj" fmla="val 10000"/>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Torquay</a:t>
          </a:r>
        </a:p>
        <a:p>
          <a:pPr lvl="0" algn="ctr" defTabSz="266700">
            <a:lnSpc>
              <a:spcPct val="90000"/>
            </a:lnSpc>
            <a:spcBef>
              <a:spcPct val="0"/>
            </a:spcBef>
            <a:spcAft>
              <a:spcPct val="35000"/>
            </a:spcAft>
          </a:pPr>
          <a:r>
            <a:rPr lang="en-GB" sz="600" b="1" kern="1200"/>
            <a:t>Town Centre -Adopted</a:t>
          </a:r>
        </a:p>
      </dsp:txBody>
      <dsp:txXfrm>
        <a:off x="2468573" y="2448904"/>
        <a:ext cx="643609" cy="312094"/>
      </dsp:txXfrm>
    </dsp:sp>
    <dsp:sp modelId="{697A2C9D-ACAF-483D-9840-6E44059E1C60}">
      <dsp:nvSpPr>
        <dsp:cNvPr id="0" name=""/>
        <dsp:cNvSpPr/>
      </dsp:nvSpPr>
      <dsp:spPr>
        <a:xfrm rot="20361786">
          <a:off x="2238529" y="3021957"/>
          <a:ext cx="227638" cy="8701"/>
        </a:xfrm>
        <a:custGeom>
          <a:avLst/>
          <a:gdLst/>
          <a:ahLst/>
          <a:cxnLst/>
          <a:rect l="0" t="0" r="0" b="0"/>
          <a:pathLst>
            <a:path>
              <a:moveTo>
                <a:pt x="0" y="4350"/>
              </a:moveTo>
              <a:lnTo>
                <a:pt x="227638"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46657" y="3020617"/>
        <a:ext cx="11381" cy="11381"/>
      </dsp:txXfrm>
    </dsp:sp>
    <dsp:sp modelId="{ABB0A3D2-75DE-4616-92A3-E634A2944E71}">
      <dsp:nvSpPr>
        <dsp:cNvPr id="0" name=""/>
        <dsp:cNvSpPr/>
      </dsp:nvSpPr>
      <dsp:spPr>
        <a:xfrm>
          <a:off x="2458863" y="2820436"/>
          <a:ext cx="663029" cy="331514"/>
        </a:xfrm>
        <a:prstGeom prst="roundRect">
          <a:avLst>
            <a:gd name="adj" fmla="val 10000"/>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Torquay Gateway -</a:t>
          </a:r>
        </a:p>
        <a:p>
          <a:pPr lvl="0" algn="ctr" defTabSz="266700">
            <a:lnSpc>
              <a:spcPct val="90000"/>
            </a:lnSpc>
            <a:spcBef>
              <a:spcPct val="0"/>
            </a:spcBef>
            <a:spcAft>
              <a:spcPct val="35000"/>
            </a:spcAft>
          </a:pPr>
          <a:r>
            <a:rPr lang="en-GB" sz="600" b="1" kern="1200"/>
            <a:t>Adopted </a:t>
          </a:r>
        </a:p>
      </dsp:txBody>
      <dsp:txXfrm>
        <a:off x="2468573" y="2830146"/>
        <a:ext cx="643609" cy="312094"/>
      </dsp:txXfrm>
    </dsp:sp>
    <dsp:sp modelId="{9E7D3845-8D2E-4DA4-B299-651CEFEA0B68}">
      <dsp:nvSpPr>
        <dsp:cNvPr id="0" name=""/>
        <dsp:cNvSpPr/>
      </dsp:nvSpPr>
      <dsp:spPr>
        <a:xfrm rot="3282738">
          <a:off x="2167963" y="3212578"/>
          <a:ext cx="368768" cy="8701"/>
        </a:xfrm>
        <a:custGeom>
          <a:avLst/>
          <a:gdLst/>
          <a:ahLst/>
          <a:cxnLst/>
          <a:rect l="0" t="0" r="0" b="0"/>
          <a:pathLst>
            <a:path>
              <a:moveTo>
                <a:pt x="0" y="4350"/>
              </a:moveTo>
              <a:lnTo>
                <a:pt x="368768"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43128" y="3207710"/>
        <a:ext cx="18438" cy="18438"/>
      </dsp:txXfrm>
    </dsp:sp>
    <dsp:sp modelId="{A7565CA5-8C8B-48DD-9477-A26DD7A74EA2}">
      <dsp:nvSpPr>
        <dsp:cNvPr id="0" name=""/>
        <dsp:cNvSpPr/>
      </dsp:nvSpPr>
      <dsp:spPr>
        <a:xfrm>
          <a:off x="2458863" y="3201678"/>
          <a:ext cx="663029" cy="331514"/>
        </a:xfrm>
        <a:prstGeom prst="roundRect">
          <a:avLst>
            <a:gd name="adj" fmla="val 10000"/>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Paignton town Centre -</a:t>
          </a:r>
        </a:p>
        <a:p>
          <a:pPr lvl="0" algn="ctr" defTabSz="266700">
            <a:lnSpc>
              <a:spcPct val="90000"/>
            </a:lnSpc>
            <a:spcBef>
              <a:spcPct val="0"/>
            </a:spcBef>
            <a:spcAft>
              <a:spcPct val="35000"/>
            </a:spcAft>
          </a:pPr>
          <a:r>
            <a:rPr lang="en-GB" sz="600" b="1" kern="1200"/>
            <a:t>Adopted</a:t>
          </a:r>
        </a:p>
      </dsp:txBody>
      <dsp:txXfrm>
        <a:off x="2468573" y="3211388"/>
        <a:ext cx="643609" cy="312094"/>
      </dsp:txXfrm>
    </dsp:sp>
    <dsp:sp modelId="{2BBED418-9047-4013-8619-4EDC30F95932}">
      <dsp:nvSpPr>
        <dsp:cNvPr id="0" name=""/>
        <dsp:cNvSpPr/>
      </dsp:nvSpPr>
      <dsp:spPr>
        <a:xfrm rot="4359553">
          <a:off x="1994978" y="3403199"/>
          <a:ext cx="714739" cy="8701"/>
        </a:xfrm>
        <a:custGeom>
          <a:avLst/>
          <a:gdLst/>
          <a:ahLst/>
          <a:cxnLst/>
          <a:rect l="0" t="0" r="0" b="0"/>
          <a:pathLst>
            <a:path>
              <a:moveTo>
                <a:pt x="0" y="4350"/>
              </a:moveTo>
              <a:lnTo>
                <a:pt x="714739"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34479" y="3389681"/>
        <a:ext cx="35736" cy="35736"/>
      </dsp:txXfrm>
    </dsp:sp>
    <dsp:sp modelId="{BBBE79C7-0A85-43FD-ADCF-16AD817EBFDA}">
      <dsp:nvSpPr>
        <dsp:cNvPr id="0" name=""/>
        <dsp:cNvSpPr/>
      </dsp:nvSpPr>
      <dsp:spPr>
        <a:xfrm>
          <a:off x="2458863" y="3582919"/>
          <a:ext cx="663029" cy="331514"/>
        </a:xfrm>
        <a:prstGeom prst="roundRect">
          <a:avLst>
            <a:gd name="adj" fmla="val 10000"/>
          </a:avLst>
        </a:prstGeom>
        <a:gradFill rotWithShape="0">
          <a:gsLst>
            <a:gs pos="0">
              <a:schemeClr val="tx1"/>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Paignton CSM - Adopted</a:t>
          </a:r>
        </a:p>
      </dsp:txBody>
      <dsp:txXfrm>
        <a:off x="2468573" y="3592629"/>
        <a:ext cx="643609" cy="312094"/>
      </dsp:txXfrm>
    </dsp:sp>
    <dsp:sp modelId="{9DDDE59E-BA9C-4796-B813-C1F9F087744F}">
      <dsp:nvSpPr>
        <dsp:cNvPr id="0" name=""/>
        <dsp:cNvSpPr/>
      </dsp:nvSpPr>
      <dsp:spPr>
        <a:xfrm rot="20093691">
          <a:off x="1247847" y="4618547"/>
          <a:ext cx="371847" cy="8701"/>
        </a:xfrm>
        <a:custGeom>
          <a:avLst/>
          <a:gdLst/>
          <a:ahLst/>
          <a:cxnLst/>
          <a:rect l="0" t="0" r="0" b="0"/>
          <a:pathLst>
            <a:path>
              <a:moveTo>
                <a:pt x="0" y="4350"/>
              </a:moveTo>
              <a:lnTo>
                <a:pt x="371847" y="4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424474" y="4613601"/>
        <a:ext cx="18592" cy="18592"/>
      </dsp:txXfrm>
    </dsp:sp>
    <dsp:sp modelId="{00AED848-D02E-47BE-BD86-D4608F5288AA}">
      <dsp:nvSpPr>
        <dsp:cNvPr id="0" name=""/>
        <dsp:cNvSpPr/>
      </dsp:nvSpPr>
      <dsp:spPr>
        <a:xfrm>
          <a:off x="1602130" y="4378256"/>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Neighbourhood Plans</a:t>
          </a:r>
        </a:p>
      </dsp:txBody>
      <dsp:txXfrm>
        <a:off x="1611840" y="4387966"/>
        <a:ext cx="643609" cy="312094"/>
      </dsp:txXfrm>
    </dsp:sp>
    <dsp:sp modelId="{7EC2A983-86E4-49CA-8C51-B70FA434741F}">
      <dsp:nvSpPr>
        <dsp:cNvPr id="0" name=""/>
        <dsp:cNvSpPr/>
      </dsp:nvSpPr>
      <dsp:spPr>
        <a:xfrm rot="17704146">
          <a:off x="2133431" y="4332615"/>
          <a:ext cx="457160" cy="8701"/>
        </a:xfrm>
        <a:custGeom>
          <a:avLst/>
          <a:gdLst/>
          <a:ahLst/>
          <a:cxnLst/>
          <a:rect l="0" t="0" r="0" b="0"/>
          <a:pathLst>
            <a:path>
              <a:moveTo>
                <a:pt x="0" y="4350"/>
              </a:moveTo>
              <a:lnTo>
                <a:pt x="457160"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50582" y="4325537"/>
        <a:ext cx="22858" cy="22858"/>
      </dsp:txXfrm>
    </dsp:sp>
    <dsp:sp modelId="{53071431-6A65-4789-A93B-3D3AEB121517}">
      <dsp:nvSpPr>
        <dsp:cNvPr id="0" name=""/>
        <dsp:cNvSpPr/>
      </dsp:nvSpPr>
      <dsp:spPr>
        <a:xfrm>
          <a:off x="2458863" y="3964161"/>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Torquay</a:t>
          </a:r>
        </a:p>
      </dsp:txBody>
      <dsp:txXfrm>
        <a:off x="2468573" y="3973871"/>
        <a:ext cx="643609" cy="312094"/>
      </dsp:txXfrm>
    </dsp:sp>
    <dsp:sp modelId="{D37AD6B2-AEE6-43C2-8633-13B2B747984E}">
      <dsp:nvSpPr>
        <dsp:cNvPr id="0" name=""/>
        <dsp:cNvSpPr/>
      </dsp:nvSpPr>
      <dsp:spPr>
        <a:xfrm rot="21022438">
          <a:off x="2263776" y="4523236"/>
          <a:ext cx="196470" cy="8701"/>
        </a:xfrm>
        <a:custGeom>
          <a:avLst/>
          <a:gdLst/>
          <a:ahLst/>
          <a:cxnLst/>
          <a:rect l="0" t="0" r="0" b="0"/>
          <a:pathLst>
            <a:path>
              <a:moveTo>
                <a:pt x="0" y="4350"/>
              </a:moveTo>
              <a:lnTo>
                <a:pt x="196470"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57100" y="4522675"/>
        <a:ext cx="9823" cy="9823"/>
      </dsp:txXfrm>
    </dsp:sp>
    <dsp:sp modelId="{E865D188-2B04-4910-9E5A-EAABE71BBAFF}">
      <dsp:nvSpPr>
        <dsp:cNvPr id="0" name=""/>
        <dsp:cNvSpPr/>
      </dsp:nvSpPr>
      <dsp:spPr>
        <a:xfrm>
          <a:off x="2458863" y="4345403"/>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Paignton</a:t>
          </a:r>
        </a:p>
      </dsp:txBody>
      <dsp:txXfrm>
        <a:off x="2468573" y="4355113"/>
        <a:ext cx="643609" cy="312094"/>
      </dsp:txXfrm>
    </dsp:sp>
    <dsp:sp modelId="{8371BA1D-E198-480E-B1A4-9D24FAA72036}">
      <dsp:nvSpPr>
        <dsp:cNvPr id="0" name=""/>
        <dsp:cNvSpPr/>
      </dsp:nvSpPr>
      <dsp:spPr>
        <a:xfrm rot="3655557">
          <a:off x="2162703" y="4713857"/>
          <a:ext cx="398617" cy="8701"/>
        </a:xfrm>
        <a:custGeom>
          <a:avLst/>
          <a:gdLst/>
          <a:ahLst/>
          <a:cxnLst/>
          <a:rect l="0" t="0" r="0" b="0"/>
          <a:pathLst>
            <a:path>
              <a:moveTo>
                <a:pt x="0" y="4350"/>
              </a:moveTo>
              <a:lnTo>
                <a:pt x="398617"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52046" y="4708242"/>
        <a:ext cx="19930" cy="19930"/>
      </dsp:txXfrm>
    </dsp:sp>
    <dsp:sp modelId="{235DBBCB-23EE-46BD-9840-25CF3B637FBE}">
      <dsp:nvSpPr>
        <dsp:cNvPr id="0" name=""/>
        <dsp:cNvSpPr/>
      </dsp:nvSpPr>
      <dsp:spPr>
        <a:xfrm>
          <a:off x="2458863" y="4726645"/>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b="1" kern="1200"/>
            <a:t>Brixham Peninsula</a:t>
          </a:r>
        </a:p>
      </dsp:txBody>
      <dsp:txXfrm>
        <a:off x="2468573" y="4736355"/>
        <a:ext cx="643609" cy="312094"/>
      </dsp:txXfrm>
    </dsp:sp>
    <dsp:sp modelId="{E6C5D122-5369-4025-B64D-BE80CBE189EA}">
      <dsp:nvSpPr>
        <dsp:cNvPr id="0" name=""/>
        <dsp:cNvSpPr/>
      </dsp:nvSpPr>
      <dsp:spPr>
        <a:xfrm rot="3556876">
          <a:off x="1096976" y="4993440"/>
          <a:ext cx="688645" cy="8701"/>
        </a:xfrm>
        <a:custGeom>
          <a:avLst/>
          <a:gdLst/>
          <a:ahLst/>
          <a:cxnLst/>
          <a:rect l="0" t="0" r="0" b="0"/>
          <a:pathLst>
            <a:path>
              <a:moveTo>
                <a:pt x="0" y="4350"/>
              </a:moveTo>
              <a:lnTo>
                <a:pt x="688645" y="4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424083" y="4980575"/>
        <a:ext cx="34432" cy="34432"/>
      </dsp:txXfrm>
    </dsp:sp>
    <dsp:sp modelId="{E1FE80A3-9260-4AB4-B11A-7492E1942AE6}">
      <dsp:nvSpPr>
        <dsp:cNvPr id="0" name=""/>
        <dsp:cNvSpPr/>
      </dsp:nvSpPr>
      <dsp:spPr>
        <a:xfrm>
          <a:off x="1617187" y="5128043"/>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DPDs</a:t>
          </a:r>
        </a:p>
      </dsp:txBody>
      <dsp:txXfrm>
        <a:off x="1626897" y="5137753"/>
        <a:ext cx="643609" cy="312094"/>
      </dsp:txXfrm>
    </dsp:sp>
    <dsp:sp modelId="{D2F0EE13-B5DF-4B3D-85CF-7896FF4B5E81}">
      <dsp:nvSpPr>
        <dsp:cNvPr id="0" name=""/>
        <dsp:cNvSpPr/>
      </dsp:nvSpPr>
      <dsp:spPr>
        <a:xfrm rot="21213764">
          <a:off x="2279650" y="5279372"/>
          <a:ext cx="179780" cy="8701"/>
        </a:xfrm>
        <a:custGeom>
          <a:avLst/>
          <a:gdLst/>
          <a:ahLst/>
          <a:cxnLst/>
          <a:rect l="0" t="0" r="0" b="0"/>
          <a:pathLst>
            <a:path>
              <a:moveTo>
                <a:pt x="0" y="4350"/>
              </a:moveTo>
              <a:lnTo>
                <a:pt x="179780"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65046" y="5279228"/>
        <a:ext cx="8989" cy="8989"/>
      </dsp:txXfrm>
    </dsp:sp>
    <dsp:sp modelId="{FFB81A09-3714-4077-BA7D-36FCDA244619}">
      <dsp:nvSpPr>
        <dsp:cNvPr id="0" name=""/>
        <dsp:cNvSpPr/>
      </dsp:nvSpPr>
      <dsp:spPr>
        <a:xfrm>
          <a:off x="2458863" y="5107887"/>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Site Allocations Document OR Similar</a:t>
          </a:r>
        </a:p>
      </dsp:txBody>
      <dsp:txXfrm>
        <a:off x="2468573" y="5117597"/>
        <a:ext cx="643609" cy="312094"/>
      </dsp:txXfrm>
    </dsp:sp>
    <dsp:sp modelId="{F8F0EF4B-C183-4A6E-8D4B-D55A4B9EBD47}">
      <dsp:nvSpPr>
        <dsp:cNvPr id="0" name=""/>
        <dsp:cNvSpPr/>
      </dsp:nvSpPr>
      <dsp:spPr>
        <a:xfrm rot="4576024">
          <a:off x="741649" y="5364604"/>
          <a:ext cx="1373614" cy="8701"/>
        </a:xfrm>
        <a:custGeom>
          <a:avLst/>
          <a:gdLst/>
          <a:ahLst/>
          <a:cxnLst/>
          <a:rect l="0" t="0" r="0" b="0"/>
          <a:pathLst>
            <a:path>
              <a:moveTo>
                <a:pt x="0" y="4350"/>
              </a:moveTo>
              <a:lnTo>
                <a:pt x="1373614" y="4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94116" y="5334614"/>
        <a:ext cx="68680" cy="68680"/>
      </dsp:txXfrm>
    </dsp:sp>
    <dsp:sp modelId="{D5E391EC-270B-4BAC-8137-7737575AF51A}">
      <dsp:nvSpPr>
        <dsp:cNvPr id="0" name=""/>
        <dsp:cNvSpPr/>
      </dsp:nvSpPr>
      <dsp:spPr>
        <a:xfrm>
          <a:off x="1591502" y="5870370"/>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t>SPD</a:t>
          </a:r>
          <a:r>
            <a:rPr lang="en-GB" sz="600" b="1" kern="1200"/>
            <a:t>s</a:t>
          </a:r>
        </a:p>
      </dsp:txBody>
      <dsp:txXfrm>
        <a:off x="1601212" y="5880080"/>
        <a:ext cx="643609" cy="312094"/>
      </dsp:txXfrm>
    </dsp:sp>
    <dsp:sp modelId="{65105C19-A979-4587-971D-1A500D8C0C42}">
      <dsp:nvSpPr>
        <dsp:cNvPr id="0" name=""/>
        <dsp:cNvSpPr/>
      </dsp:nvSpPr>
      <dsp:spPr>
        <a:xfrm rot="17891386">
          <a:off x="2140424" y="5841156"/>
          <a:ext cx="432547" cy="8701"/>
        </a:xfrm>
        <a:custGeom>
          <a:avLst/>
          <a:gdLst/>
          <a:ahLst/>
          <a:cxnLst/>
          <a:rect l="0" t="0" r="0" b="0"/>
          <a:pathLst>
            <a:path>
              <a:moveTo>
                <a:pt x="0" y="4350"/>
              </a:moveTo>
              <a:lnTo>
                <a:pt x="432547"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45884" y="5834693"/>
        <a:ext cx="21627" cy="21627"/>
      </dsp:txXfrm>
    </dsp:sp>
    <dsp:sp modelId="{DB071D1D-5B1E-4EA9-A423-53712C445E93}">
      <dsp:nvSpPr>
        <dsp:cNvPr id="0" name=""/>
        <dsp:cNvSpPr/>
      </dsp:nvSpPr>
      <dsp:spPr>
        <a:xfrm>
          <a:off x="2458863" y="5489129"/>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Design Guide</a:t>
          </a:r>
        </a:p>
      </dsp:txBody>
      <dsp:txXfrm>
        <a:off x="2468573" y="5498839"/>
        <a:ext cx="643609" cy="312094"/>
      </dsp:txXfrm>
    </dsp:sp>
    <dsp:sp modelId="{0A797EB2-35BA-46F7-9BE4-F2E4EEB2E24C}">
      <dsp:nvSpPr>
        <dsp:cNvPr id="0" name=""/>
        <dsp:cNvSpPr/>
      </dsp:nvSpPr>
      <dsp:spPr>
        <a:xfrm>
          <a:off x="2254531" y="6031777"/>
          <a:ext cx="204332" cy="8701"/>
        </a:xfrm>
        <a:custGeom>
          <a:avLst/>
          <a:gdLst/>
          <a:ahLst/>
          <a:cxnLst/>
          <a:rect l="0" t="0" r="0" b="0"/>
          <a:pathLst>
            <a:path>
              <a:moveTo>
                <a:pt x="0" y="4350"/>
              </a:moveTo>
              <a:lnTo>
                <a:pt x="204332"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51589" y="6031019"/>
        <a:ext cx="10216" cy="10216"/>
      </dsp:txXfrm>
    </dsp:sp>
    <dsp:sp modelId="{D17875FB-66DB-412D-ACB4-DBA0601CFC9A}">
      <dsp:nvSpPr>
        <dsp:cNvPr id="0" name=""/>
        <dsp:cNvSpPr/>
      </dsp:nvSpPr>
      <dsp:spPr>
        <a:xfrm>
          <a:off x="2458863" y="5870370"/>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Healthy Torbay - Adopted</a:t>
          </a:r>
        </a:p>
      </dsp:txBody>
      <dsp:txXfrm>
        <a:off x="2468573" y="5880080"/>
        <a:ext cx="643609" cy="312094"/>
      </dsp:txXfrm>
    </dsp:sp>
    <dsp:sp modelId="{C1F65630-C54F-4610-87A9-8BD2661390C6}">
      <dsp:nvSpPr>
        <dsp:cNvPr id="0" name=""/>
        <dsp:cNvSpPr/>
      </dsp:nvSpPr>
      <dsp:spPr>
        <a:xfrm rot="3708614">
          <a:off x="2140424" y="6222398"/>
          <a:ext cx="432547" cy="8701"/>
        </a:xfrm>
        <a:custGeom>
          <a:avLst/>
          <a:gdLst/>
          <a:ahLst/>
          <a:cxnLst/>
          <a:rect l="0" t="0" r="0" b="0"/>
          <a:pathLst>
            <a:path>
              <a:moveTo>
                <a:pt x="0" y="4350"/>
              </a:moveTo>
              <a:lnTo>
                <a:pt x="432547" y="4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345884" y="6215935"/>
        <a:ext cx="21627" cy="21627"/>
      </dsp:txXfrm>
    </dsp:sp>
    <dsp:sp modelId="{90B4C148-F9F9-4834-A069-A702DC08EE95}">
      <dsp:nvSpPr>
        <dsp:cNvPr id="0" name=""/>
        <dsp:cNvSpPr/>
      </dsp:nvSpPr>
      <dsp:spPr>
        <a:xfrm>
          <a:off x="2458863" y="6251612"/>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S106 Planning Contributions</a:t>
          </a:r>
        </a:p>
      </dsp:txBody>
      <dsp:txXfrm>
        <a:off x="2468573" y="6261322"/>
        <a:ext cx="643609" cy="312094"/>
      </dsp:txXfrm>
    </dsp:sp>
    <dsp:sp modelId="{F461FF49-C7C0-4019-961C-9ED1FD03042E}">
      <dsp:nvSpPr>
        <dsp:cNvPr id="0" name=""/>
        <dsp:cNvSpPr/>
      </dsp:nvSpPr>
      <dsp:spPr>
        <a:xfrm rot="16590083">
          <a:off x="-44293" y="3229994"/>
          <a:ext cx="2953868" cy="8701"/>
        </a:xfrm>
        <a:custGeom>
          <a:avLst/>
          <a:gdLst/>
          <a:ahLst/>
          <a:cxnLst/>
          <a:rect l="0" t="0" r="0" b="0"/>
          <a:pathLst>
            <a:path>
              <a:moveTo>
                <a:pt x="0" y="4350"/>
              </a:moveTo>
              <a:lnTo>
                <a:pt x="2953868" y="4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58793" y="3160498"/>
        <a:ext cx="147693" cy="147693"/>
      </dsp:txXfrm>
    </dsp:sp>
    <dsp:sp modelId="{3730CFAA-AD74-4B67-9DA1-0A621FDAE421}">
      <dsp:nvSpPr>
        <dsp:cNvPr id="0" name=""/>
        <dsp:cNvSpPr/>
      </dsp:nvSpPr>
      <dsp:spPr>
        <a:xfrm>
          <a:off x="1599869" y="1601151"/>
          <a:ext cx="663029" cy="33151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Community Infrastructure Levy</a:t>
          </a:r>
        </a:p>
      </dsp:txBody>
      <dsp:txXfrm>
        <a:off x="1609579" y="1610861"/>
        <a:ext cx="643609" cy="3120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ouncil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3B2CD-D410-44A1-BE6C-C53CBFEB7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template.dotx</Template>
  <TotalTime>0</TotalTime>
  <Pages>1</Pages>
  <Words>5646</Words>
  <Characters>32186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37757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stsr009</dc:creator>
  <cp:lastModifiedBy>Weymouth, Maria</cp:lastModifiedBy>
  <cp:revision>3</cp:revision>
  <cp:lastPrinted>2016-09-30T17:52:00Z</cp:lastPrinted>
  <dcterms:created xsi:type="dcterms:W3CDTF">2018-05-04T09:19:00Z</dcterms:created>
  <dcterms:modified xsi:type="dcterms:W3CDTF">2018-05-04T09:19:00Z</dcterms:modified>
</cp:coreProperties>
</file>