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CBAB20" w14:textId="77777777" w:rsidR="00EF1361" w:rsidRPr="00753B27" w:rsidRDefault="00351B19">
      <w:pPr>
        <w:rPr>
          <w:rFonts w:asciiTheme="minorHAnsi" w:hAnsiTheme="minorHAnsi"/>
          <w:b/>
        </w:rPr>
      </w:pPr>
      <w:r w:rsidRPr="00753B27">
        <w:rPr>
          <w:rFonts w:asciiTheme="minorHAnsi" w:hAnsiTheme="minorHAnsi"/>
          <w:b/>
        </w:rPr>
        <w:t>Devon, Plymouth and Torbay schools</w:t>
      </w:r>
    </w:p>
    <w:p w14:paraId="7E70EECC" w14:textId="77777777" w:rsidR="00EF1361" w:rsidRPr="00753B27" w:rsidRDefault="00351B19">
      <w:pPr>
        <w:rPr>
          <w:rFonts w:asciiTheme="minorHAnsi" w:hAnsiTheme="minorHAnsi"/>
          <w:b/>
        </w:rPr>
      </w:pPr>
      <w:r w:rsidRPr="00753B27">
        <w:rPr>
          <w:rFonts w:asciiTheme="minorHAnsi" w:hAnsiTheme="minorHAnsi"/>
          <w:b/>
        </w:rPr>
        <w:t>RE assessment template</w:t>
      </w:r>
    </w:p>
    <w:p w14:paraId="4D85F1D5" w14:textId="77777777" w:rsidR="00EF1361" w:rsidRPr="00753B27" w:rsidRDefault="00351B19">
      <w:pPr>
        <w:rPr>
          <w:rFonts w:asciiTheme="minorHAnsi" w:hAnsiTheme="minorHAnsi"/>
        </w:rPr>
      </w:pPr>
      <w:r w:rsidRPr="00753B27">
        <w:rPr>
          <w:rFonts w:asciiTheme="minorHAnsi" w:hAnsiTheme="minorHAnsi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269B5D9C" w14:textId="77777777" w:rsidR="00EF1361" w:rsidRPr="00753B27" w:rsidRDefault="00351B19">
      <w:pPr>
        <w:rPr>
          <w:rFonts w:asciiTheme="minorHAnsi" w:hAnsiTheme="minorHAnsi"/>
        </w:rPr>
      </w:pPr>
      <w:r w:rsidRPr="00753B27">
        <w:rPr>
          <w:rFonts w:asciiTheme="minorHAnsi" w:hAnsiTheme="minorHAnsi"/>
        </w:rPr>
        <w:t xml:space="preserve">This template should be used in addition to other forms of formative assessment. </w:t>
      </w:r>
    </w:p>
    <w:p w14:paraId="3162EC5C" w14:textId="77777777" w:rsidR="00EF1361" w:rsidRPr="00753B27" w:rsidRDefault="00EF1361">
      <w:pPr>
        <w:rPr>
          <w:rFonts w:asciiTheme="minorHAnsi" w:hAnsiTheme="minorHAnsi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EF1361" w:rsidRPr="00753B27" w14:paraId="424FECA1" w14:textId="77777777">
        <w:trPr>
          <w:trHeight w:val="360"/>
        </w:trPr>
        <w:tc>
          <w:tcPr>
            <w:tcW w:w="1670" w:type="dxa"/>
            <w:vMerge w:val="restart"/>
          </w:tcPr>
          <w:p w14:paraId="3B125239" w14:textId="77777777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t>Key Stage 2</w:t>
            </w:r>
          </w:p>
          <w:p w14:paraId="48E93584" w14:textId="274BF526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7356" w:type="dxa"/>
            <w:gridSpan w:val="2"/>
          </w:tcPr>
          <w:p w14:paraId="35B6D681" w14:textId="77777777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t xml:space="preserve">Unit Title: </w:t>
            </w:r>
            <w:r w:rsidRPr="00753B27">
              <w:rPr>
                <w:rFonts w:asciiTheme="minorHAnsi" w:hAnsiTheme="minorHAnsi"/>
              </w:rPr>
              <w:t xml:space="preserve">What does it mean to belong to a religion? </w:t>
            </w:r>
          </w:p>
        </w:tc>
      </w:tr>
      <w:tr w:rsidR="00EF1361" w:rsidRPr="00753B27" w14:paraId="17B92AEA" w14:textId="77777777">
        <w:trPr>
          <w:trHeight w:val="360"/>
        </w:trPr>
        <w:tc>
          <w:tcPr>
            <w:tcW w:w="1670" w:type="dxa"/>
            <w:vMerge/>
          </w:tcPr>
          <w:p w14:paraId="0F35A732" w14:textId="77777777" w:rsidR="00EF1361" w:rsidRPr="00753B27" w:rsidRDefault="00EF1361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185BE050" w14:textId="77777777" w:rsidR="00EF1361" w:rsidRPr="00753B27" w:rsidRDefault="00351B19">
            <w:pPr>
              <w:contextualSpacing w:val="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  <w:b/>
              </w:rPr>
              <w:t xml:space="preserve">Core concept: </w:t>
            </w:r>
            <w:r w:rsidRPr="00753B27">
              <w:rPr>
                <w:rFonts w:asciiTheme="minorHAnsi" w:hAnsiTheme="minorHAnsi"/>
              </w:rPr>
              <w:t>Holi -</w:t>
            </w:r>
            <w:r w:rsidRPr="00753B27">
              <w:rPr>
                <w:rFonts w:asciiTheme="minorHAnsi" w:hAnsiTheme="minorHAnsi"/>
                <w:b/>
              </w:rPr>
              <w:t xml:space="preserve"> </w:t>
            </w:r>
            <w:r w:rsidRPr="00753B27">
              <w:rPr>
                <w:rFonts w:asciiTheme="minorHAnsi" w:hAnsiTheme="minorHAnsi"/>
              </w:rPr>
              <w:t>Hinduism</w:t>
            </w:r>
          </w:p>
        </w:tc>
      </w:tr>
      <w:tr w:rsidR="00EF1361" w:rsidRPr="00753B27" w14:paraId="577A773F" w14:textId="77777777">
        <w:trPr>
          <w:trHeight w:val="360"/>
        </w:trPr>
        <w:tc>
          <w:tcPr>
            <w:tcW w:w="1670" w:type="dxa"/>
            <w:vMerge/>
          </w:tcPr>
          <w:p w14:paraId="35B02248" w14:textId="77777777" w:rsidR="00EF1361" w:rsidRPr="00753B27" w:rsidRDefault="00EF1361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412004BD" w14:textId="77777777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t>Learning Outcome:</w:t>
            </w:r>
          </w:p>
          <w:p w14:paraId="0462A5AC" w14:textId="3B65D1B9" w:rsidR="00EF1361" w:rsidRPr="00753B27" w:rsidRDefault="00753B27">
            <w:pPr>
              <w:contextualSpacing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Understand</w:t>
            </w:r>
            <w:r w:rsidR="00351B19" w:rsidRPr="00753B27">
              <w:rPr>
                <w:rFonts w:asciiTheme="minorHAnsi" w:hAnsiTheme="minorHAnsi"/>
              </w:rPr>
              <w:t xml:space="preserve"> the significance of Holi as a Hindu festival</w:t>
            </w:r>
          </w:p>
        </w:tc>
      </w:tr>
      <w:tr w:rsidR="00EF1361" w:rsidRPr="00753B27" w14:paraId="7518940C" w14:textId="77777777">
        <w:trPr>
          <w:trHeight w:val="360"/>
        </w:trPr>
        <w:tc>
          <w:tcPr>
            <w:tcW w:w="1670" w:type="dxa"/>
            <w:vMerge/>
          </w:tcPr>
          <w:p w14:paraId="103D9BD5" w14:textId="77777777" w:rsidR="00EF1361" w:rsidRPr="00753B27" w:rsidRDefault="00EF1361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268FFC18" w14:textId="77777777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t>Assessment Question:</w:t>
            </w:r>
          </w:p>
          <w:p w14:paraId="7CC6E3A8" w14:textId="77777777" w:rsidR="00EF1361" w:rsidRPr="00753B27" w:rsidRDefault="00351B19">
            <w:pPr>
              <w:spacing w:after="200" w:line="276" w:lineRule="auto"/>
              <w:contextualSpacing w:val="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Why and how do Hindus celebrate Holi?</w:t>
            </w:r>
          </w:p>
        </w:tc>
      </w:tr>
      <w:tr w:rsidR="00EF1361" w:rsidRPr="00753B27" w14:paraId="3350EEBD" w14:textId="77777777">
        <w:tc>
          <w:tcPr>
            <w:tcW w:w="1670" w:type="dxa"/>
          </w:tcPr>
          <w:p w14:paraId="4AF47F7A" w14:textId="77777777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20CB538C" w14:textId="39CB35D4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</w:rPr>
              <w:t>Provide pupils with a picture depicting the festival of Holi. Ask pupils to: match up statements relating to Holi to specific parts of the picture, annotate aspects that they can identify, provide explanations for reasoning, inclu</w:t>
            </w:r>
            <w:r w:rsidR="00753B27">
              <w:rPr>
                <w:rFonts w:asciiTheme="minorHAnsi" w:hAnsiTheme="minorHAnsi"/>
              </w:rPr>
              <w:t xml:space="preserve">de links to the story of Holi, </w:t>
            </w:r>
            <w:r w:rsidRPr="00753B27">
              <w:rPr>
                <w:rFonts w:asciiTheme="minorHAnsi" w:hAnsiTheme="minorHAnsi"/>
              </w:rPr>
              <w:t>explain how the festival of Holi relates to their own understanding of good/evil and/or light/darkness.</w:t>
            </w:r>
          </w:p>
        </w:tc>
      </w:tr>
      <w:tr w:rsidR="00EF1361" w:rsidRPr="00753B27" w14:paraId="395CCB05" w14:textId="77777777">
        <w:tc>
          <w:tcPr>
            <w:tcW w:w="1670" w:type="dxa"/>
          </w:tcPr>
          <w:p w14:paraId="42E38A13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2E34C455" w14:textId="77777777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t>Assessment outcomes:</w:t>
            </w:r>
          </w:p>
        </w:tc>
      </w:tr>
      <w:tr w:rsidR="00EF1361" w:rsidRPr="00753B27" w14:paraId="314FAD0A" w14:textId="77777777">
        <w:tc>
          <w:tcPr>
            <w:tcW w:w="1670" w:type="dxa"/>
          </w:tcPr>
          <w:p w14:paraId="37E54600" w14:textId="77777777" w:rsidR="00EF1361" w:rsidRPr="00753B27" w:rsidRDefault="00351B19">
            <w:pPr>
              <w:contextualSpacing w:val="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This question assesses:</w:t>
            </w:r>
          </w:p>
          <w:p w14:paraId="71BB36E7" w14:textId="77777777" w:rsidR="00EF1361" w:rsidRPr="00753B27" w:rsidRDefault="00351B1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 xml:space="preserve">Remembering </w:t>
            </w:r>
          </w:p>
          <w:p w14:paraId="36363202" w14:textId="77777777" w:rsidR="00EF1361" w:rsidRPr="00753B27" w:rsidRDefault="00351B1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Understanding</w:t>
            </w:r>
          </w:p>
          <w:p w14:paraId="58293464" w14:textId="77777777" w:rsidR="00EF1361" w:rsidRPr="00753B27" w:rsidRDefault="00351B1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Applying</w:t>
            </w:r>
          </w:p>
          <w:p w14:paraId="3FCBCCF9" w14:textId="77777777" w:rsidR="00EF1361" w:rsidRPr="00753B27" w:rsidRDefault="00351B1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proofErr w:type="spellStart"/>
            <w:r w:rsidRPr="00753B27">
              <w:rPr>
                <w:rFonts w:asciiTheme="minorHAnsi" w:hAnsiTheme="minorHAnsi"/>
              </w:rPr>
              <w:t>Analyzing</w:t>
            </w:r>
            <w:proofErr w:type="spellEnd"/>
          </w:p>
          <w:p w14:paraId="088354D6" w14:textId="77777777" w:rsidR="00EF1361" w:rsidRPr="00753B27" w:rsidRDefault="00351B1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Evaluating</w:t>
            </w:r>
          </w:p>
          <w:p w14:paraId="315A4A31" w14:textId="77777777" w:rsidR="00EF1361" w:rsidRPr="00753B27" w:rsidRDefault="00351B1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 xml:space="preserve">Creating </w:t>
            </w:r>
          </w:p>
          <w:p w14:paraId="6FDD1955" w14:textId="77777777" w:rsidR="00EF1361" w:rsidRPr="00753B27" w:rsidRDefault="00351B19">
            <w:pPr>
              <w:contextualSpacing w:val="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 xml:space="preserve"> (Choose as </w:t>
            </w:r>
            <w:proofErr w:type="gramStart"/>
            <w:r w:rsidRPr="00753B27">
              <w:rPr>
                <w:rFonts w:asciiTheme="minorHAnsi" w:hAnsiTheme="minorHAnsi"/>
              </w:rP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1021C26D" w14:textId="1AD7765D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t>Secure/Expected</w:t>
            </w:r>
          </w:p>
          <w:p w14:paraId="7A2C7C7A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  <w:p w14:paraId="17B04CF5" w14:textId="77777777" w:rsidR="00EF1361" w:rsidRPr="00753B27" w:rsidRDefault="00351B1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Pupils can describe and explain the Trimurti</w:t>
            </w:r>
          </w:p>
          <w:p w14:paraId="61851790" w14:textId="77777777" w:rsidR="00EF1361" w:rsidRPr="00753B27" w:rsidRDefault="00351B1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Pupils know that Holi is a Hindu festival and they can explain the significance of this festival/what is celebrated</w:t>
            </w:r>
          </w:p>
          <w:p w14:paraId="49E5D0DE" w14:textId="77777777" w:rsidR="00EF1361" w:rsidRPr="00753B27" w:rsidRDefault="00351B1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 xml:space="preserve">Pupils can retell the story of </w:t>
            </w:r>
            <w:proofErr w:type="spellStart"/>
            <w:r w:rsidRPr="00753B27">
              <w:rPr>
                <w:rFonts w:asciiTheme="minorHAnsi" w:hAnsiTheme="minorHAnsi"/>
              </w:rPr>
              <w:t>Prahalad</w:t>
            </w:r>
            <w:proofErr w:type="spellEnd"/>
            <w:r w:rsidRPr="00753B27">
              <w:rPr>
                <w:rFonts w:asciiTheme="minorHAnsi" w:hAnsiTheme="minorHAnsi"/>
              </w:rPr>
              <w:t xml:space="preserve"> and </w:t>
            </w:r>
            <w:proofErr w:type="spellStart"/>
            <w:r w:rsidRPr="00753B27">
              <w:rPr>
                <w:rFonts w:asciiTheme="minorHAnsi" w:hAnsiTheme="minorHAnsi"/>
              </w:rPr>
              <w:t>Holika</w:t>
            </w:r>
            <w:proofErr w:type="spellEnd"/>
            <w:r w:rsidRPr="00753B27">
              <w:rPr>
                <w:rFonts w:asciiTheme="minorHAnsi" w:hAnsiTheme="minorHAnsi"/>
              </w:rPr>
              <w:t xml:space="preserve"> and they can explain the significance of the story as part of Holi </w:t>
            </w:r>
          </w:p>
          <w:p w14:paraId="108AC186" w14:textId="77777777" w:rsidR="00EF1361" w:rsidRPr="00753B27" w:rsidRDefault="00351B1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Pupils understand that different colours represent different aspects of Holi and they can explain some of these representations</w:t>
            </w:r>
          </w:p>
          <w:p w14:paraId="362EE23C" w14:textId="77777777" w:rsidR="00EF1361" w:rsidRPr="00753B27" w:rsidRDefault="00351B1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Explain why particular festivals are celebrated at specific times of the year</w:t>
            </w:r>
          </w:p>
          <w:p w14:paraId="3FA9E63F" w14:textId="77777777" w:rsidR="00EF1361" w:rsidRPr="00753B27" w:rsidRDefault="00351B1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Pupils begin to explore their understanding of good/evil, light/darkness</w:t>
            </w:r>
          </w:p>
          <w:p w14:paraId="73F2DF8B" w14:textId="77777777" w:rsidR="00EF1361" w:rsidRPr="00753B27" w:rsidRDefault="00351B1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 xml:space="preserve">Pupils question key concepts </w:t>
            </w:r>
          </w:p>
          <w:p w14:paraId="4776BD79" w14:textId="77777777" w:rsidR="00EF1361" w:rsidRPr="00753B27" w:rsidRDefault="00EF1361" w:rsidP="00D91DB1">
            <w:pPr>
              <w:ind w:left="720"/>
              <w:rPr>
                <w:rFonts w:asciiTheme="minorHAnsi" w:hAnsiTheme="minorHAnsi"/>
              </w:rPr>
            </w:pPr>
          </w:p>
        </w:tc>
      </w:tr>
      <w:tr w:rsidR="00EF1361" w:rsidRPr="00753B27" w14:paraId="546949E3" w14:textId="77777777">
        <w:tc>
          <w:tcPr>
            <w:tcW w:w="1670" w:type="dxa"/>
          </w:tcPr>
          <w:p w14:paraId="58AE298E" w14:textId="77777777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2C7D0D05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  <w:bookmarkStart w:id="1" w:name="_gjdgxs" w:colFirst="0" w:colLast="0"/>
            <w:bookmarkEnd w:id="1"/>
          </w:p>
        </w:tc>
      </w:tr>
      <w:tr w:rsidR="00EF1361" w:rsidRPr="00753B27" w14:paraId="66565D5A" w14:textId="77777777">
        <w:tc>
          <w:tcPr>
            <w:tcW w:w="4136" w:type="dxa"/>
            <w:gridSpan w:val="2"/>
          </w:tcPr>
          <w:p w14:paraId="664477D5" w14:textId="77777777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t xml:space="preserve">Developing/Emerging </w:t>
            </w:r>
          </w:p>
          <w:p w14:paraId="6BB61592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  <w:p w14:paraId="43667128" w14:textId="77777777" w:rsidR="00EF1361" w:rsidRPr="00753B27" w:rsidRDefault="00351B19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Pupils know that Holi is a Hindu festival</w:t>
            </w:r>
          </w:p>
          <w:p w14:paraId="4C0FF3C2" w14:textId="77777777" w:rsidR="00EF1361" w:rsidRPr="00753B27" w:rsidRDefault="00351B19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 xml:space="preserve">Pupils can retell and sequence key events in the story of </w:t>
            </w:r>
            <w:proofErr w:type="spellStart"/>
            <w:r w:rsidRPr="00753B27">
              <w:rPr>
                <w:rFonts w:asciiTheme="minorHAnsi" w:hAnsiTheme="minorHAnsi"/>
              </w:rPr>
              <w:lastRenderedPageBreak/>
              <w:t>Prahalad</w:t>
            </w:r>
            <w:proofErr w:type="spellEnd"/>
            <w:r w:rsidRPr="00753B27">
              <w:rPr>
                <w:rFonts w:asciiTheme="minorHAnsi" w:hAnsiTheme="minorHAnsi"/>
              </w:rPr>
              <w:t xml:space="preserve"> and </w:t>
            </w:r>
            <w:proofErr w:type="spellStart"/>
            <w:r w:rsidRPr="00753B27">
              <w:rPr>
                <w:rFonts w:asciiTheme="minorHAnsi" w:hAnsiTheme="minorHAnsi"/>
              </w:rPr>
              <w:t>Holika</w:t>
            </w:r>
            <w:proofErr w:type="spellEnd"/>
          </w:p>
          <w:p w14:paraId="1B07265B" w14:textId="77777777" w:rsidR="00EF1361" w:rsidRPr="00753B27" w:rsidRDefault="00351B19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Pupils explain that the festival of Holi is often celebrated using colour and the significance of this</w:t>
            </w:r>
          </w:p>
          <w:p w14:paraId="7C573278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  <w:p w14:paraId="38381563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  <w:p w14:paraId="5A99511A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  <w:p w14:paraId="46C93FFE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31A8BC2E" w14:textId="56E4902C" w:rsidR="00EF1361" w:rsidRPr="00753B27" w:rsidRDefault="00351B19">
            <w:pPr>
              <w:contextualSpacing w:val="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  <w:b/>
              </w:rPr>
              <w:lastRenderedPageBreak/>
              <w:t>Excelling</w:t>
            </w:r>
            <w:r w:rsidRPr="00753B27">
              <w:rPr>
                <w:rFonts w:asciiTheme="minorHAnsi" w:hAnsiTheme="minorHAnsi"/>
              </w:rPr>
              <w:t xml:space="preserve"> </w:t>
            </w:r>
          </w:p>
          <w:p w14:paraId="31480070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  <w:p w14:paraId="3245865B" w14:textId="77777777" w:rsidR="00EF1361" w:rsidRPr="00753B27" w:rsidRDefault="00351B19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 xml:space="preserve">Pupils can link and explain the story of </w:t>
            </w:r>
            <w:proofErr w:type="spellStart"/>
            <w:r w:rsidRPr="00753B27">
              <w:rPr>
                <w:rFonts w:asciiTheme="minorHAnsi" w:hAnsiTheme="minorHAnsi"/>
              </w:rPr>
              <w:t>Prahalad</w:t>
            </w:r>
            <w:proofErr w:type="spellEnd"/>
            <w:r w:rsidRPr="00753B27">
              <w:rPr>
                <w:rFonts w:asciiTheme="minorHAnsi" w:hAnsiTheme="minorHAnsi"/>
              </w:rPr>
              <w:t xml:space="preserve"> and </w:t>
            </w:r>
            <w:proofErr w:type="spellStart"/>
            <w:r w:rsidRPr="00753B27">
              <w:rPr>
                <w:rFonts w:asciiTheme="minorHAnsi" w:hAnsiTheme="minorHAnsi"/>
              </w:rPr>
              <w:t>Holika</w:t>
            </w:r>
            <w:proofErr w:type="spellEnd"/>
            <w:r w:rsidRPr="00753B27">
              <w:rPr>
                <w:rFonts w:asciiTheme="minorHAnsi" w:hAnsiTheme="minorHAnsi"/>
              </w:rPr>
              <w:t xml:space="preserve"> to the concept of good overcoming evil and light overcoming darkness</w:t>
            </w:r>
          </w:p>
          <w:p w14:paraId="30401758" w14:textId="77777777" w:rsidR="00EF1361" w:rsidRPr="00753B27" w:rsidRDefault="00351B19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lastRenderedPageBreak/>
              <w:t>Pupils can understand and explain the significance of Lord Vishnu (and the Trimurti) within the story and within Hinduism</w:t>
            </w:r>
          </w:p>
          <w:p w14:paraId="25CC4CFC" w14:textId="77777777" w:rsidR="00EF1361" w:rsidRPr="00753B27" w:rsidRDefault="00351B19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 xml:space="preserve">Pupils can make links to other world religions studied (colours used as symbolism, light and darkness </w:t>
            </w:r>
            <w:proofErr w:type="spellStart"/>
            <w:r w:rsidRPr="00753B27">
              <w:rPr>
                <w:rFonts w:asciiTheme="minorHAnsi" w:hAnsiTheme="minorHAnsi"/>
              </w:rPr>
              <w:t>etc</w:t>
            </w:r>
            <w:proofErr w:type="spellEnd"/>
            <w:r w:rsidRPr="00753B27">
              <w:rPr>
                <w:rFonts w:asciiTheme="minorHAnsi" w:hAnsiTheme="minorHAnsi"/>
              </w:rPr>
              <w:t>)</w:t>
            </w:r>
          </w:p>
          <w:p w14:paraId="29B21400" w14:textId="77777777" w:rsidR="00EF1361" w:rsidRPr="00753B27" w:rsidRDefault="00351B19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Relate learning to their own experiences or beliefs about good/evil, light/darkness</w:t>
            </w:r>
          </w:p>
          <w:p w14:paraId="2FB5FD2C" w14:textId="77777777" w:rsidR="00EF1361" w:rsidRPr="00753B27" w:rsidRDefault="00351B19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Can children make an objective comparison between the Trimurti and the Trinity (similarities/</w:t>
            </w:r>
            <w:proofErr w:type="gramStart"/>
            <w:r w:rsidRPr="00753B27">
              <w:rPr>
                <w:rFonts w:asciiTheme="minorHAnsi" w:hAnsiTheme="minorHAnsi"/>
              </w:rPr>
              <w:t>differences)</w:t>
            </w:r>
            <w:proofErr w:type="gramEnd"/>
          </w:p>
          <w:p w14:paraId="73BE4B29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F1361" w:rsidRPr="00753B27" w14:paraId="0582AF1B" w14:textId="77777777">
        <w:trPr>
          <w:trHeight w:val="240"/>
        </w:trPr>
        <w:tc>
          <w:tcPr>
            <w:tcW w:w="1670" w:type="dxa"/>
          </w:tcPr>
          <w:p w14:paraId="1A483079" w14:textId="77777777" w:rsidR="00EF1361" w:rsidRPr="00753B27" w:rsidRDefault="00351B19">
            <w:pPr>
              <w:contextualSpacing w:val="0"/>
              <w:rPr>
                <w:rFonts w:asciiTheme="minorHAnsi" w:hAnsiTheme="minorHAnsi"/>
                <w:b/>
              </w:rPr>
            </w:pPr>
            <w:r w:rsidRPr="00753B27">
              <w:rPr>
                <w:rFonts w:asciiTheme="minorHAnsi" w:hAnsiTheme="minorHAnsi"/>
                <w:b/>
              </w:rPr>
              <w:lastRenderedPageBreak/>
              <w:t>Pupils</w:t>
            </w:r>
          </w:p>
        </w:tc>
        <w:tc>
          <w:tcPr>
            <w:tcW w:w="2466" w:type="dxa"/>
          </w:tcPr>
          <w:p w14:paraId="5E783F36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461DEFBB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F1361" w:rsidRPr="00753B27" w14:paraId="3CECBEBB" w14:textId="77777777">
        <w:trPr>
          <w:trHeight w:val="840"/>
        </w:trPr>
        <w:tc>
          <w:tcPr>
            <w:tcW w:w="1670" w:type="dxa"/>
          </w:tcPr>
          <w:p w14:paraId="01844DF1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4BAED3B1" w14:textId="77777777" w:rsidR="00EF1361" w:rsidRPr="00753B27" w:rsidRDefault="00351B19">
            <w:pPr>
              <w:contextualSpacing w:val="0"/>
              <w:rPr>
                <w:rFonts w:asciiTheme="minorHAnsi" w:hAnsiTheme="minorHAnsi"/>
              </w:rPr>
            </w:pPr>
            <w:r w:rsidRPr="00753B27">
              <w:rPr>
                <w:rFonts w:asciiTheme="minorHAnsi" w:hAnsiTheme="minorHAnsi"/>
              </w:rPr>
              <w:t>Pupils with additional needs have made the following responses ........</w:t>
            </w:r>
          </w:p>
          <w:p w14:paraId="0CFC0F89" w14:textId="77777777" w:rsidR="00EF1361" w:rsidRPr="00753B27" w:rsidRDefault="00EF1361">
            <w:pPr>
              <w:contextualSpacing w:val="0"/>
              <w:rPr>
                <w:rFonts w:asciiTheme="minorHAnsi" w:hAnsiTheme="minorHAnsi"/>
              </w:rPr>
            </w:pPr>
          </w:p>
        </w:tc>
      </w:tr>
    </w:tbl>
    <w:p w14:paraId="615DDC1B" w14:textId="77777777" w:rsidR="00EF1361" w:rsidRPr="00753B27" w:rsidRDefault="00EF1361">
      <w:pPr>
        <w:rPr>
          <w:rFonts w:asciiTheme="minorHAnsi" w:hAnsiTheme="minorHAnsi"/>
        </w:rPr>
      </w:pPr>
    </w:p>
    <w:p w14:paraId="68D1DF48" w14:textId="77777777" w:rsidR="00EF1361" w:rsidRPr="00753B27" w:rsidRDefault="00351B19">
      <w:pPr>
        <w:rPr>
          <w:rFonts w:asciiTheme="minorHAnsi" w:hAnsiTheme="minorHAnsi"/>
        </w:rPr>
      </w:pPr>
      <w:r w:rsidRPr="00753B27">
        <w:rPr>
          <w:rFonts w:asciiTheme="minorHAnsi" w:hAnsiTheme="minorHAnsi"/>
        </w:rPr>
        <w:t xml:space="preserve">*For more guidance on how to assess different cognitive processes please refer to Assessment Without Levels using Bloom’s Revised Taxonomy </w:t>
      </w:r>
      <w:hyperlink r:id="rId7">
        <w:r w:rsidRPr="00753B27">
          <w:rPr>
            <w:rFonts w:asciiTheme="minorHAnsi" w:hAnsiTheme="minorHAnsi"/>
            <w:color w:val="0563C1"/>
            <w:u w:val="single"/>
          </w:rPr>
          <w:t>http://ltlre.org/projects/assessment-without-levels-in-re/</w:t>
        </w:r>
      </w:hyperlink>
    </w:p>
    <w:p w14:paraId="566FC770" w14:textId="77777777" w:rsidR="00EF1361" w:rsidRPr="00753B27" w:rsidRDefault="00EF1361">
      <w:pPr>
        <w:rPr>
          <w:rFonts w:asciiTheme="minorHAnsi" w:hAnsiTheme="minorHAnsi"/>
        </w:rPr>
      </w:pPr>
    </w:p>
    <w:p w14:paraId="1942FE50" w14:textId="77777777" w:rsidR="00EF1361" w:rsidRPr="00753B27" w:rsidRDefault="00351B19">
      <w:pPr>
        <w:rPr>
          <w:rFonts w:asciiTheme="minorHAnsi" w:hAnsiTheme="minorHAnsi"/>
        </w:rPr>
      </w:pPr>
      <w:r w:rsidRPr="00753B27">
        <w:rPr>
          <w:rFonts w:asciiTheme="minorHAnsi" w:hAnsiTheme="minorHAnsi"/>
        </w:rPr>
        <w:t xml:space="preserve">If you would like to contribute any examples of assessment overviews, please email them to Ed Pawson on </w:t>
      </w:r>
      <w:hyperlink r:id="rId8">
        <w:r w:rsidRPr="00753B27">
          <w:rPr>
            <w:rFonts w:asciiTheme="minorHAnsi" w:hAnsiTheme="minorHAnsi"/>
            <w:color w:val="1155CC"/>
            <w:u w:val="single"/>
          </w:rPr>
          <w:t>efpawson@gmail.com</w:t>
        </w:r>
      </w:hyperlink>
      <w:r w:rsidRPr="00753B27">
        <w:rPr>
          <w:rFonts w:asciiTheme="minorHAnsi" w:hAnsiTheme="minorHAnsi"/>
        </w:rPr>
        <w:t xml:space="preserve"> </w:t>
      </w:r>
    </w:p>
    <w:p w14:paraId="3A2308BF" w14:textId="77777777" w:rsidR="00EF1361" w:rsidRPr="00753B27" w:rsidRDefault="00EF1361">
      <w:pPr>
        <w:rPr>
          <w:rFonts w:asciiTheme="minorHAnsi" w:hAnsiTheme="minorHAnsi"/>
        </w:rPr>
      </w:pPr>
      <w:bookmarkStart w:id="2" w:name="_30j0zll" w:colFirst="0" w:colLast="0"/>
      <w:bookmarkEnd w:id="2"/>
    </w:p>
    <w:sectPr w:rsidR="00EF1361" w:rsidRPr="00753B27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3A04D" w14:textId="77777777" w:rsidR="00356731" w:rsidRDefault="00356731">
      <w:r>
        <w:separator/>
      </w:r>
    </w:p>
  </w:endnote>
  <w:endnote w:type="continuationSeparator" w:id="0">
    <w:p w14:paraId="523A9C83" w14:textId="77777777" w:rsidR="00356731" w:rsidRDefault="0035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1AED9" w14:textId="77777777" w:rsidR="00EF1361" w:rsidRDefault="00351B19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353DB68A" w14:textId="77777777" w:rsidR="00EF1361" w:rsidRDefault="00EF1361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BA12B" w14:textId="77777777" w:rsidR="00356731" w:rsidRDefault="00356731">
      <w:r>
        <w:separator/>
      </w:r>
    </w:p>
  </w:footnote>
  <w:footnote w:type="continuationSeparator" w:id="0">
    <w:p w14:paraId="62DDF38C" w14:textId="77777777" w:rsidR="00356731" w:rsidRDefault="0035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4A3E"/>
    <w:multiLevelType w:val="multilevel"/>
    <w:tmpl w:val="FFAE56C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">
    <w:nsid w:val="318C7932"/>
    <w:multiLevelType w:val="multilevel"/>
    <w:tmpl w:val="A220194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60572CCC"/>
    <w:multiLevelType w:val="multilevel"/>
    <w:tmpl w:val="900E0A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6426586A"/>
    <w:multiLevelType w:val="multilevel"/>
    <w:tmpl w:val="614C367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1361"/>
    <w:rsid w:val="0002185C"/>
    <w:rsid w:val="002D38DF"/>
    <w:rsid w:val="00351B19"/>
    <w:rsid w:val="00356731"/>
    <w:rsid w:val="00753B27"/>
    <w:rsid w:val="009C31EC"/>
    <w:rsid w:val="00D91DB1"/>
    <w:rsid w:val="00E65F9F"/>
    <w:rsid w:val="00E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25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6</cp:revision>
  <dcterms:created xsi:type="dcterms:W3CDTF">2017-06-06T12:58:00Z</dcterms:created>
  <dcterms:modified xsi:type="dcterms:W3CDTF">2017-06-06T14:42:00Z</dcterms:modified>
</cp:coreProperties>
</file>