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DCFC9E" w14:textId="77777777" w:rsidR="004A05D6" w:rsidRDefault="00A611F3">
      <w:pPr>
        <w:rPr>
          <w:b/>
        </w:rPr>
      </w:pPr>
      <w:r>
        <w:rPr>
          <w:b/>
        </w:rPr>
        <w:t>Devon, Plymouth and Torbay schools</w:t>
      </w:r>
    </w:p>
    <w:p w14:paraId="1BD4077A" w14:textId="77777777" w:rsidR="004A05D6" w:rsidRDefault="00A611F3">
      <w:pPr>
        <w:rPr>
          <w:b/>
        </w:rPr>
      </w:pPr>
      <w:r>
        <w:rPr>
          <w:b/>
        </w:rPr>
        <w:t>RE assessment template</w:t>
      </w:r>
    </w:p>
    <w:p w14:paraId="302F9123" w14:textId="77777777" w:rsidR="004A05D6" w:rsidRDefault="00A611F3">
      <w:r>
        <w:t>This document is designed to support the summative assessment of RE in line with the Devon, Torbay and Plymouth Agreed Syllabi. This is not intended to be used as a planning tool; it is a flexible resource to be edited and customized for individual teachers in their own classroom contexts, responding to the material and content that they have taught.</w:t>
      </w:r>
    </w:p>
    <w:p w14:paraId="2BDFBFF0" w14:textId="77777777" w:rsidR="004A05D6" w:rsidRDefault="00A611F3">
      <w:r>
        <w:t xml:space="preserve">This template should be used in addition to other forms of formative assessment. </w:t>
      </w:r>
    </w:p>
    <w:p w14:paraId="41D313F5" w14:textId="77777777" w:rsidR="004A05D6" w:rsidRDefault="004A05D6"/>
    <w:tbl>
      <w:tblPr>
        <w:tblStyle w:val="a"/>
        <w:tblW w:w="902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0"/>
        <w:gridCol w:w="2466"/>
        <w:gridCol w:w="4890"/>
      </w:tblGrid>
      <w:tr w:rsidR="004A05D6" w14:paraId="187012A4" w14:textId="77777777">
        <w:trPr>
          <w:trHeight w:val="360"/>
        </w:trPr>
        <w:tc>
          <w:tcPr>
            <w:tcW w:w="1670" w:type="dxa"/>
            <w:vMerge w:val="restart"/>
          </w:tcPr>
          <w:p w14:paraId="59B17991" w14:textId="77777777" w:rsidR="004A05D6" w:rsidRDefault="00A611F3">
            <w:pPr>
              <w:contextualSpacing w:val="0"/>
              <w:rPr>
                <w:b/>
              </w:rPr>
            </w:pPr>
            <w:r>
              <w:rPr>
                <w:b/>
              </w:rPr>
              <w:t>Key Stage 1</w:t>
            </w:r>
          </w:p>
          <w:p w14:paraId="0891882B" w14:textId="77777777" w:rsidR="004A05D6" w:rsidRDefault="00A611F3">
            <w:pPr>
              <w:contextualSpacing w:val="0"/>
              <w:rPr>
                <w:b/>
              </w:rPr>
            </w:pPr>
            <w:r>
              <w:rPr>
                <w:b/>
              </w:rPr>
              <w:t>Christianity and Judaism</w:t>
            </w:r>
          </w:p>
          <w:p w14:paraId="5221A0F4" w14:textId="77777777" w:rsidR="004A05D6" w:rsidRDefault="004A05D6">
            <w:pPr>
              <w:contextualSpacing w:val="0"/>
              <w:rPr>
                <w:b/>
              </w:rPr>
            </w:pPr>
          </w:p>
          <w:p w14:paraId="6F28877B" w14:textId="61DBE9A2" w:rsidR="004A05D6" w:rsidRDefault="004A05D6">
            <w:pPr>
              <w:contextualSpacing w:val="0"/>
            </w:pPr>
            <w:bookmarkStart w:id="0" w:name="_GoBack"/>
            <w:bookmarkEnd w:id="0"/>
          </w:p>
        </w:tc>
        <w:tc>
          <w:tcPr>
            <w:tcW w:w="7356" w:type="dxa"/>
            <w:gridSpan w:val="2"/>
          </w:tcPr>
          <w:p w14:paraId="00E26788" w14:textId="77777777" w:rsidR="004A05D6" w:rsidRDefault="00A611F3">
            <w:pPr>
              <w:contextualSpacing w:val="0"/>
            </w:pPr>
            <w:r>
              <w:rPr>
                <w:b/>
              </w:rPr>
              <w:t xml:space="preserve">Unit Title: </w:t>
            </w:r>
            <w:r>
              <w:t>Where do we belong?</w:t>
            </w:r>
          </w:p>
          <w:p w14:paraId="11A23FA3" w14:textId="77777777" w:rsidR="004A05D6" w:rsidRDefault="004A05D6">
            <w:pPr>
              <w:contextualSpacing w:val="0"/>
              <w:rPr>
                <w:b/>
              </w:rPr>
            </w:pPr>
          </w:p>
        </w:tc>
      </w:tr>
      <w:tr w:rsidR="004A05D6" w14:paraId="7C1B1681" w14:textId="77777777">
        <w:trPr>
          <w:trHeight w:val="360"/>
        </w:trPr>
        <w:tc>
          <w:tcPr>
            <w:tcW w:w="1670" w:type="dxa"/>
            <w:vMerge/>
          </w:tcPr>
          <w:p w14:paraId="1E87E52D" w14:textId="77777777" w:rsidR="004A05D6" w:rsidRDefault="004A05D6">
            <w:pPr>
              <w:contextualSpacing w:val="0"/>
              <w:rPr>
                <w:b/>
              </w:rPr>
            </w:pPr>
          </w:p>
        </w:tc>
        <w:tc>
          <w:tcPr>
            <w:tcW w:w="7356" w:type="dxa"/>
            <w:gridSpan w:val="2"/>
          </w:tcPr>
          <w:p w14:paraId="5E6FA508" w14:textId="77777777" w:rsidR="004A05D6" w:rsidRDefault="00A611F3">
            <w:pPr>
              <w:contextualSpacing w:val="0"/>
            </w:pPr>
            <w:r>
              <w:rPr>
                <w:b/>
              </w:rPr>
              <w:t xml:space="preserve">Core concept: </w:t>
            </w:r>
            <w:r>
              <w:t xml:space="preserve">Why is it important to us to belong? How do people show they belong? </w:t>
            </w:r>
          </w:p>
        </w:tc>
      </w:tr>
      <w:tr w:rsidR="004A05D6" w14:paraId="4DF3D3E5" w14:textId="77777777">
        <w:trPr>
          <w:trHeight w:val="360"/>
        </w:trPr>
        <w:tc>
          <w:tcPr>
            <w:tcW w:w="1670" w:type="dxa"/>
            <w:vMerge/>
          </w:tcPr>
          <w:p w14:paraId="363B5F48" w14:textId="77777777" w:rsidR="004A05D6" w:rsidRDefault="004A05D6">
            <w:pPr>
              <w:contextualSpacing w:val="0"/>
              <w:rPr>
                <w:b/>
              </w:rPr>
            </w:pPr>
          </w:p>
        </w:tc>
        <w:tc>
          <w:tcPr>
            <w:tcW w:w="7356" w:type="dxa"/>
            <w:gridSpan w:val="2"/>
          </w:tcPr>
          <w:p w14:paraId="1EC30FEB" w14:textId="77777777" w:rsidR="004A05D6" w:rsidRDefault="00A611F3">
            <w:pPr>
              <w:contextualSpacing w:val="0"/>
              <w:rPr>
                <w:b/>
              </w:rPr>
            </w:pPr>
            <w:r>
              <w:rPr>
                <w:b/>
              </w:rPr>
              <w:t>Learning Outcome:</w:t>
            </w:r>
          </w:p>
          <w:p w14:paraId="3C467E24" w14:textId="77777777" w:rsidR="004A05D6" w:rsidRDefault="00A611F3">
            <w:pPr>
              <w:numPr>
                <w:ilvl w:val="0"/>
                <w:numId w:val="1"/>
              </w:numPr>
              <w:spacing w:after="120"/>
              <w:ind w:hanging="360"/>
              <w:rPr>
                <w:sz w:val="22"/>
                <w:szCs w:val="22"/>
              </w:rPr>
            </w:pPr>
            <w:r>
              <w:rPr>
                <w:sz w:val="22"/>
                <w:szCs w:val="22"/>
              </w:rPr>
              <w:t>Pupils can talk about what is important to them and to other people with respect for feelings</w:t>
            </w:r>
          </w:p>
          <w:p w14:paraId="776207C3" w14:textId="77777777" w:rsidR="004A05D6" w:rsidRDefault="00A611F3">
            <w:pPr>
              <w:numPr>
                <w:ilvl w:val="0"/>
                <w:numId w:val="1"/>
              </w:numPr>
              <w:spacing w:after="120"/>
              <w:ind w:hanging="360"/>
              <w:rPr>
                <w:sz w:val="22"/>
                <w:szCs w:val="22"/>
              </w:rPr>
            </w:pPr>
            <w:r>
              <w:rPr>
                <w:sz w:val="22"/>
                <w:szCs w:val="22"/>
              </w:rPr>
              <w:t>Pupils can describe and explain religious meanings of Christenings, confirmation, Bat and Bar Mitzvah.</w:t>
            </w:r>
          </w:p>
          <w:p w14:paraId="06D0B822" w14:textId="77777777" w:rsidR="004A05D6" w:rsidRDefault="00A611F3">
            <w:pPr>
              <w:numPr>
                <w:ilvl w:val="0"/>
                <w:numId w:val="1"/>
              </w:numPr>
              <w:spacing w:after="120"/>
              <w:ind w:hanging="360"/>
              <w:rPr>
                <w:sz w:val="22"/>
                <w:szCs w:val="22"/>
              </w:rPr>
            </w:pPr>
            <w:r>
              <w:rPr>
                <w:sz w:val="22"/>
                <w:szCs w:val="22"/>
              </w:rPr>
              <w:t>Pupils can talk about why church and synagogue are important to Christians and Jewish people.</w:t>
            </w:r>
          </w:p>
          <w:p w14:paraId="1034A03C" w14:textId="77777777" w:rsidR="004A05D6" w:rsidRDefault="004A05D6">
            <w:pPr>
              <w:contextualSpacing w:val="0"/>
              <w:rPr>
                <w:b/>
              </w:rPr>
            </w:pPr>
          </w:p>
        </w:tc>
      </w:tr>
      <w:tr w:rsidR="004A05D6" w14:paraId="3CFDDC5F" w14:textId="77777777">
        <w:trPr>
          <w:trHeight w:val="360"/>
        </w:trPr>
        <w:tc>
          <w:tcPr>
            <w:tcW w:w="1670" w:type="dxa"/>
            <w:vMerge/>
          </w:tcPr>
          <w:p w14:paraId="1E14D794" w14:textId="77777777" w:rsidR="004A05D6" w:rsidRDefault="004A05D6">
            <w:pPr>
              <w:contextualSpacing w:val="0"/>
              <w:rPr>
                <w:b/>
              </w:rPr>
            </w:pPr>
          </w:p>
        </w:tc>
        <w:tc>
          <w:tcPr>
            <w:tcW w:w="7356" w:type="dxa"/>
            <w:gridSpan w:val="2"/>
          </w:tcPr>
          <w:p w14:paraId="209F0503" w14:textId="77777777" w:rsidR="004A05D6" w:rsidRDefault="00A611F3">
            <w:pPr>
              <w:contextualSpacing w:val="0"/>
              <w:rPr>
                <w:b/>
              </w:rPr>
            </w:pPr>
            <w:r>
              <w:rPr>
                <w:b/>
              </w:rPr>
              <w:t>Assessment Question:</w:t>
            </w:r>
          </w:p>
          <w:p w14:paraId="0F8FF911" w14:textId="77777777" w:rsidR="004A05D6" w:rsidRDefault="00A611F3">
            <w:pPr>
              <w:numPr>
                <w:ilvl w:val="0"/>
                <w:numId w:val="5"/>
              </w:numPr>
              <w:spacing w:after="120"/>
              <w:ind w:hanging="360"/>
              <w:rPr>
                <w:sz w:val="22"/>
                <w:szCs w:val="22"/>
              </w:rPr>
            </w:pPr>
            <w:r>
              <w:rPr>
                <w:sz w:val="22"/>
                <w:szCs w:val="22"/>
              </w:rPr>
              <w:t>Where do I belong? (Feelings, experiences)</w:t>
            </w:r>
          </w:p>
          <w:p w14:paraId="2152C4C3" w14:textId="77777777" w:rsidR="004A05D6" w:rsidRDefault="00A611F3">
            <w:pPr>
              <w:numPr>
                <w:ilvl w:val="0"/>
                <w:numId w:val="5"/>
              </w:numPr>
              <w:spacing w:after="120"/>
              <w:ind w:hanging="360"/>
              <w:rPr>
                <w:sz w:val="22"/>
                <w:szCs w:val="22"/>
              </w:rPr>
            </w:pPr>
            <w:r>
              <w:rPr>
                <w:sz w:val="22"/>
                <w:szCs w:val="22"/>
              </w:rPr>
              <w:t>Where do people belong? (Family, local community, group, club, place, country, faith)</w:t>
            </w:r>
          </w:p>
          <w:p w14:paraId="7F534088" w14:textId="77777777" w:rsidR="004A05D6" w:rsidRDefault="00A611F3">
            <w:pPr>
              <w:numPr>
                <w:ilvl w:val="0"/>
                <w:numId w:val="5"/>
              </w:numPr>
              <w:spacing w:after="120"/>
              <w:ind w:hanging="360"/>
              <w:rPr>
                <w:sz w:val="22"/>
                <w:szCs w:val="22"/>
              </w:rPr>
            </w:pPr>
            <w:r>
              <w:rPr>
                <w:sz w:val="22"/>
                <w:szCs w:val="22"/>
              </w:rPr>
              <w:t>What do people do because they belong to a faith or belief community?</w:t>
            </w:r>
          </w:p>
          <w:p w14:paraId="37DF9D7D" w14:textId="77777777" w:rsidR="004A05D6" w:rsidRDefault="00A611F3">
            <w:pPr>
              <w:numPr>
                <w:ilvl w:val="0"/>
                <w:numId w:val="5"/>
              </w:numPr>
              <w:spacing w:after="120"/>
              <w:ind w:hanging="360"/>
              <w:rPr>
                <w:sz w:val="28"/>
                <w:szCs w:val="28"/>
              </w:rPr>
            </w:pPr>
            <w:r>
              <w:rPr>
                <w:sz w:val="22"/>
                <w:szCs w:val="22"/>
              </w:rPr>
              <w:t>How might ideas of family and community be reflected in our own lives?</w:t>
            </w:r>
          </w:p>
          <w:p w14:paraId="18A99676" w14:textId="77777777" w:rsidR="004A05D6" w:rsidRDefault="004A05D6">
            <w:pPr>
              <w:contextualSpacing w:val="0"/>
              <w:rPr>
                <w:b/>
              </w:rPr>
            </w:pPr>
          </w:p>
        </w:tc>
      </w:tr>
      <w:tr w:rsidR="004A05D6" w14:paraId="288F4810" w14:textId="77777777">
        <w:tc>
          <w:tcPr>
            <w:tcW w:w="1670" w:type="dxa"/>
          </w:tcPr>
          <w:p w14:paraId="71FC087E" w14:textId="77777777" w:rsidR="004A05D6" w:rsidRDefault="00A611F3">
            <w:pPr>
              <w:contextualSpacing w:val="0"/>
              <w:rPr>
                <w:b/>
              </w:rPr>
            </w:pPr>
            <w:r>
              <w:rPr>
                <w:b/>
              </w:rPr>
              <w:t>Suggested assessment tasks</w:t>
            </w:r>
          </w:p>
        </w:tc>
        <w:tc>
          <w:tcPr>
            <w:tcW w:w="7356" w:type="dxa"/>
            <w:gridSpan w:val="2"/>
          </w:tcPr>
          <w:p w14:paraId="6CDEBDC3" w14:textId="77777777" w:rsidR="004A05D6" w:rsidRDefault="00A611F3">
            <w:pPr>
              <w:contextualSpacing w:val="0"/>
              <w:rPr>
                <w:sz w:val="22"/>
                <w:szCs w:val="22"/>
              </w:rPr>
            </w:pPr>
            <w:r>
              <w:rPr>
                <w:sz w:val="22"/>
                <w:szCs w:val="22"/>
              </w:rPr>
              <w:t xml:space="preserve">At start of unit, children to describe what they belong to and how they know that they belong.  How would you feel if you were told you weren’t allowed to be part of this group? Show picture cards showing different people belonging to different groups, etc. How would these people feel if they didn’t belong? </w:t>
            </w:r>
          </w:p>
          <w:p w14:paraId="3822C293" w14:textId="77777777" w:rsidR="004A05D6" w:rsidRDefault="00A611F3">
            <w:pPr>
              <w:contextualSpacing w:val="0"/>
              <w:rPr>
                <w:color w:val="FF0000"/>
                <w:sz w:val="22"/>
                <w:szCs w:val="22"/>
              </w:rPr>
            </w:pPr>
            <w:r>
              <w:rPr>
                <w:sz w:val="22"/>
                <w:szCs w:val="22"/>
              </w:rPr>
              <w:t xml:space="preserve">At end of unit, show pictures of religious communities and ask the big question, “How do these people show that they belong?”.  </w:t>
            </w:r>
            <w:r>
              <w:rPr>
                <w:color w:val="FF0000"/>
                <w:sz w:val="22"/>
                <w:szCs w:val="22"/>
              </w:rPr>
              <w:t>Excelling - and how does it make that person behave and why?</w:t>
            </w:r>
          </w:p>
        </w:tc>
      </w:tr>
      <w:tr w:rsidR="004A05D6" w14:paraId="700C3FE6" w14:textId="77777777">
        <w:tc>
          <w:tcPr>
            <w:tcW w:w="1670" w:type="dxa"/>
          </w:tcPr>
          <w:p w14:paraId="1BCC4C4E" w14:textId="77777777" w:rsidR="004A05D6" w:rsidRDefault="004A05D6">
            <w:pPr>
              <w:contextualSpacing w:val="0"/>
            </w:pPr>
          </w:p>
        </w:tc>
        <w:tc>
          <w:tcPr>
            <w:tcW w:w="7356" w:type="dxa"/>
            <w:gridSpan w:val="2"/>
          </w:tcPr>
          <w:p w14:paraId="0798128C" w14:textId="77777777" w:rsidR="004A05D6" w:rsidRDefault="00A611F3">
            <w:pPr>
              <w:contextualSpacing w:val="0"/>
              <w:rPr>
                <w:b/>
              </w:rPr>
            </w:pPr>
            <w:r>
              <w:rPr>
                <w:b/>
              </w:rPr>
              <w:t>Assessment outcomes:</w:t>
            </w:r>
          </w:p>
        </w:tc>
      </w:tr>
      <w:tr w:rsidR="004A05D6" w14:paraId="196D95D9" w14:textId="77777777">
        <w:tc>
          <w:tcPr>
            <w:tcW w:w="1670" w:type="dxa"/>
          </w:tcPr>
          <w:p w14:paraId="20FC5FDB" w14:textId="77777777" w:rsidR="004A05D6" w:rsidRDefault="00A611F3">
            <w:pPr>
              <w:contextualSpacing w:val="0"/>
            </w:pPr>
            <w:r>
              <w:t>This question assesses:</w:t>
            </w:r>
          </w:p>
          <w:p w14:paraId="0CF60D6F" w14:textId="77777777" w:rsidR="004A05D6" w:rsidRDefault="00A611F3">
            <w:pPr>
              <w:numPr>
                <w:ilvl w:val="0"/>
                <w:numId w:val="6"/>
              </w:numPr>
              <w:ind w:hanging="360"/>
            </w:pPr>
            <w:r>
              <w:t xml:space="preserve">Remembering </w:t>
            </w:r>
          </w:p>
          <w:p w14:paraId="566E09A1" w14:textId="77777777" w:rsidR="004A05D6" w:rsidRDefault="00A611F3">
            <w:pPr>
              <w:numPr>
                <w:ilvl w:val="0"/>
                <w:numId w:val="6"/>
              </w:numPr>
              <w:ind w:hanging="360"/>
            </w:pPr>
            <w:r>
              <w:t>Understanding</w:t>
            </w:r>
          </w:p>
          <w:p w14:paraId="56744911" w14:textId="77777777" w:rsidR="004A05D6" w:rsidRDefault="00A611F3">
            <w:pPr>
              <w:numPr>
                <w:ilvl w:val="0"/>
                <w:numId w:val="6"/>
              </w:numPr>
              <w:ind w:hanging="360"/>
            </w:pPr>
            <w:r>
              <w:t>Applying</w:t>
            </w:r>
          </w:p>
          <w:p w14:paraId="4623FA60" w14:textId="77777777" w:rsidR="004A05D6" w:rsidRDefault="00A611F3">
            <w:pPr>
              <w:numPr>
                <w:ilvl w:val="0"/>
                <w:numId w:val="6"/>
              </w:numPr>
              <w:ind w:hanging="360"/>
            </w:pPr>
            <w:r>
              <w:t>Analyzing</w:t>
            </w:r>
          </w:p>
          <w:p w14:paraId="6D490F9C" w14:textId="77777777" w:rsidR="004A05D6" w:rsidRDefault="00A611F3">
            <w:pPr>
              <w:numPr>
                <w:ilvl w:val="0"/>
                <w:numId w:val="6"/>
              </w:numPr>
              <w:ind w:hanging="360"/>
            </w:pPr>
            <w:r>
              <w:t>Evaluating</w:t>
            </w:r>
          </w:p>
          <w:p w14:paraId="26E8D29A" w14:textId="77777777" w:rsidR="004A05D6" w:rsidRDefault="00A611F3">
            <w:pPr>
              <w:numPr>
                <w:ilvl w:val="0"/>
                <w:numId w:val="6"/>
              </w:numPr>
              <w:ind w:hanging="360"/>
            </w:pPr>
            <w:r>
              <w:lastRenderedPageBreak/>
              <w:t xml:space="preserve">Creating </w:t>
            </w:r>
          </w:p>
          <w:p w14:paraId="4CE42C65" w14:textId="77777777" w:rsidR="004A05D6" w:rsidRDefault="00A611F3">
            <w:pPr>
              <w:contextualSpacing w:val="0"/>
            </w:pPr>
            <w:r>
              <w:t xml:space="preserve"> (Choose as appropriate)*</w:t>
            </w:r>
          </w:p>
        </w:tc>
        <w:tc>
          <w:tcPr>
            <w:tcW w:w="7356" w:type="dxa"/>
            <w:gridSpan w:val="2"/>
          </w:tcPr>
          <w:p w14:paraId="445BDF4F" w14:textId="7B361942" w:rsidR="004A05D6" w:rsidRPr="0006150E" w:rsidRDefault="00A611F3">
            <w:pPr>
              <w:contextualSpacing w:val="0"/>
              <w:rPr>
                <w:b/>
              </w:rPr>
            </w:pPr>
            <w:r>
              <w:rPr>
                <w:b/>
              </w:rPr>
              <w:lastRenderedPageBreak/>
              <w:t>Secure/Expected</w:t>
            </w:r>
          </w:p>
          <w:p w14:paraId="1392BBB5" w14:textId="77777777" w:rsidR="004A05D6" w:rsidRDefault="00A611F3">
            <w:pPr>
              <w:numPr>
                <w:ilvl w:val="0"/>
                <w:numId w:val="3"/>
              </w:numPr>
              <w:ind w:hanging="360"/>
              <w:rPr>
                <w:sz w:val="22"/>
                <w:szCs w:val="22"/>
              </w:rPr>
            </w:pPr>
            <w:r>
              <w:rPr>
                <w:sz w:val="22"/>
                <w:szCs w:val="22"/>
              </w:rPr>
              <w:t>Pupils can talk about what is important to them and to other people with respect for feelings</w:t>
            </w:r>
          </w:p>
          <w:p w14:paraId="7F37D8B4" w14:textId="77777777" w:rsidR="004A05D6" w:rsidRDefault="00A611F3">
            <w:pPr>
              <w:numPr>
                <w:ilvl w:val="0"/>
                <w:numId w:val="3"/>
              </w:numPr>
              <w:ind w:hanging="360"/>
              <w:rPr>
                <w:sz w:val="22"/>
                <w:szCs w:val="22"/>
              </w:rPr>
            </w:pPr>
            <w:r>
              <w:rPr>
                <w:sz w:val="22"/>
                <w:szCs w:val="22"/>
              </w:rPr>
              <w:t>Pupils can ask big questions to find out about where other people belong and have a growing sense of enquiry about other faith communities</w:t>
            </w:r>
          </w:p>
          <w:p w14:paraId="1C817C4F" w14:textId="77777777" w:rsidR="004A05D6" w:rsidRDefault="00A611F3">
            <w:pPr>
              <w:numPr>
                <w:ilvl w:val="0"/>
                <w:numId w:val="3"/>
              </w:numPr>
              <w:ind w:hanging="360"/>
              <w:rPr>
                <w:sz w:val="22"/>
                <w:szCs w:val="22"/>
              </w:rPr>
            </w:pPr>
            <w:r>
              <w:rPr>
                <w:sz w:val="22"/>
                <w:szCs w:val="22"/>
              </w:rPr>
              <w:t>Pupils can ask questions of local believers about family and community linked to the religions studied</w:t>
            </w:r>
          </w:p>
          <w:p w14:paraId="2E8AB38C" w14:textId="77777777" w:rsidR="004A05D6" w:rsidRDefault="00A611F3">
            <w:pPr>
              <w:numPr>
                <w:ilvl w:val="0"/>
                <w:numId w:val="3"/>
              </w:numPr>
              <w:ind w:hanging="360"/>
              <w:rPr>
                <w:sz w:val="22"/>
                <w:szCs w:val="22"/>
              </w:rPr>
            </w:pPr>
            <w:r>
              <w:rPr>
                <w:sz w:val="22"/>
                <w:szCs w:val="22"/>
              </w:rPr>
              <w:t xml:space="preserve">Pupils can discuss and debate the ways different denominations of a faith group celebrate the same religious festival, e.g. celebrations of </w:t>
            </w:r>
            <w:r>
              <w:rPr>
                <w:sz w:val="22"/>
                <w:szCs w:val="22"/>
              </w:rPr>
              <w:lastRenderedPageBreak/>
              <w:t>Easter in high or charismatic churches</w:t>
            </w:r>
          </w:p>
          <w:p w14:paraId="2A8A5F0F" w14:textId="77777777" w:rsidR="004A05D6" w:rsidRDefault="004A05D6">
            <w:pPr>
              <w:contextualSpacing w:val="0"/>
              <w:rPr>
                <w:sz w:val="22"/>
                <w:szCs w:val="22"/>
              </w:rPr>
            </w:pPr>
          </w:p>
        </w:tc>
      </w:tr>
      <w:tr w:rsidR="004A05D6" w14:paraId="24C6279C" w14:textId="77777777">
        <w:tc>
          <w:tcPr>
            <w:tcW w:w="1670" w:type="dxa"/>
          </w:tcPr>
          <w:p w14:paraId="1C1A5FAE" w14:textId="77777777" w:rsidR="004A05D6" w:rsidRDefault="00A611F3">
            <w:pPr>
              <w:contextualSpacing w:val="0"/>
              <w:rPr>
                <w:b/>
              </w:rPr>
            </w:pPr>
            <w:r>
              <w:rPr>
                <w:b/>
              </w:rPr>
              <w:lastRenderedPageBreak/>
              <w:t>Pupils</w:t>
            </w:r>
          </w:p>
        </w:tc>
        <w:tc>
          <w:tcPr>
            <w:tcW w:w="7356" w:type="dxa"/>
            <w:gridSpan w:val="2"/>
          </w:tcPr>
          <w:p w14:paraId="3AD55261" w14:textId="77777777" w:rsidR="004A05D6" w:rsidRDefault="004A05D6">
            <w:pPr>
              <w:contextualSpacing w:val="0"/>
            </w:pPr>
            <w:bookmarkStart w:id="1" w:name="_gjdgxs" w:colFirst="0" w:colLast="0"/>
            <w:bookmarkEnd w:id="1"/>
          </w:p>
        </w:tc>
      </w:tr>
      <w:tr w:rsidR="004A05D6" w14:paraId="478D12F5" w14:textId="77777777">
        <w:tc>
          <w:tcPr>
            <w:tcW w:w="4136" w:type="dxa"/>
            <w:gridSpan w:val="2"/>
          </w:tcPr>
          <w:p w14:paraId="60EA5360" w14:textId="77777777" w:rsidR="004A05D6" w:rsidRDefault="00A611F3">
            <w:pPr>
              <w:contextualSpacing w:val="0"/>
              <w:rPr>
                <w:b/>
              </w:rPr>
            </w:pPr>
            <w:r>
              <w:rPr>
                <w:b/>
              </w:rPr>
              <w:t xml:space="preserve">Developing/Emerging </w:t>
            </w:r>
          </w:p>
          <w:p w14:paraId="188D8390" w14:textId="77777777" w:rsidR="004A05D6" w:rsidRDefault="00A611F3">
            <w:pPr>
              <w:numPr>
                <w:ilvl w:val="0"/>
                <w:numId w:val="4"/>
              </w:numPr>
              <w:ind w:hanging="360"/>
              <w:rPr>
                <w:sz w:val="22"/>
                <w:szCs w:val="22"/>
              </w:rPr>
            </w:pPr>
            <w:r>
              <w:rPr>
                <w:sz w:val="22"/>
                <w:szCs w:val="22"/>
              </w:rPr>
              <w:t>Pupils can say that they belong and what they belong to</w:t>
            </w:r>
          </w:p>
          <w:p w14:paraId="07FCDE31" w14:textId="77777777" w:rsidR="004A05D6" w:rsidRDefault="00A611F3">
            <w:pPr>
              <w:numPr>
                <w:ilvl w:val="0"/>
                <w:numId w:val="4"/>
              </w:numPr>
              <w:ind w:hanging="360"/>
              <w:rPr>
                <w:sz w:val="22"/>
                <w:szCs w:val="22"/>
              </w:rPr>
            </w:pPr>
            <w:r>
              <w:rPr>
                <w:sz w:val="22"/>
                <w:szCs w:val="22"/>
              </w:rPr>
              <w:t>Pupils can talk about how it feels to belong</w:t>
            </w:r>
          </w:p>
          <w:p w14:paraId="0AE4BE18" w14:textId="77777777" w:rsidR="004A05D6" w:rsidRDefault="00A611F3">
            <w:pPr>
              <w:numPr>
                <w:ilvl w:val="0"/>
                <w:numId w:val="4"/>
              </w:numPr>
              <w:ind w:hanging="360"/>
              <w:rPr>
                <w:sz w:val="22"/>
                <w:szCs w:val="22"/>
              </w:rPr>
            </w:pPr>
            <w:r>
              <w:rPr>
                <w:sz w:val="22"/>
                <w:szCs w:val="22"/>
              </w:rPr>
              <w:t>Pupils have a growing understanding that some people choose to belong to a religious community</w:t>
            </w:r>
          </w:p>
          <w:p w14:paraId="46D4E8BD" w14:textId="286F7EFD" w:rsidR="004A05D6" w:rsidRPr="008B5862" w:rsidRDefault="00A611F3" w:rsidP="008B5862">
            <w:pPr>
              <w:numPr>
                <w:ilvl w:val="0"/>
                <w:numId w:val="4"/>
              </w:numPr>
              <w:ind w:hanging="360"/>
              <w:rPr>
                <w:sz w:val="22"/>
                <w:szCs w:val="22"/>
              </w:rPr>
            </w:pPr>
            <w:r>
              <w:rPr>
                <w:sz w:val="22"/>
                <w:szCs w:val="22"/>
              </w:rPr>
              <w:t xml:space="preserve">Pupils can talk about </w:t>
            </w:r>
            <w:r>
              <w:rPr>
                <w:b/>
                <w:sz w:val="22"/>
                <w:szCs w:val="22"/>
              </w:rPr>
              <w:t>some</w:t>
            </w:r>
            <w:r>
              <w:rPr>
                <w:sz w:val="22"/>
                <w:szCs w:val="22"/>
              </w:rPr>
              <w:t xml:space="preserve"> of the things that believers do to show that they belong to their religious community</w:t>
            </w:r>
          </w:p>
          <w:p w14:paraId="70F16297" w14:textId="77777777" w:rsidR="004A05D6" w:rsidRDefault="004A05D6">
            <w:pPr>
              <w:contextualSpacing w:val="0"/>
            </w:pPr>
          </w:p>
        </w:tc>
        <w:tc>
          <w:tcPr>
            <w:tcW w:w="4890" w:type="dxa"/>
          </w:tcPr>
          <w:p w14:paraId="77602314" w14:textId="4CDD6B6C" w:rsidR="004A05D6" w:rsidRDefault="00A611F3">
            <w:pPr>
              <w:contextualSpacing w:val="0"/>
            </w:pPr>
            <w:r>
              <w:rPr>
                <w:b/>
              </w:rPr>
              <w:t>Excelling</w:t>
            </w:r>
            <w:r>
              <w:t xml:space="preserve"> </w:t>
            </w:r>
          </w:p>
          <w:p w14:paraId="3E2EA995" w14:textId="77777777" w:rsidR="004A05D6" w:rsidRDefault="00A611F3">
            <w:pPr>
              <w:numPr>
                <w:ilvl w:val="0"/>
                <w:numId w:val="2"/>
              </w:numPr>
              <w:ind w:hanging="360"/>
              <w:rPr>
                <w:sz w:val="22"/>
                <w:szCs w:val="22"/>
              </w:rPr>
            </w:pPr>
            <w:r>
              <w:rPr>
                <w:sz w:val="22"/>
                <w:szCs w:val="22"/>
              </w:rPr>
              <w:t>Pupils research the role of inspirational people within the religion and talk about their influence on it</w:t>
            </w:r>
          </w:p>
          <w:p w14:paraId="1F2C8196" w14:textId="77777777" w:rsidR="004A05D6" w:rsidRDefault="00A611F3">
            <w:pPr>
              <w:numPr>
                <w:ilvl w:val="0"/>
                <w:numId w:val="2"/>
              </w:numPr>
              <w:ind w:hanging="360"/>
              <w:rPr>
                <w:sz w:val="22"/>
                <w:szCs w:val="22"/>
              </w:rPr>
            </w:pPr>
            <w:r>
              <w:rPr>
                <w:sz w:val="22"/>
                <w:szCs w:val="22"/>
              </w:rPr>
              <w:t>Pupils compare and contrast how people of different faiths show they belong to religious communities, e.g. sharing meals such as Passover, Shabbat or Communion</w:t>
            </w:r>
          </w:p>
          <w:p w14:paraId="097423C6" w14:textId="77777777" w:rsidR="004A05D6" w:rsidRDefault="004A05D6">
            <w:pPr>
              <w:contextualSpacing w:val="0"/>
            </w:pPr>
          </w:p>
        </w:tc>
      </w:tr>
      <w:tr w:rsidR="004A05D6" w14:paraId="5EA0BEA1" w14:textId="77777777">
        <w:trPr>
          <w:trHeight w:val="240"/>
        </w:trPr>
        <w:tc>
          <w:tcPr>
            <w:tcW w:w="1670" w:type="dxa"/>
          </w:tcPr>
          <w:p w14:paraId="0A1D2B68" w14:textId="77777777" w:rsidR="004A05D6" w:rsidRDefault="00A611F3">
            <w:pPr>
              <w:contextualSpacing w:val="0"/>
              <w:rPr>
                <w:b/>
              </w:rPr>
            </w:pPr>
            <w:r>
              <w:rPr>
                <w:b/>
              </w:rPr>
              <w:t>Pupils</w:t>
            </w:r>
          </w:p>
        </w:tc>
        <w:tc>
          <w:tcPr>
            <w:tcW w:w="2466" w:type="dxa"/>
          </w:tcPr>
          <w:p w14:paraId="1C16E590" w14:textId="77777777" w:rsidR="004A05D6" w:rsidRDefault="004A05D6">
            <w:pPr>
              <w:contextualSpacing w:val="0"/>
            </w:pPr>
          </w:p>
        </w:tc>
        <w:tc>
          <w:tcPr>
            <w:tcW w:w="4890" w:type="dxa"/>
          </w:tcPr>
          <w:p w14:paraId="3571824E" w14:textId="77777777" w:rsidR="004A05D6" w:rsidRDefault="004A05D6">
            <w:pPr>
              <w:contextualSpacing w:val="0"/>
            </w:pPr>
          </w:p>
        </w:tc>
      </w:tr>
      <w:tr w:rsidR="004A05D6" w14:paraId="7A245121" w14:textId="77777777">
        <w:trPr>
          <w:trHeight w:val="840"/>
        </w:trPr>
        <w:tc>
          <w:tcPr>
            <w:tcW w:w="1670" w:type="dxa"/>
          </w:tcPr>
          <w:p w14:paraId="57BE0D97" w14:textId="77777777" w:rsidR="004A05D6" w:rsidRDefault="004A05D6">
            <w:pPr>
              <w:contextualSpacing w:val="0"/>
            </w:pPr>
          </w:p>
        </w:tc>
        <w:tc>
          <w:tcPr>
            <w:tcW w:w="7356" w:type="dxa"/>
            <w:gridSpan w:val="2"/>
          </w:tcPr>
          <w:p w14:paraId="311C314C" w14:textId="77777777" w:rsidR="004A05D6" w:rsidRDefault="00A611F3">
            <w:pPr>
              <w:contextualSpacing w:val="0"/>
            </w:pPr>
            <w:r>
              <w:t>Pupils with additional needs have made the following responses ........</w:t>
            </w:r>
          </w:p>
          <w:p w14:paraId="219C097A" w14:textId="77777777" w:rsidR="004A05D6" w:rsidRDefault="004A05D6">
            <w:pPr>
              <w:contextualSpacing w:val="0"/>
            </w:pPr>
          </w:p>
        </w:tc>
      </w:tr>
    </w:tbl>
    <w:p w14:paraId="5E494796" w14:textId="77777777" w:rsidR="004A05D6" w:rsidRDefault="004A05D6"/>
    <w:p w14:paraId="3C4C3536" w14:textId="77777777" w:rsidR="004A05D6" w:rsidRDefault="00A611F3">
      <w:r>
        <w:t xml:space="preserve">*For more guidance on how to assess different cognitive processes please refer to Assessment Without Levels using Bloom’s Revised Taxonomy </w:t>
      </w:r>
      <w:hyperlink r:id="rId7">
        <w:r>
          <w:rPr>
            <w:color w:val="0563C1"/>
            <w:u w:val="single"/>
          </w:rPr>
          <w:t>http://ltlre.org/projects/assessment-without-levels-in-re/</w:t>
        </w:r>
      </w:hyperlink>
    </w:p>
    <w:p w14:paraId="52A22BC9" w14:textId="77777777" w:rsidR="004A05D6" w:rsidRDefault="004A05D6"/>
    <w:p w14:paraId="3276AFB0" w14:textId="77777777" w:rsidR="004A05D6" w:rsidRDefault="00A611F3">
      <w:pPr>
        <w:rPr>
          <w:sz w:val="20"/>
          <w:szCs w:val="20"/>
        </w:rPr>
      </w:pPr>
      <w:r>
        <w:rPr>
          <w:sz w:val="20"/>
          <w:szCs w:val="20"/>
        </w:rPr>
        <w:t xml:space="preserve">If you would like to contribute any examples of assessment overviews, please email them to Ed Pawson on </w:t>
      </w:r>
      <w:hyperlink r:id="rId8">
        <w:r>
          <w:rPr>
            <w:color w:val="1155CC"/>
            <w:sz w:val="20"/>
            <w:szCs w:val="20"/>
            <w:u w:val="single"/>
          </w:rPr>
          <w:t>efpawson@gmail.com</w:t>
        </w:r>
      </w:hyperlink>
      <w:r>
        <w:rPr>
          <w:sz w:val="20"/>
          <w:szCs w:val="20"/>
        </w:rPr>
        <w:t xml:space="preserve"> </w:t>
      </w:r>
    </w:p>
    <w:p w14:paraId="0E3EBB79" w14:textId="77777777" w:rsidR="004A05D6" w:rsidRDefault="004A05D6">
      <w:bookmarkStart w:id="2" w:name="_30j0zll" w:colFirst="0" w:colLast="0"/>
      <w:bookmarkEnd w:id="2"/>
    </w:p>
    <w:sectPr w:rsidR="004A05D6">
      <w:footerReference w:type="default" r:id="rId9"/>
      <w:pgSz w:w="11900" w:h="16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91127" w14:textId="77777777" w:rsidR="009F4B90" w:rsidRDefault="009F4B90">
      <w:r>
        <w:separator/>
      </w:r>
    </w:p>
  </w:endnote>
  <w:endnote w:type="continuationSeparator" w:id="0">
    <w:p w14:paraId="25001A28" w14:textId="77777777" w:rsidR="009F4B90" w:rsidRDefault="009F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C7390" w14:textId="77777777" w:rsidR="004A05D6" w:rsidRDefault="00A611F3">
    <w:r>
      <w:t xml:space="preserve">© Derek and Verity Holloway; Salisbury Diocese; Culham St Gabriel’s </w:t>
    </w:r>
  </w:p>
  <w:p w14:paraId="5EBA0E90" w14:textId="77777777" w:rsidR="004A05D6" w:rsidRDefault="004A05D6">
    <w:pPr>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4F89B" w14:textId="77777777" w:rsidR="009F4B90" w:rsidRDefault="009F4B90">
      <w:r>
        <w:separator/>
      </w:r>
    </w:p>
  </w:footnote>
  <w:footnote w:type="continuationSeparator" w:id="0">
    <w:p w14:paraId="60B07716" w14:textId="77777777" w:rsidR="009F4B90" w:rsidRDefault="009F4B9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02F1E"/>
    <w:multiLevelType w:val="multilevel"/>
    <w:tmpl w:val="C150AD70"/>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
    <w:nsid w:val="09343163"/>
    <w:multiLevelType w:val="multilevel"/>
    <w:tmpl w:val="D58E6B3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1C663C1E"/>
    <w:multiLevelType w:val="multilevel"/>
    <w:tmpl w:val="3B0C93D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31B82303"/>
    <w:multiLevelType w:val="multilevel"/>
    <w:tmpl w:val="BFFEFA82"/>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4">
    <w:nsid w:val="4DC53E1F"/>
    <w:multiLevelType w:val="multilevel"/>
    <w:tmpl w:val="CC9AE28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7E1C4557"/>
    <w:multiLevelType w:val="multilevel"/>
    <w:tmpl w:val="AAF4CE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A05D6"/>
    <w:rsid w:val="0006150E"/>
    <w:rsid w:val="000B30DC"/>
    <w:rsid w:val="004A05D6"/>
    <w:rsid w:val="00846740"/>
    <w:rsid w:val="008B5862"/>
    <w:rsid w:val="009F4B90"/>
    <w:rsid w:val="00A611F3"/>
    <w:rsid w:val="00EC5ECB"/>
    <w:rsid w:val="00F969D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21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GB" w:eastAsia="en-GB"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tlre.org/projects/assessment-without-levels-in-re/" TargetMode="External"/><Relationship Id="rId8" Type="http://schemas.openxmlformats.org/officeDocument/2006/relationships/hyperlink" Target="mailto:efpawson@gmail.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3073</Characters>
  <Application>Microsoft Macintosh Word</Application>
  <DocSecurity>0</DocSecurity>
  <Lines>25</Lines>
  <Paragraphs>7</Paragraphs>
  <ScaleCrop>false</ScaleCrop>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Pawson</cp:lastModifiedBy>
  <cp:revision>6</cp:revision>
  <dcterms:created xsi:type="dcterms:W3CDTF">2017-06-06T12:39:00Z</dcterms:created>
  <dcterms:modified xsi:type="dcterms:W3CDTF">2017-06-06T14:48:00Z</dcterms:modified>
</cp:coreProperties>
</file>