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B44480">
        <w:rPr>
          <w:rFonts w:ascii="Arial" w:hAnsi="Arial" w:cs="Arial"/>
          <w:b/>
          <w:snapToGrid/>
          <w:sz w:val="24"/>
          <w:szCs w:val="24"/>
          <w:lang w:val="en-GB"/>
        </w:rPr>
        <w:t>16171475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B44480">
        <w:rPr>
          <w:rFonts w:ascii="Arial" w:hAnsi="Arial" w:cs="Arial"/>
          <w:b/>
          <w:snapToGrid/>
          <w:sz w:val="24"/>
          <w:szCs w:val="24"/>
          <w:lang w:val="en-GB"/>
        </w:rPr>
        <w:t>8 February 2017</w:t>
      </w:r>
    </w:p>
    <w:p w:rsidR="006D3102" w:rsidRPr="00BE16F1" w:rsidRDefault="00960B8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Date response sent: 6 March 2017</w:t>
      </w:r>
    </w:p>
    <w:p w:rsidR="00AE2DA7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960B8D" w:rsidRPr="00BE16F1" w:rsidRDefault="00960B8D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Request:</w:t>
      </w:r>
    </w:p>
    <w:p w:rsidR="00453B9B" w:rsidRPr="00B44480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44480" w:rsidRPr="00B44480" w:rsidRDefault="00B44480" w:rsidP="00B4448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B44480">
        <w:rPr>
          <w:rFonts w:ascii="Arial" w:hAnsi="Arial" w:cs="Arial"/>
          <w:b/>
          <w:snapToGrid/>
          <w:sz w:val="24"/>
          <w:szCs w:val="24"/>
          <w:lang w:val="en-GB"/>
        </w:rPr>
        <w:t>Hele Road, Torquay, level of Pollution</w:t>
      </w:r>
    </w:p>
    <w:p w:rsidR="00B44480" w:rsidRPr="00B44480" w:rsidRDefault="00B44480" w:rsidP="00B44480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44480" w:rsidRDefault="00B44480" w:rsidP="00B44480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44480">
        <w:rPr>
          <w:rFonts w:ascii="Arial" w:hAnsi="Arial" w:cs="Arial"/>
          <w:b/>
          <w:snapToGrid/>
          <w:sz w:val="24"/>
          <w:szCs w:val="24"/>
          <w:lang w:val="en-GB"/>
        </w:rPr>
        <w:t xml:space="preserve">Could you inform me on the latest recorded pollution level at the bottom of </w:t>
      </w:r>
      <w:proofErr w:type="spellStart"/>
      <w:r w:rsidRPr="00B44480">
        <w:rPr>
          <w:rFonts w:ascii="Arial" w:hAnsi="Arial" w:cs="Arial"/>
          <w:b/>
          <w:snapToGrid/>
          <w:sz w:val="24"/>
          <w:szCs w:val="24"/>
          <w:lang w:val="en-GB"/>
        </w:rPr>
        <w:t>Hele</w:t>
      </w:r>
      <w:proofErr w:type="spellEnd"/>
      <w:r w:rsidRPr="00B44480">
        <w:rPr>
          <w:rFonts w:ascii="Arial" w:hAnsi="Arial" w:cs="Arial"/>
          <w:b/>
          <w:snapToGrid/>
          <w:sz w:val="24"/>
          <w:szCs w:val="24"/>
          <w:lang w:val="en-GB"/>
        </w:rPr>
        <w:t xml:space="preserve"> Road into </w:t>
      </w:r>
      <w:proofErr w:type="spellStart"/>
      <w:r w:rsidRPr="00B44480">
        <w:rPr>
          <w:rFonts w:ascii="Arial" w:hAnsi="Arial" w:cs="Arial"/>
          <w:b/>
          <w:snapToGrid/>
          <w:sz w:val="24"/>
          <w:szCs w:val="24"/>
          <w:lang w:val="en-GB"/>
        </w:rPr>
        <w:t>Lymington</w:t>
      </w:r>
      <w:proofErr w:type="spellEnd"/>
      <w:r w:rsidRPr="00B44480">
        <w:rPr>
          <w:rFonts w:ascii="Arial" w:hAnsi="Arial" w:cs="Arial"/>
          <w:b/>
          <w:snapToGrid/>
          <w:sz w:val="24"/>
          <w:szCs w:val="24"/>
          <w:lang w:val="en-GB"/>
        </w:rPr>
        <w:t xml:space="preserve"> Road, and is it within safe levels.</w:t>
      </w:r>
    </w:p>
    <w:p w:rsidR="00B44480" w:rsidRPr="00B44480" w:rsidRDefault="00B44480" w:rsidP="00B44480">
      <w:pPr>
        <w:ind w:left="709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44480" w:rsidRPr="00B44480" w:rsidRDefault="00B44480" w:rsidP="00B44480">
      <w:pPr>
        <w:ind w:left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44480">
        <w:rPr>
          <w:rFonts w:ascii="Arial" w:hAnsi="Arial" w:cs="Arial"/>
          <w:b/>
          <w:snapToGrid/>
          <w:sz w:val="24"/>
          <w:szCs w:val="24"/>
          <w:lang w:val="en-GB"/>
        </w:rPr>
        <w:t>Just recently it has been recorded that Diesel is registering higher pollution levels, has this been checked.</w:t>
      </w:r>
    </w:p>
    <w:p w:rsidR="006D3102" w:rsidRDefault="006D3102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b/>
          <w:sz w:val="24"/>
          <w:szCs w:val="24"/>
        </w:rPr>
      </w:pPr>
    </w:p>
    <w:p w:rsidR="00B44480" w:rsidRDefault="008652BA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</w:rPr>
        <w:t xml:space="preserve">Torbay </w:t>
      </w:r>
      <w:r w:rsidR="00960B8D">
        <w:rPr>
          <w:rFonts w:ascii="Arial" w:hAnsi="Arial" w:cs="Arial"/>
          <w:sz w:val="24"/>
          <w:szCs w:val="24"/>
        </w:rPr>
        <w:t>Council has</w:t>
      </w:r>
      <w:r>
        <w:rPr>
          <w:rFonts w:ascii="Arial" w:hAnsi="Arial" w:cs="Arial"/>
          <w:sz w:val="24"/>
          <w:szCs w:val="24"/>
        </w:rPr>
        <w:t xml:space="preserve"> one diffusion tube located towards the bottom of Hele Road. The results below indicate that the values have been within the objective of 40 </w:t>
      </w:r>
      <w:r>
        <w:rPr>
          <w:rFonts w:ascii="Arial" w:hAnsi="Arial" w:cs="Arial"/>
          <w:snapToGrid/>
          <w:sz w:val="24"/>
          <w:szCs w:val="24"/>
          <w:lang w:val="en-GB" w:eastAsia="en-GB"/>
        </w:rPr>
        <w:t>µg/</w:t>
      </w:r>
      <w:proofErr w:type="gramStart"/>
      <w:r>
        <w:rPr>
          <w:rFonts w:ascii="Arial" w:hAnsi="Arial" w:cs="Arial"/>
          <w:snapToGrid/>
          <w:sz w:val="24"/>
          <w:szCs w:val="24"/>
          <w:lang w:val="en-GB" w:eastAsia="en-GB"/>
        </w:rPr>
        <w:t>m</w:t>
      </w:r>
      <w:r w:rsidRPr="008652BA">
        <w:rPr>
          <w:rFonts w:ascii="Arial" w:hAnsi="Arial" w:cs="Arial"/>
          <w:snapToGrid/>
          <w:sz w:val="24"/>
          <w:szCs w:val="24"/>
          <w:vertAlign w:val="superscript"/>
          <w:lang w:val="en-GB" w:eastAsia="en-GB"/>
        </w:rPr>
        <w:t>3</w:t>
      </w:r>
      <w:r>
        <w:rPr>
          <w:rFonts w:ascii="Arial" w:hAnsi="Arial" w:cs="Arial"/>
          <w:snapToGrid/>
          <w:sz w:val="24"/>
          <w:szCs w:val="24"/>
          <w:vertAlign w:val="superscript"/>
          <w:lang w:val="en-GB" w:eastAsia="en-GB"/>
        </w:rPr>
        <w:t xml:space="preserve"> </w:t>
      </w:r>
      <w:r w:rsidR="00376D33">
        <w:rPr>
          <w:rFonts w:ascii="Arial" w:hAnsi="Arial" w:cs="Arial"/>
          <w:snapToGrid/>
          <w:sz w:val="24"/>
          <w:szCs w:val="24"/>
          <w:lang w:val="en-GB" w:eastAsia="en-GB"/>
        </w:rPr>
        <w:t>.</w:t>
      </w:r>
      <w:proofErr w:type="gramEnd"/>
      <w:r w:rsidR="00376D33">
        <w:rPr>
          <w:rFonts w:ascii="Arial" w:hAnsi="Arial" w:cs="Arial"/>
          <w:snapToGrid/>
          <w:sz w:val="24"/>
          <w:szCs w:val="24"/>
          <w:lang w:val="en-GB" w:eastAsia="en-GB"/>
        </w:rPr>
        <w:t xml:space="preserve">  The objective is an annual average.  The monitoring for 2016 needs to be adjusted for any bi</w:t>
      </w:r>
      <w:r w:rsidR="00960B8D">
        <w:rPr>
          <w:rFonts w:ascii="Arial" w:hAnsi="Arial" w:cs="Arial"/>
          <w:snapToGrid/>
          <w:sz w:val="24"/>
          <w:szCs w:val="24"/>
          <w:lang w:val="en-GB" w:eastAsia="en-GB"/>
        </w:rPr>
        <w:t>as from the tubes and analysis b</w:t>
      </w:r>
      <w:r w:rsidR="00376D33">
        <w:rPr>
          <w:rFonts w:ascii="Arial" w:hAnsi="Arial" w:cs="Arial"/>
          <w:snapToGrid/>
          <w:sz w:val="24"/>
          <w:szCs w:val="24"/>
          <w:lang w:val="en-GB" w:eastAsia="en-GB"/>
        </w:rPr>
        <w:t xml:space="preserve">ut it is not expected to exceed the objective. </w:t>
      </w:r>
    </w:p>
    <w:p w:rsidR="00960B8D" w:rsidRDefault="00960B8D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napToGrid/>
          <w:sz w:val="24"/>
          <w:szCs w:val="24"/>
          <w:lang w:val="en-GB" w:eastAsia="en-GB"/>
        </w:rPr>
      </w:pPr>
    </w:p>
    <w:p w:rsidR="00376D33" w:rsidRDefault="00376D33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snapToGrid/>
          <w:sz w:val="24"/>
          <w:szCs w:val="24"/>
          <w:lang w:val="en-GB" w:eastAsia="en-GB"/>
        </w:rPr>
        <w:t>Nitrogen dioxide (NO</w:t>
      </w:r>
      <w:r>
        <w:rPr>
          <w:rFonts w:ascii="Arial" w:hAnsi="Arial" w:cs="Arial"/>
          <w:snapToGrid/>
          <w:sz w:val="24"/>
          <w:szCs w:val="24"/>
          <w:vertAlign w:val="subscript"/>
          <w:lang w:val="en-GB" w:eastAsia="en-GB"/>
        </w:rPr>
        <w:t>2</w:t>
      </w:r>
      <w:r>
        <w:rPr>
          <w:rFonts w:ascii="Arial" w:hAnsi="Arial" w:cs="Arial"/>
          <w:snapToGrid/>
          <w:sz w:val="24"/>
          <w:szCs w:val="24"/>
          <w:lang w:val="en-GB" w:eastAsia="en-GB"/>
        </w:rPr>
        <w:t xml:space="preserve">) is a good indicator of pollution levels for all vehicles.  </w:t>
      </w:r>
    </w:p>
    <w:p w:rsidR="00376D33" w:rsidRPr="00376D33" w:rsidRDefault="00376D33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  <w:lang w:val="en-GB" w:eastAsia="en-GB"/>
        </w:rPr>
        <w:t xml:space="preserve">In previous years particulates have been measured by the Baptist Church on Hele Road.  The objective for particulates has never exceeded the objective and has always been significantly well below. </w:t>
      </w:r>
    </w:p>
    <w:p w:rsidR="008652BA" w:rsidRDefault="008652BA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</w:p>
    <w:p w:rsidR="00890666" w:rsidRDefault="00376D33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Obviously air quality can vary from day to day due to atmospheric</w:t>
      </w:r>
      <w:r w:rsidR="00890666">
        <w:rPr>
          <w:rFonts w:ascii="Arial" w:hAnsi="Arial" w:cs="Arial"/>
          <w:sz w:val="24"/>
          <w:szCs w:val="24"/>
        </w:rPr>
        <w:t xml:space="preserve"> conditions if you have concerns I would recommend looking at DEFRA’s website that reports and </w:t>
      </w:r>
      <w:proofErr w:type="spellStart"/>
      <w:r w:rsidR="00890666">
        <w:rPr>
          <w:rFonts w:ascii="Arial" w:hAnsi="Arial" w:cs="Arial"/>
          <w:sz w:val="24"/>
          <w:szCs w:val="24"/>
        </w:rPr>
        <w:t>forcasts</w:t>
      </w:r>
      <w:proofErr w:type="spellEnd"/>
      <w:r w:rsidR="00890666">
        <w:rPr>
          <w:rFonts w:ascii="Arial" w:hAnsi="Arial" w:cs="Arial"/>
          <w:sz w:val="24"/>
          <w:szCs w:val="24"/>
        </w:rPr>
        <w:t xml:space="preserve"> the national air quality. </w:t>
      </w:r>
    </w:p>
    <w:p w:rsidR="00890666" w:rsidRDefault="00890666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</w:p>
    <w:p w:rsidR="00890666" w:rsidRDefault="00DA6933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hyperlink r:id="rId8" w:history="1">
        <w:r w:rsidR="00890666" w:rsidRPr="00472677">
          <w:rPr>
            <w:rStyle w:val="Hyperlink"/>
            <w:rFonts w:ascii="Arial" w:hAnsi="Arial" w:cs="Arial"/>
            <w:sz w:val="24"/>
            <w:szCs w:val="24"/>
          </w:rPr>
          <w:t>https://uk-air.defra.gov.uk/forecasting/</w:t>
        </w:r>
      </w:hyperlink>
    </w:p>
    <w:p w:rsidR="00890666" w:rsidRDefault="00890666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</w:p>
    <w:p w:rsidR="00890666" w:rsidRDefault="00890666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26" w:tblpY="-67"/>
        <w:tblOverlap w:val="never"/>
        <w:tblW w:w="4192" w:type="dxa"/>
        <w:tblLook w:val="04A0"/>
      </w:tblPr>
      <w:tblGrid>
        <w:gridCol w:w="924"/>
        <w:gridCol w:w="817"/>
        <w:gridCol w:w="817"/>
        <w:gridCol w:w="817"/>
        <w:gridCol w:w="817"/>
      </w:tblGrid>
      <w:tr w:rsidR="0046367D" w:rsidTr="0046367D">
        <w:trPr>
          <w:trHeight w:val="541"/>
        </w:trPr>
        <w:tc>
          <w:tcPr>
            <w:tcW w:w="924" w:type="dxa"/>
          </w:tcPr>
          <w:p w:rsidR="0046367D" w:rsidRPr="00960B8D" w:rsidRDefault="0046367D" w:rsidP="0046367D">
            <w:pPr>
              <w:widowControl/>
              <w:jc w:val="center"/>
              <w:rPr>
                <w:rFonts w:ascii="Arial" w:hAnsi="Arial" w:cs="Arial"/>
                <w:b/>
                <w:snapToGrid/>
                <w:sz w:val="24"/>
                <w:szCs w:val="24"/>
                <w:lang w:val="en-GB" w:eastAsia="en-GB"/>
              </w:rPr>
            </w:pPr>
            <w:r w:rsidRPr="00960B8D">
              <w:rPr>
                <w:rFonts w:ascii="Arial" w:hAnsi="Arial" w:cs="Arial"/>
                <w:b/>
                <w:snapToGrid/>
                <w:sz w:val="24"/>
                <w:szCs w:val="24"/>
                <w:lang w:val="en-GB" w:eastAsia="en-GB"/>
              </w:rPr>
              <w:t xml:space="preserve">Year    </w:t>
            </w:r>
          </w:p>
        </w:tc>
        <w:tc>
          <w:tcPr>
            <w:tcW w:w="817" w:type="dxa"/>
          </w:tcPr>
          <w:p w:rsidR="0046367D" w:rsidRPr="00960B8D" w:rsidRDefault="0046367D" w:rsidP="0046367D">
            <w:pPr>
              <w:widowControl/>
              <w:jc w:val="center"/>
              <w:rPr>
                <w:rFonts w:ascii="Arial" w:hAnsi="Arial" w:cs="Arial"/>
                <w:b/>
                <w:snapToGrid/>
                <w:sz w:val="24"/>
                <w:szCs w:val="24"/>
                <w:lang w:val="en-GB" w:eastAsia="en-GB"/>
              </w:rPr>
            </w:pPr>
            <w:r w:rsidRPr="00960B8D">
              <w:rPr>
                <w:rFonts w:ascii="Arial" w:hAnsi="Arial" w:cs="Arial"/>
                <w:b/>
                <w:snapToGrid/>
                <w:sz w:val="24"/>
                <w:szCs w:val="24"/>
                <w:lang w:val="en-GB" w:eastAsia="en-GB"/>
              </w:rPr>
              <w:t>2012</w:t>
            </w:r>
          </w:p>
        </w:tc>
        <w:tc>
          <w:tcPr>
            <w:tcW w:w="817" w:type="dxa"/>
          </w:tcPr>
          <w:p w:rsidR="0046367D" w:rsidRPr="00960B8D" w:rsidRDefault="0046367D" w:rsidP="0046367D">
            <w:pPr>
              <w:widowControl/>
              <w:jc w:val="center"/>
              <w:rPr>
                <w:rFonts w:ascii="Arial" w:hAnsi="Arial" w:cs="Arial"/>
                <w:b/>
                <w:snapToGrid/>
                <w:sz w:val="24"/>
                <w:szCs w:val="24"/>
                <w:lang w:val="en-GB" w:eastAsia="en-GB"/>
              </w:rPr>
            </w:pPr>
            <w:r w:rsidRPr="00960B8D">
              <w:rPr>
                <w:rFonts w:ascii="Arial" w:hAnsi="Arial" w:cs="Arial"/>
                <w:b/>
                <w:snapToGrid/>
                <w:sz w:val="24"/>
                <w:szCs w:val="24"/>
                <w:lang w:val="en-GB" w:eastAsia="en-GB"/>
              </w:rPr>
              <w:t>2013</w:t>
            </w:r>
          </w:p>
        </w:tc>
        <w:tc>
          <w:tcPr>
            <w:tcW w:w="817" w:type="dxa"/>
          </w:tcPr>
          <w:p w:rsidR="0046367D" w:rsidRPr="00960B8D" w:rsidRDefault="0046367D" w:rsidP="0046367D">
            <w:pPr>
              <w:widowControl/>
              <w:jc w:val="center"/>
              <w:rPr>
                <w:rFonts w:ascii="Arial" w:hAnsi="Arial" w:cs="Arial"/>
                <w:b/>
                <w:snapToGrid/>
                <w:sz w:val="24"/>
                <w:szCs w:val="24"/>
                <w:lang w:val="en-GB" w:eastAsia="en-GB"/>
              </w:rPr>
            </w:pPr>
            <w:r w:rsidRPr="00960B8D">
              <w:rPr>
                <w:rFonts w:ascii="Arial" w:hAnsi="Arial" w:cs="Arial"/>
                <w:b/>
                <w:snapToGrid/>
                <w:sz w:val="24"/>
                <w:szCs w:val="24"/>
                <w:lang w:val="en-GB" w:eastAsia="en-GB"/>
              </w:rPr>
              <w:t>2014</w:t>
            </w:r>
          </w:p>
        </w:tc>
        <w:tc>
          <w:tcPr>
            <w:tcW w:w="817" w:type="dxa"/>
          </w:tcPr>
          <w:p w:rsidR="0046367D" w:rsidRPr="00960B8D" w:rsidRDefault="0046367D" w:rsidP="0046367D">
            <w:pPr>
              <w:widowControl/>
              <w:jc w:val="center"/>
              <w:rPr>
                <w:rFonts w:ascii="Arial" w:hAnsi="Arial" w:cs="Arial"/>
                <w:b/>
                <w:snapToGrid/>
                <w:sz w:val="24"/>
                <w:szCs w:val="24"/>
                <w:lang w:val="en-GB" w:eastAsia="en-GB"/>
              </w:rPr>
            </w:pPr>
            <w:r w:rsidRPr="00960B8D">
              <w:rPr>
                <w:rFonts w:ascii="Arial" w:hAnsi="Arial" w:cs="Arial"/>
                <w:b/>
                <w:snapToGrid/>
                <w:sz w:val="24"/>
                <w:szCs w:val="24"/>
                <w:lang w:val="en-GB" w:eastAsia="en-GB"/>
              </w:rPr>
              <w:t>2015</w:t>
            </w:r>
          </w:p>
        </w:tc>
      </w:tr>
      <w:tr w:rsidR="0046367D" w:rsidTr="0046367D">
        <w:trPr>
          <w:trHeight w:val="579"/>
        </w:trPr>
        <w:tc>
          <w:tcPr>
            <w:tcW w:w="924" w:type="dxa"/>
          </w:tcPr>
          <w:p w:rsidR="0046367D" w:rsidRDefault="0046367D" w:rsidP="0046367D">
            <w:pPr>
              <w:widowControl/>
              <w:jc w:val="right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NO</w:t>
            </w:r>
            <w:r w:rsidRPr="008652BA">
              <w:rPr>
                <w:rFonts w:ascii="Arial" w:hAnsi="Arial" w:cs="Arial"/>
                <w:snapToGrid/>
                <w:sz w:val="24"/>
                <w:szCs w:val="24"/>
                <w:vertAlign w:val="subscript"/>
                <w:lang w:val="en-GB" w:eastAsia="en-GB"/>
              </w:rPr>
              <w:t>2</w:t>
            </w:r>
            <w:r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 xml:space="preserve"> (µg/m</w:t>
            </w:r>
            <w:r w:rsidRPr="008652BA">
              <w:rPr>
                <w:rFonts w:ascii="Arial" w:hAnsi="Arial" w:cs="Arial"/>
                <w:snapToGrid/>
                <w:sz w:val="24"/>
                <w:szCs w:val="24"/>
                <w:vertAlign w:val="superscript"/>
                <w:lang w:val="en-GB" w:eastAsia="en-GB"/>
              </w:rPr>
              <w:t>3</w:t>
            </w:r>
          </w:p>
        </w:tc>
        <w:tc>
          <w:tcPr>
            <w:tcW w:w="817" w:type="dxa"/>
          </w:tcPr>
          <w:p w:rsidR="0046367D" w:rsidRPr="008652BA" w:rsidRDefault="0046367D" w:rsidP="0046367D">
            <w:pPr>
              <w:widowControl/>
              <w:jc w:val="right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35.82</w:t>
            </w:r>
          </w:p>
        </w:tc>
        <w:tc>
          <w:tcPr>
            <w:tcW w:w="817" w:type="dxa"/>
          </w:tcPr>
          <w:p w:rsidR="0046367D" w:rsidRPr="008652BA" w:rsidRDefault="0046367D" w:rsidP="0046367D">
            <w:pPr>
              <w:widowControl/>
              <w:jc w:val="right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8652BA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38.14</w:t>
            </w:r>
          </w:p>
        </w:tc>
        <w:tc>
          <w:tcPr>
            <w:tcW w:w="817" w:type="dxa"/>
          </w:tcPr>
          <w:p w:rsidR="0046367D" w:rsidRPr="008652BA" w:rsidRDefault="0046367D" w:rsidP="0046367D">
            <w:pPr>
              <w:widowControl/>
              <w:jc w:val="right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8652BA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36.86</w:t>
            </w:r>
          </w:p>
        </w:tc>
        <w:tc>
          <w:tcPr>
            <w:tcW w:w="817" w:type="dxa"/>
          </w:tcPr>
          <w:p w:rsidR="0046367D" w:rsidRPr="008652BA" w:rsidRDefault="0046367D" w:rsidP="0046367D">
            <w:pPr>
              <w:widowControl/>
              <w:jc w:val="right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8652BA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36.34</w:t>
            </w:r>
          </w:p>
        </w:tc>
      </w:tr>
    </w:tbl>
    <w:p w:rsidR="008652BA" w:rsidRDefault="008652BA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</w:p>
    <w:tbl>
      <w:tblPr>
        <w:tblW w:w="3872" w:type="dxa"/>
        <w:tblInd w:w="108" w:type="dxa"/>
        <w:tblLook w:val="04A0"/>
      </w:tblPr>
      <w:tblGrid>
        <w:gridCol w:w="968"/>
        <w:gridCol w:w="968"/>
        <w:gridCol w:w="968"/>
        <w:gridCol w:w="968"/>
      </w:tblGrid>
      <w:tr w:rsidR="008652BA" w:rsidRPr="008652BA" w:rsidTr="008652B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BA" w:rsidRPr="008652BA" w:rsidRDefault="008652BA" w:rsidP="008652BA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GB"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BA" w:rsidRPr="008652BA" w:rsidRDefault="008652BA" w:rsidP="008652BA">
            <w:pPr>
              <w:widowControl/>
              <w:jc w:val="right"/>
              <w:rPr>
                <w:rFonts w:ascii="Calibri" w:hAnsi="Calibri"/>
                <w:snapToGrid/>
                <w:color w:val="000000"/>
                <w:szCs w:val="22"/>
                <w:lang w:val="en-GB"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BA" w:rsidRPr="008652BA" w:rsidRDefault="008652BA" w:rsidP="008652BA">
            <w:pPr>
              <w:widowControl/>
              <w:jc w:val="right"/>
              <w:rPr>
                <w:rFonts w:ascii="Calibri" w:hAnsi="Calibri"/>
                <w:snapToGrid/>
                <w:color w:val="000000"/>
                <w:szCs w:val="22"/>
                <w:lang w:val="en-GB"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BA" w:rsidRPr="008652BA" w:rsidRDefault="008652BA" w:rsidP="008652BA">
            <w:pPr>
              <w:widowControl/>
              <w:jc w:val="right"/>
              <w:rPr>
                <w:rFonts w:ascii="Calibri" w:hAnsi="Calibri"/>
                <w:snapToGrid/>
                <w:color w:val="000000"/>
                <w:szCs w:val="22"/>
                <w:lang w:val="en-GB" w:eastAsia="en-GB"/>
              </w:rPr>
            </w:pPr>
          </w:p>
        </w:tc>
      </w:tr>
    </w:tbl>
    <w:p w:rsidR="008652BA" w:rsidRPr="00B44480" w:rsidRDefault="008652BA" w:rsidP="00B44480">
      <w:pPr>
        <w:widowControl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</w:p>
    <w:sectPr w:rsidR="008652BA" w:rsidRPr="00B44480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3C" w:rsidRDefault="0085243C">
      <w:r>
        <w:separator/>
      </w:r>
    </w:p>
  </w:endnote>
  <w:endnote w:type="continuationSeparator" w:id="0">
    <w:p w:rsidR="0085243C" w:rsidRDefault="0085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DA693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DA6933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DA6933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DA693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DA6933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DA6933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3C" w:rsidRDefault="0085243C">
      <w:r>
        <w:separator/>
      </w:r>
    </w:p>
  </w:footnote>
  <w:footnote w:type="continuationSeparator" w:id="0">
    <w:p w:rsidR="0085243C" w:rsidRDefault="0085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2F0F8F"/>
    <w:rsid w:val="00300B48"/>
    <w:rsid w:val="00303D18"/>
    <w:rsid w:val="00376D33"/>
    <w:rsid w:val="00453B9B"/>
    <w:rsid w:val="0046367D"/>
    <w:rsid w:val="004B3661"/>
    <w:rsid w:val="00551AF6"/>
    <w:rsid w:val="005F494D"/>
    <w:rsid w:val="006254CB"/>
    <w:rsid w:val="00650040"/>
    <w:rsid w:val="006D3102"/>
    <w:rsid w:val="00720724"/>
    <w:rsid w:val="0082003C"/>
    <w:rsid w:val="0085243C"/>
    <w:rsid w:val="008652BA"/>
    <w:rsid w:val="00865634"/>
    <w:rsid w:val="00890666"/>
    <w:rsid w:val="00951761"/>
    <w:rsid w:val="00960B8D"/>
    <w:rsid w:val="00977727"/>
    <w:rsid w:val="009A13E2"/>
    <w:rsid w:val="00A734C7"/>
    <w:rsid w:val="00AA5747"/>
    <w:rsid w:val="00AA7E6D"/>
    <w:rsid w:val="00AD1728"/>
    <w:rsid w:val="00AE2DA7"/>
    <w:rsid w:val="00B44480"/>
    <w:rsid w:val="00BA36FC"/>
    <w:rsid w:val="00BE16F1"/>
    <w:rsid w:val="00C13F3F"/>
    <w:rsid w:val="00C2022B"/>
    <w:rsid w:val="00C33095"/>
    <w:rsid w:val="00C54EA5"/>
    <w:rsid w:val="00C8081F"/>
    <w:rsid w:val="00CF5D71"/>
    <w:rsid w:val="00D47DF5"/>
    <w:rsid w:val="00DA6933"/>
    <w:rsid w:val="00DD3468"/>
    <w:rsid w:val="00E149FE"/>
    <w:rsid w:val="00E33F7B"/>
    <w:rsid w:val="00E42DDF"/>
    <w:rsid w:val="00E76418"/>
    <w:rsid w:val="00E821D9"/>
    <w:rsid w:val="00EC0D08"/>
    <w:rsid w:val="00F27CDD"/>
    <w:rsid w:val="00F44EF8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4480"/>
    <w:rPr>
      <w:b/>
      <w:bCs/>
    </w:rPr>
  </w:style>
  <w:style w:type="table" w:styleId="TableGrid">
    <w:name w:val="Table Grid"/>
    <w:basedOn w:val="TableNormal"/>
    <w:uiPriority w:val="59"/>
    <w:rsid w:val="00865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air.defra.gov.uk/forecast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1385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bthb199</cp:lastModifiedBy>
  <cp:revision>2</cp:revision>
  <cp:lastPrinted>2005-07-21T15:51:00Z</cp:lastPrinted>
  <dcterms:created xsi:type="dcterms:W3CDTF">2017-03-06T17:22:00Z</dcterms:created>
  <dcterms:modified xsi:type="dcterms:W3CDTF">2017-03-06T17:22:00Z</dcterms:modified>
</cp:coreProperties>
</file>