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F7" w:rsidRPr="00BE16F1" w:rsidRDefault="00D935F7" w:rsidP="00D935F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>
        <w:rPr>
          <w:rFonts w:ascii="Arial" w:hAnsi="Arial" w:cs="Arial"/>
          <w:b/>
          <w:noProof/>
          <w:snapToGrid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A4FAE67" wp14:editId="1DE271D9">
            <wp:simplePos x="0" y="0"/>
            <wp:positionH relativeFrom="column">
              <wp:posOffset>3890010</wp:posOffset>
            </wp:positionH>
            <wp:positionV relativeFrom="paragraph">
              <wp:posOffset>-329565</wp:posOffset>
            </wp:positionV>
            <wp:extent cx="2505075" cy="971550"/>
            <wp:effectExtent l="0" t="0" r="9525" b="0"/>
            <wp:wrapNone/>
            <wp:docPr id="1" name="Picture 1" descr="TC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_LOGO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Request Reference: </w:t>
      </w:r>
      <w:r>
        <w:rPr>
          <w:rFonts w:ascii="Arial" w:hAnsi="Arial" w:cs="Arial"/>
          <w:b/>
          <w:snapToGrid/>
          <w:sz w:val="24"/>
          <w:szCs w:val="24"/>
          <w:lang w:val="en-GB"/>
        </w:rPr>
        <w:t>17180078</w:t>
      </w:r>
    </w:p>
    <w:p w:rsidR="00D935F7" w:rsidRDefault="00D935F7" w:rsidP="00D935F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Date received: </w:t>
      </w:r>
      <w:r>
        <w:rPr>
          <w:rFonts w:ascii="Arial" w:hAnsi="Arial" w:cs="Arial"/>
          <w:b/>
          <w:snapToGrid/>
          <w:sz w:val="24"/>
          <w:szCs w:val="24"/>
          <w:lang w:val="en-GB"/>
        </w:rPr>
        <w:t>11 April 2017</w:t>
      </w:r>
    </w:p>
    <w:p w:rsidR="00D935F7" w:rsidRPr="00BE16F1" w:rsidRDefault="00D935F7" w:rsidP="00D935F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>
        <w:rPr>
          <w:rFonts w:ascii="Arial" w:hAnsi="Arial" w:cs="Arial"/>
          <w:b/>
          <w:snapToGrid/>
          <w:sz w:val="24"/>
          <w:szCs w:val="24"/>
          <w:lang w:val="en-GB"/>
        </w:rPr>
        <w:t>Date response sent: 9 May 2017</w:t>
      </w:r>
    </w:p>
    <w:p w:rsidR="00D935F7" w:rsidRPr="00BE16F1" w:rsidRDefault="00D935F7" w:rsidP="00D935F7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</w:p>
    <w:p w:rsidR="00D935F7" w:rsidRPr="00453B9B" w:rsidRDefault="00D935F7" w:rsidP="00D935F7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D935F7" w:rsidRPr="00516024" w:rsidRDefault="00D935F7" w:rsidP="00D935F7">
      <w:pPr>
        <w:tabs>
          <w:tab w:val="left" w:pos="567"/>
        </w:tabs>
        <w:spacing w:after="60"/>
        <w:rPr>
          <w:rFonts w:ascii="Arial" w:hAnsi="Arial" w:cs="Arial"/>
          <w:b/>
          <w:sz w:val="24"/>
          <w:szCs w:val="24"/>
        </w:rPr>
      </w:pP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b/>
          <w:sz w:val="24"/>
          <w:szCs w:val="24"/>
        </w:rPr>
      </w:pPr>
      <w:r w:rsidRPr="00516024">
        <w:rPr>
          <w:rFonts w:ascii="Arial" w:hAnsi="Arial" w:cs="Arial"/>
          <w:b/>
          <w:sz w:val="24"/>
          <w:szCs w:val="24"/>
        </w:rPr>
        <w:t>1.</w:t>
      </w:r>
      <w:r w:rsidRPr="00516024">
        <w:rPr>
          <w:rFonts w:ascii="Arial" w:hAnsi="Arial" w:cs="Arial"/>
          <w:b/>
          <w:sz w:val="24"/>
          <w:szCs w:val="24"/>
        </w:rPr>
        <w:tab/>
        <w:t xml:space="preserve">Please can I have the number of residents awarded welfare assistance or crisis payments to specifically assist with basic food costs? Please can I have a breakdown of this information for each year </w:t>
      </w:r>
      <w:proofErr w:type="gramStart"/>
      <w:r w:rsidRPr="00516024">
        <w:rPr>
          <w:rFonts w:ascii="Arial" w:hAnsi="Arial" w:cs="Arial"/>
          <w:b/>
          <w:sz w:val="24"/>
          <w:szCs w:val="24"/>
        </w:rPr>
        <w:t>between 2008-2017</w:t>
      </w:r>
      <w:proofErr w:type="gramEnd"/>
      <w:r w:rsidRPr="00516024">
        <w:rPr>
          <w:rFonts w:ascii="Arial" w:hAnsi="Arial" w:cs="Arial"/>
          <w:b/>
          <w:sz w:val="24"/>
          <w:szCs w:val="24"/>
        </w:rPr>
        <w:t>?</w:t>
      </w: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6024">
        <w:rPr>
          <w:rFonts w:ascii="Arial" w:hAnsi="Arial" w:cs="Arial"/>
          <w:sz w:val="24"/>
          <w:szCs w:val="24"/>
        </w:rPr>
        <w:t xml:space="preserve">As part of its </w:t>
      </w:r>
      <w:proofErr w:type="spellStart"/>
      <w:r w:rsidRPr="00516024">
        <w:rPr>
          <w:rFonts w:ascii="Arial" w:hAnsi="Arial" w:cs="Arial"/>
          <w:sz w:val="24"/>
          <w:szCs w:val="24"/>
        </w:rPr>
        <w:t>programme</w:t>
      </w:r>
      <w:proofErr w:type="spellEnd"/>
      <w:r w:rsidRPr="00516024">
        <w:rPr>
          <w:rFonts w:ascii="Arial" w:hAnsi="Arial" w:cs="Arial"/>
          <w:sz w:val="24"/>
          <w:szCs w:val="24"/>
        </w:rPr>
        <w:t xml:space="preserve"> of welfare reforms Department for Work and Pensions took the decision to abolish the Community Care Grant and Crisis Loan elements of the Social Fund from April 2013.</w:t>
      </w: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</w:p>
    <w:p w:rsidR="00D935F7" w:rsidRPr="00516024" w:rsidRDefault="00D935F7" w:rsidP="00D935F7">
      <w:pPr>
        <w:pStyle w:val="Default"/>
        <w:tabs>
          <w:tab w:val="left" w:pos="567"/>
        </w:tabs>
        <w:spacing w:after="60"/>
        <w:ind w:left="567" w:hanging="567"/>
      </w:pPr>
      <w:r>
        <w:rPr>
          <w:color w:val="auto"/>
        </w:rPr>
        <w:tab/>
      </w:r>
      <w:r w:rsidRPr="00516024">
        <w:rPr>
          <w:color w:val="auto"/>
        </w:rPr>
        <w:t xml:space="preserve">The new “Local Welfare Assistance” or Crisis Support scheme as it’s called in Torbay was introduced from April 2013.  </w:t>
      </w:r>
      <w:r w:rsidRPr="00516024">
        <w:t>Funding previously used to support Community Care Grants and Crisis Loan elements of the Social Fund was then allocated to upper-tier local authorities in England and to the devolved administrations in Scotland and Wales.</w:t>
      </w: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6024">
        <w:rPr>
          <w:rFonts w:ascii="Arial" w:hAnsi="Arial" w:cs="Arial"/>
          <w:sz w:val="24"/>
          <w:szCs w:val="24"/>
        </w:rPr>
        <w:t>Prior to April 2013, Crisis Loans were interest free loans of up to £1,500, available to anyone over 16 years old who did not have “sufficient resources to meet the immediate short term needs” of themselves and/or their family.  This included living expenses arising from an emergency, such as basic food costs.</w:t>
      </w: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6024">
        <w:rPr>
          <w:rFonts w:ascii="Arial" w:hAnsi="Arial" w:cs="Arial"/>
          <w:sz w:val="24"/>
          <w:szCs w:val="24"/>
        </w:rPr>
        <w:t xml:space="preserve">From April 2013, </w:t>
      </w:r>
      <w:proofErr w:type="spellStart"/>
      <w:r w:rsidRPr="00516024">
        <w:rPr>
          <w:rFonts w:ascii="Arial" w:hAnsi="Arial" w:cs="Arial"/>
          <w:sz w:val="24"/>
          <w:szCs w:val="24"/>
        </w:rPr>
        <w:t>Torbay’s</w:t>
      </w:r>
      <w:proofErr w:type="spellEnd"/>
      <w:r w:rsidRPr="00516024">
        <w:rPr>
          <w:rFonts w:ascii="Arial" w:hAnsi="Arial" w:cs="Arial"/>
          <w:sz w:val="24"/>
          <w:szCs w:val="24"/>
        </w:rPr>
        <w:t xml:space="preserve"> Crisis Support scheme has provided assistance with food requests through referrals to local food banks, not cash payments.</w:t>
      </w: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6024">
        <w:rPr>
          <w:rFonts w:ascii="Arial" w:hAnsi="Arial" w:cs="Arial"/>
          <w:sz w:val="24"/>
          <w:szCs w:val="24"/>
        </w:rPr>
        <w:t>The cost and number of requests of these referrals since 2013 are as follows;</w:t>
      </w:r>
    </w:p>
    <w:p w:rsidR="00D935F7" w:rsidRPr="00516024" w:rsidRDefault="00D935F7" w:rsidP="00D935F7">
      <w:pPr>
        <w:tabs>
          <w:tab w:val="left" w:pos="567"/>
        </w:tabs>
        <w:spacing w:after="60"/>
        <w:ind w:left="567" w:hanging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45"/>
        <w:gridCol w:w="2958"/>
        <w:gridCol w:w="3007"/>
      </w:tblGrid>
      <w:tr w:rsidR="00D935F7" w:rsidRPr="00516024" w:rsidTr="00EC0044">
        <w:tc>
          <w:tcPr>
            <w:tcW w:w="2922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16024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031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16024">
              <w:rPr>
                <w:rFonts w:ascii="Arial" w:hAnsi="Arial" w:cs="Arial"/>
                <w:b/>
                <w:sz w:val="24"/>
                <w:szCs w:val="24"/>
              </w:rPr>
              <w:t>Cost (£)</w:t>
            </w:r>
          </w:p>
        </w:tc>
        <w:tc>
          <w:tcPr>
            <w:tcW w:w="3083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16024">
              <w:rPr>
                <w:rFonts w:ascii="Arial" w:hAnsi="Arial" w:cs="Arial"/>
                <w:b/>
                <w:sz w:val="24"/>
                <w:szCs w:val="24"/>
              </w:rPr>
              <w:t>Number of Referrals</w:t>
            </w:r>
          </w:p>
        </w:tc>
      </w:tr>
      <w:tr w:rsidR="00D935F7" w:rsidRPr="00516024" w:rsidTr="00EC0044">
        <w:tc>
          <w:tcPr>
            <w:tcW w:w="2922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2013/14</w:t>
            </w:r>
          </w:p>
        </w:tc>
        <w:tc>
          <w:tcPr>
            <w:tcW w:w="3031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21,581.00</w:t>
            </w:r>
          </w:p>
        </w:tc>
        <w:tc>
          <w:tcPr>
            <w:tcW w:w="3083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1,015</w:t>
            </w:r>
          </w:p>
        </w:tc>
      </w:tr>
      <w:tr w:rsidR="00D935F7" w:rsidRPr="00516024" w:rsidTr="00EC0044">
        <w:tc>
          <w:tcPr>
            <w:tcW w:w="2922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2014/15</w:t>
            </w:r>
          </w:p>
        </w:tc>
        <w:tc>
          <w:tcPr>
            <w:tcW w:w="3031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33,140.00</w:t>
            </w:r>
          </w:p>
        </w:tc>
        <w:tc>
          <w:tcPr>
            <w:tcW w:w="3083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</w:tr>
      <w:tr w:rsidR="00D935F7" w:rsidRPr="00516024" w:rsidTr="00EC0044">
        <w:tc>
          <w:tcPr>
            <w:tcW w:w="2922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2015/16</w:t>
            </w:r>
          </w:p>
        </w:tc>
        <w:tc>
          <w:tcPr>
            <w:tcW w:w="3031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27,887.50</w:t>
            </w:r>
          </w:p>
        </w:tc>
        <w:tc>
          <w:tcPr>
            <w:tcW w:w="3083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</w:tr>
      <w:tr w:rsidR="00D935F7" w:rsidRPr="00516024" w:rsidTr="00EC0044">
        <w:tc>
          <w:tcPr>
            <w:tcW w:w="2922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2016/17</w:t>
            </w:r>
          </w:p>
        </w:tc>
        <w:tc>
          <w:tcPr>
            <w:tcW w:w="3031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7,702.50</w:t>
            </w:r>
          </w:p>
        </w:tc>
        <w:tc>
          <w:tcPr>
            <w:tcW w:w="3083" w:type="dxa"/>
          </w:tcPr>
          <w:p w:rsidR="00D935F7" w:rsidRPr="00516024" w:rsidRDefault="00D935F7" w:rsidP="00EC0044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16024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</w:tr>
    </w:tbl>
    <w:p w:rsidR="00D935F7" w:rsidRPr="00516024" w:rsidRDefault="00D935F7" w:rsidP="00D935F7">
      <w:pPr>
        <w:tabs>
          <w:tab w:val="left" w:pos="567"/>
        </w:tabs>
        <w:spacing w:after="60"/>
        <w:ind w:left="709"/>
        <w:rPr>
          <w:rFonts w:ascii="Arial" w:hAnsi="Arial" w:cs="Arial"/>
          <w:sz w:val="24"/>
          <w:szCs w:val="24"/>
        </w:rPr>
      </w:pPr>
    </w:p>
    <w:p w:rsidR="00D935F7" w:rsidRPr="00516024" w:rsidRDefault="00D935F7" w:rsidP="00D935F7">
      <w:pPr>
        <w:tabs>
          <w:tab w:val="left" w:pos="567"/>
        </w:tabs>
        <w:spacing w:after="60"/>
        <w:ind w:left="709"/>
        <w:rPr>
          <w:rFonts w:ascii="Arial" w:hAnsi="Arial" w:cs="Arial"/>
          <w:sz w:val="24"/>
          <w:szCs w:val="24"/>
        </w:rPr>
      </w:pPr>
      <w:r w:rsidRPr="00516024">
        <w:rPr>
          <w:rFonts w:ascii="Arial" w:hAnsi="Arial" w:cs="Arial"/>
          <w:sz w:val="24"/>
          <w:szCs w:val="24"/>
        </w:rPr>
        <w:t xml:space="preserve">     </w:t>
      </w:r>
    </w:p>
    <w:p w:rsidR="00D935F7" w:rsidRPr="00516024" w:rsidRDefault="00D935F7" w:rsidP="00D935F7">
      <w:pPr>
        <w:tabs>
          <w:tab w:val="left" w:pos="567"/>
        </w:tabs>
        <w:spacing w:after="60"/>
        <w:ind w:left="709"/>
        <w:rPr>
          <w:rFonts w:ascii="Arial" w:hAnsi="Arial" w:cs="Arial"/>
          <w:sz w:val="24"/>
          <w:szCs w:val="24"/>
        </w:rPr>
      </w:pPr>
    </w:p>
    <w:p w:rsidR="00D935F7" w:rsidRPr="00516024" w:rsidRDefault="00D935F7" w:rsidP="00D935F7">
      <w:pPr>
        <w:tabs>
          <w:tab w:val="left" w:pos="567"/>
        </w:tabs>
        <w:spacing w:after="60"/>
        <w:ind w:left="709"/>
        <w:rPr>
          <w:rFonts w:ascii="Arial" w:hAnsi="Arial" w:cs="Arial"/>
          <w:sz w:val="24"/>
          <w:szCs w:val="24"/>
        </w:rPr>
      </w:pPr>
    </w:p>
    <w:p w:rsidR="00D935F7" w:rsidRPr="00516024" w:rsidRDefault="00D935F7" w:rsidP="00D935F7">
      <w:pPr>
        <w:tabs>
          <w:tab w:val="left" w:pos="567"/>
        </w:tabs>
        <w:spacing w:after="60"/>
        <w:ind w:left="709"/>
        <w:rPr>
          <w:rFonts w:ascii="Arial" w:hAnsi="Arial" w:cs="Arial"/>
          <w:sz w:val="24"/>
          <w:szCs w:val="24"/>
        </w:rPr>
      </w:pPr>
    </w:p>
    <w:p w:rsidR="00310750" w:rsidRDefault="00D935F7"/>
    <w:sectPr w:rsidR="00310750" w:rsidSect="00D935F7">
      <w:footerReference w:type="default" r:id="rId5"/>
      <w:headerReference w:type="first" r:id="rId6"/>
      <w:footerReference w:type="first" r:id="rId7"/>
      <w:endnotePr>
        <w:numFmt w:val="decimal"/>
      </w:endnotePr>
      <w:pgSz w:w="11905" w:h="16837" w:code="9"/>
      <w:pgMar w:top="1134" w:right="1134" w:bottom="964" w:left="1134" w:header="0" w:footer="567" w:gutter="0"/>
      <w:paperSrc w:first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6D" w:rsidRDefault="00D935F7" w:rsidP="00AA7E6D">
    <w:pPr>
      <w:widowControl/>
      <w:tabs>
        <w:tab w:val="left" w:pos="567"/>
      </w:tabs>
      <w:autoSpaceDE w:val="0"/>
      <w:autoSpaceDN w:val="0"/>
      <w:adjustRightInd w:val="0"/>
      <w:ind w:left="567" w:hanging="567"/>
      <w:rPr>
        <w:rFonts w:ascii="Arial" w:hAnsi="Arial" w:cs="Arial"/>
        <w:b/>
        <w:sz w:val="24"/>
        <w:szCs w:val="24"/>
      </w:rPr>
    </w:pPr>
  </w:p>
  <w:p w:rsidR="00AA7E6D" w:rsidRPr="00DD3468" w:rsidRDefault="00D935F7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Cs/>
        <w:snapToGrid/>
        <w:sz w:val="16"/>
        <w:szCs w:val="16"/>
        <w:lang w:val="en-GB"/>
      </w:rPr>
    </w:pPr>
    <w:r w:rsidRPr="00DD3468">
      <w:rPr>
        <w:rFonts w:ascii="Arial" w:hAnsi="Arial" w:cs="Arial"/>
        <w:bCs/>
        <w:snapToGrid/>
        <w:sz w:val="16"/>
        <w:szCs w:val="16"/>
        <w:lang w:val="en-GB"/>
      </w:rPr>
      <w:t xml:space="preserve">The information supplied to you continues to be </w:t>
    </w:r>
    <w:r w:rsidRPr="00DD3468">
      <w:rPr>
        <w:rFonts w:ascii="Arial" w:hAnsi="Arial" w:cs="Arial"/>
        <w:bCs/>
        <w:snapToGrid/>
        <w:sz w:val="16"/>
        <w:szCs w:val="16"/>
        <w:lang w:val="en-GB"/>
      </w:rPr>
      <w:t>protected by the Copyright, Designs and Patents Act 1988. You are free to use it for your own purposes, including any non-commercial research you are doing and for the purpose of news reporting. Any other re-use, for example commercial publication, would r</w:t>
    </w:r>
    <w:r w:rsidRPr="00DD3468">
      <w:rPr>
        <w:rFonts w:ascii="Arial" w:hAnsi="Arial" w:cs="Arial"/>
        <w:bCs/>
        <w:snapToGrid/>
        <w:sz w:val="16"/>
        <w:szCs w:val="16"/>
        <w:lang w:val="en-GB"/>
      </w:rPr>
      <w:t>equire the permission of the copyright holder.</w:t>
    </w:r>
  </w:p>
  <w:p w:rsidR="00AA7E6D" w:rsidRPr="00DD3468" w:rsidRDefault="00D935F7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Cs/>
        <w:snapToGrid/>
        <w:sz w:val="16"/>
        <w:szCs w:val="16"/>
        <w:lang w:val="en-GB"/>
      </w:rPr>
    </w:pPr>
  </w:p>
  <w:p w:rsidR="00AA7E6D" w:rsidRPr="00DD3468" w:rsidRDefault="00D935F7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/>
        <w:bCs/>
        <w:snapToGrid/>
        <w:sz w:val="16"/>
        <w:szCs w:val="16"/>
        <w:lang w:val="en-GB"/>
      </w:rPr>
    </w:pPr>
    <w:r w:rsidRPr="00DD3468">
      <w:rPr>
        <w:rFonts w:ascii="Arial" w:hAnsi="Arial" w:cs="Arial"/>
        <w:bCs/>
        <w:snapToGrid/>
        <w:sz w:val="16"/>
        <w:szCs w:val="16"/>
        <w:lang w:val="en-GB"/>
      </w:rPr>
      <w:t xml:space="preserve">For more information on requesting to re-use information held by Torbay Council under the Re-Use of Public Sector Information Regulations, 2005 please visit </w:t>
    </w:r>
    <w:hyperlink r:id="rId1" w:history="1">
      <w:r w:rsidRPr="00DD3468">
        <w:rPr>
          <w:rStyle w:val="Hyperlink"/>
          <w:rFonts w:ascii="Arial" w:hAnsi="Arial" w:cs="Arial"/>
          <w:b/>
          <w:bCs/>
          <w:snapToGrid/>
          <w:sz w:val="16"/>
          <w:szCs w:val="16"/>
          <w:lang w:val="en-GB"/>
        </w:rPr>
        <w:t>www.torbay.gov.uk/accesstoinformation/psi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F1" w:rsidRPr="00BE16F1" w:rsidRDefault="00D935F7" w:rsidP="00BE16F1">
    <w:pPr>
      <w:pStyle w:val="Footer"/>
      <w:jc w:val="right"/>
      <w:rPr>
        <w:rFonts w:ascii="Arial" w:hAnsi="Arial" w:cs="Arial"/>
        <w:sz w:val="16"/>
        <w:szCs w:val="16"/>
      </w:rPr>
    </w:pPr>
    <w:r w:rsidRPr="00BE16F1">
      <w:rPr>
        <w:rFonts w:ascii="Arial" w:hAnsi="Arial" w:cs="Arial"/>
        <w:sz w:val="16"/>
        <w:szCs w:val="16"/>
      </w:rPr>
      <w:t xml:space="preserve">Page </w:t>
    </w:r>
    <w:r w:rsidRPr="00BE16F1">
      <w:rPr>
        <w:rFonts w:ascii="Arial" w:hAnsi="Arial" w:cs="Arial"/>
        <w:sz w:val="16"/>
        <w:szCs w:val="16"/>
      </w:rPr>
      <w:fldChar w:fldCharType="begin"/>
    </w:r>
    <w:r w:rsidRPr="00BE16F1">
      <w:rPr>
        <w:rFonts w:ascii="Arial" w:hAnsi="Arial" w:cs="Arial"/>
        <w:sz w:val="16"/>
        <w:szCs w:val="16"/>
      </w:rPr>
      <w:instrText xml:space="preserve"> PAGE </w:instrText>
    </w:r>
    <w:r w:rsidRPr="00BE16F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BE16F1">
      <w:rPr>
        <w:rFonts w:ascii="Arial" w:hAnsi="Arial" w:cs="Arial"/>
        <w:sz w:val="16"/>
        <w:szCs w:val="16"/>
      </w:rPr>
      <w:fldChar w:fldCharType="end"/>
    </w:r>
    <w:r w:rsidRPr="00BE16F1">
      <w:rPr>
        <w:rFonts w:ascii="Arial" w:hAnsi="Arial" w:cs="Arial"/>
        <w:sz w:val="16"/>
        <w:szCs w:val="16"/>
      </w:rPr>
      <w:t xml:space="preserve"> of </w:t>
    </w:r>
    <w:r w:rsidRPr="00BE16F1">
      <w:rPr>
        <w:rFonts w:ascii="Arial" w:hAnsi="Arial" w:cs="Arial"/>
        <w:sz w:val="16"/>
        <w:szCs w:val="16"/>
      </w:rPr>
      <w:fldChar w:fldCharType="begin"/>
    </w:r>
    <w:r w:rsidRPr="00BE16F1">
      <w:rPr>
        <w:rFonts w:ascii="Arial" w:hAnsi="Arial" w:cs="Arial"/>
        <w:sz w:val="16"/>
        <w:szCs w:val="16"/>
      </w:rPr>
      <w:instrText xml:space="preserve"> NUMPAGES </w:instrText>
    </w:r>
    <w:r w:rsidRPr="00BE16F1">
      <w:rPr>
        <w:rFonts w:ascii="Arial" w:hAnsi="Arial" w:cs="Arial"/>
        <w:sz w:val="16"/>
        <w:szCs w:val="16"/>
      </w:rPr>
      <w:fldChar w:fldCharType="separate"/>
    </w:r>
    <w:r w:rsidRPr="00BE16F1">
      <w:rPr>
        <w:rFonts w:ascii="Arial" w:hAnsi="Arial" w:cs="Arial"/>
        <w:noProof/>
        <w:sz w:val="16"/>
        <w:szCs w:val="16"/>
      </w:rPr>
      <w:t>1</w:t>
    </w:r>
    <w:r w:rsidRPr="00BE16F1">
      <w:rPr>
        <w:rFonts w:ascii="Arial" w:hAnsi="Arial"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D9" w:rsidRDefault="00D935F7">
    <w:pPr>
      <w:pStyle w:val="Header"/>
      <w:tabs>
        <w:tab w:val="left" w:pos="5103"/>
      </w:tabs>
      <w:spacing w:line="320" w:lineRule="exact"/>
      <w:rPr>
        <w:rFonts w:ascii="Arial" w:hAnsi="Arial"/>
        <w:lang w:val="en-GB"/>
      </w:rPr>
    </w:pPr>
    <w:r>
      <w:rPr>
        <w:rFonts w:ascii="Arial" w:hAnsi="Arial"/>
        <w:b/>
        <w:lang w:val="en-GB"/>
      </w:rPr>
      <w:tab/>
    </w:r>
    <w:r>
      <w:rPr>
        <w:rFonts w:ascii="Arial" w:hAnsi="Arial"/>
        <w:b/>
        <w:lang w:val="en-GB"/>
      </w:rPr>
      <w:tab/>
    </w:r>
    <w:r>
      <w:rPr>
        <w:rFonts w:ascii="Arial" w:hAnsi="Arial"/>
        <w:lang w:val="en-GB"/>
      </w:rPr>
      <w:t xml:space="preserve"> </w:t>
    </w:r>
  </w:p>
  <w:p w:rsidR="00E821D9" w:rsidRDefault="00D935F7">
    <w:pPr>
      <w:pStyle w:val="Header"/>
      <w:jc w:val="right"/>
      <w:rPr>
        <w:lang w:val="en-GB"/>
      </w:rPr>
    </w:pPr>
  </w:p>
  <w:p w:rsidR="00E821D9" w:rsidRDefault="00D935F7">
    <w:pPr>
      <w:pStyle w:val="Header"/>
      <w:rPr>
        <w:lang w:val="en-GB"/>
      </w:rPr>
    </w:pPr>
  </w:p>
  <w:p w:rsidR="00E821D9" w:rsidRDefault="00D935F7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F7"/>
    <w:rsid w:val="006851F2"/>
    <w:rsid w:val="007B71F7"/>
    <w:rsid w:val="00D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C87FD-2E22-4845-A4EA-120BFC7D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5F7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35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935F7"/>
    <w:rPr>
      <w:rFonts w:ascii="Helvetica" w:eastAsia="Times New Roman" w:hAnsi="Helvetica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935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5F7"/>
    <w:rPr>
      <w:rFonts w:ascii="Helvetica" w:eastAsia="Times New Roman" w:hAnsi="Helvetica" w:cs="Times New Roman"/>
      <w:snapToGrid w:val="0"/>
      <w:szCs w:val="20"/>
      <w:lang w:val="en-US"/>
    </w:rPr>
  </w:style>
  <w:style w:type="character" w:styleId="Hyperlink">
    <w:name w:val="Hyperlink"/>
    <w:basedOn w:val="DefaultParagraphFont"/>
    <w:rsid w:val="00D935F7"/>
    <w:rPr>
      <w:color w:val="0000FF"/>
      <w:u w:val="single"/>
    </w:rPr>
  </w:style>
  <w:style w:type="paragraph" w:customStyle="1" w:styleId="Default">
    <w:name w:val="Default"/>
    <w:link w:val="DefaultChar"/>
    <w:rsid w:val="00D935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DefaultChar">
    <w:name w:val="Default Char"/>
    <w:basedOn w:val="DefaultParagraphFont"/>
    <w:link w:val="Default"/>
    <w:rsid w:val="00D935F7"/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93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bay.gov.uk/accesstoinformation/p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Katherine</dc:creator>
  <cp:keywords/>
  <dc:description/>
  <cp:lastModifiedBy>Boyer, Katherine</cp:lastModifiedBy>
  <cp:revision>1</cp:revision>
  <dcterms:created xsi:type="dcterms:W3CDTF">2017-09-29T09:18:00Z</dcterms:created>
  <dcterms:modified xsi:type="dcterms:W3CDTF">2017-09-29T09:19:00Z</dcterms:modified>
</cp:coreProperties>
</file>