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884" w:rsidRPr="0082068A" w:rsidRDefault="006806D5" w:rsidP="006806D5">
      <w:pPr>
        <w:tabs>
          <w:tab w:val="left" w:pos="2663"/>
        </w:tabs>
        <w:jc w:val="center"/>
        <w:rPr>
          <w:b/>
          <w:color w:val="000000" w:themeColor="text1"/>
        </w:rPr>
      </w:pPr>
      <w:r w:rsidRPr="0082068A">
        <w:rPr>
          <w:b/>
          <w:color w:val="000000" w:themeColor="text1"/>
        </w:rPr>
        <w:t>Discretionary Policy for Business Rates Discount for Public Houses.</w:t>
      </w:r>
    </w:p>
    <w:p w:rsidR="001302A0" w:rsidRPr="0082068A" w:rsidRDefault="001302A0" w:rsidP="006806D5">
      <w:pPr>
        <w:tabs>
          <w:tab w:val="left" w:pos="2663"/>
        </w:tabs>
        <w:jc w:val="both"/>
        <w:rPr>
          <w:color w:val="000000" w:themeColor="text1"/>
          <w:u w:val="single"/>
        </w:rPr>
      </w:pPr>
      <w:r w:rsidRPr="0082068A">
        <w:rPr>
          <w:color w:val="000000" w:themeColor="text1"/>
          <w:u w:val="single"/>
        </w:rPr>
        <w:t>Background</w:t>
      </w:r>
    </w:p>
    <w:p w:rsidR="006806D5" w:rsidRPr="00262AD9" w:rsidRDefault="006806D5" w:rsidP="006806D5">
      <w:pPr>
        <w:tabs>
          <w:tab w:val="left" w:pos="2663"/>
        </w:tabs>
        <w:jc w:val="both"/>
        <w:rPr>
          <w:color w:val="000000" w:themeColor="text1"/>
        </w:rPr>
      </w:pPr>
      <w:r w:rsidRPr="00262AD9">
        <w:rPr>
          <w:color w:val="000000" w:themeColor="text1"/>
        </w:rPr>
        <w:t>In the Spring Budget 2017, the government announced a £435m package to support small businesses.</w:t>
      </w:r>
    </w:p>
    <w:p w:rsidR="001302A0" w:rsidRPr="00262AD9" w:rsidRDefault="001302A0" w:rsidP="006806D5">
      <w:pPr>
        <w:tabs>
          <w:tab w:val="left" w:pos="2663"/>
        </w:tabs>
        <w:jc w:val="both"/>
        <w:rPr>
          <w:color w:val="000000" w:themeColor="text1"/>
        </w:rPr>
      </w:pPr>
      <w:r w:rsidRPr="00262AD9">
        <w:rPr>
          <w:color w:val="000000" w:themeColor="text1"/>
        </w:rPr>
        <w:t>Part of this package included public houses that faced significant increases in rate bills as a consequence of the 2017 revaluation.</w:t>
      </w:r>
    </w:p>
    <w:p w:rsidR="001302A0" w:rsidRPr="00262AD9" w:rsidRDefault="001302A0" w:rsidP="006806D5">
      <w:pPr>
        <w:tabs>
          <w:tab w:val="left" w:pos="2663"/>
        </w:tabs>
        <w:jc w:val="both"/>
        <w:rPr>
          <w:color w:val="000000" w:themeColor="text1"/>
        </w:rPr>
      </w:pPr>
      <w:r w:rsidRPr="00262AD9">
        <w:rPr>
          <w:color w:val="000000" w:themeColor="text1"/>
        </w:rPr>
        <w:t>Public houses with a rateable value up to £100,000 will be awarded a discount up to £1000 for one year from 1 April 2017.</w:t>
      </w:r>
    </w:p>
    <w:p w:rsidR="001302A0" w:rsidRPr="0082068A" w:rsidRDefault="001302A0" w:rsidP="006806D5">
      <w:pPr>
        <w:tabs>
          <w:tab w:val="left" w:pos="2663"/>
        </w:tabs>
        <w:jc w:val="both"/>
        <w:rPr>
          <w:color w:val="000000" w:themeColor="text1"/>
          <w:u w:val="single"/>
        </w:rPr>
      </w:pPr>
      <w:r w:rsidRPr="0082068A">
        <w:rPr>
          <w:color w:val="000000" w:themeColor="text1"/>
          <w:u w:val="single"/>
        </w:rPr>
        <w:t>Eligibility Criteria</w:t>
      </w:r>
    </w:p>
    <w:p w:rsidR="001302A0" w:rsidRPr="00262AD9" w:rsidRDefault="00822BA9" w:rsidP="006806D5">
      <w:pPr>
        <w:tabs>
          <w:tab w:val="left" w:pos="2663"/>
        </w:tabs>
        <w:jc w:val="both"/>
        <w:rPr>
          <w:color w:val="000000" w:themeColor="text1"/>
        </w:rPr>
      </w:pPr>
      <w:r w:rsidRPr="00262AD9">
        <w:rPr>
          <w:color w:val="000000" w:themeColor="text1"/>
        </w:rPr>
        <w:t>The scheme will be open to eligible occupied properties with a rateable values of less than £100,000.</w:t>
      </w:r>
    </w:p>
    <w:p w:rsidR="00822BA9" w:rsidRPr="00262AD9" w:rsidRDefault="00822BA9" w:rsidP="006806D5">
      <w:pPr>
        <w:tabs>
          <w:tab w:val="left" w:pos="2663"/>
        </w:tabs>
        <w:jc w:val="both"/>
        <w:rPr>
          <w:color w:val="000000" w:themeColor="text1"/>
        </w:rPr>
      </w:pPr>
      <w:r w:rsidRPr="00262AD9">
        <w:rPr>
          <w:color w:val="000000" w:themeColor="text1"/>
        </w:rPr>
        <w:t>The majority of pubs are independently owned or managed and will not be part of a chain.</w:t>
      </w:r>
    </w:p>
    <w:p w:rsidR="00A55DCD" w:rsidRPr="00262AD9" w:rsidRDefault="00A55DCD" w:rsidP="006806D5">
      <w:pPr>
        <w:tabs>
          <w:tab w:val="left" w:pos="2663"/>
        </w:tabs>
        <w:jc w:val="both"/>
        <w:rPr>
          <w:color w:val="000000" w:themeColor="text1"/>
        </w:rPr>
      </w:pPr>
      <w:r w:rsidRPr="00262AD9">
        <w:rPr>
          <w:color w:val="000000" w:themeColor="text1"/>
        </w:rPr>
        <w:t>Where pubs are part of a chain, relief will be available for each eligible property in the chain</w:t>
      </w:r>
      <w:r w:rsidR="004A0CD1" w:rsidRPr="00262AD9">
        <w:rPr>
          <w:color w:val="000000" w:themeColor="text1"/>
        </w:rPr>
        <w:t>, subject to meeting State Aid requirements</w:t>
      </w:r>
    </w:p>
    <w:p w:rsidR="004A0CD1" w:rsidRPr="00262AD9" w:rsidRDefault="004A0CD1" w:rsidP="006806D5">
      <w:pPr>
        <w:tabs>
          <w:tab w:val="left" w:pos="2663"/>
        </w:tabs>
        <w:jc w:val="both"/>
        <w:rPr>
          <w:color w:val="000000" w:themeColor="text1"/>
        </w:rPr>
      </w:pPr>
      <w:r w:rsidRPr="00262AD9">
        <w:rPr>
          <w:color w:val="000000" w:themeColor="text1"/>
        </w:rPr>
        <w:t>Although there is no definitive description of a traditional public house</w:t>
      </w:r>
      <w:r w:rsidR="006577EA" w:rsidRPr="00262AD9">
        <w:rPr>
          <w:color w:val="000000" w:themeColor="text1"/>
        </w:rPr>
        <w:t xml:space="preserve"> in law</w:t>
      </w:r>
      <w:r w:rsidRPr="00262AD9">
        <w:rPr>
          <w:color w:val="000000" w:themeColor="text1"/>
        </w:rPr>
        <w:t xml:space="preserve">, the scheme </w:t>
      </w:r>
      <w:r w:rsidR="006577EA" w:rsidRPr="00262AD9">
        <w:rPr>
          <w:color w:val="000000" w:themeColor="text1"/>
        </w:rPr>
        <w:t>will incorporate premises that demonstrate the following criteria:</w:t>
      </w:r>
    </w:p>
    <w:p w:rsidR="004A0CD1" w:rsidRPr="00262AD9" w:rsidRDefault="004A0CD1" w:rsidP="006577EA">
      <w:pPr>
        <w:pStyle w:val="ListParagraph"/>
        <w:numPr>
          <w:ilvl w:val="0"/>
          <w:numId w:val="1"/>
        </w:numPr>
        <w:tabs>
          <w:tab w:val="left" w:pos="2663"/>
        </w:tabs>
        <w:jc w:val="both"/>
        <w:rPr>
          <w:color w:val="000000" w:themeColor="text1"/>
        </w:rPr>
      </w:pPr>
      <w:r w:rsidRPr="00262AD9">
        <w:rPr>
          <w:color w:val="000000" w:themeColor="text1"/>
        </w:rPr>
        <w:t>Open to the general public</w:t>
      </w:r>
    </w:p>
    <w:p w:rsidR="00356182" w:rsidRPr="00262AD9" w:rsidRDefault="00356182" w:rsidP="006577EA">
      <w:pPr>
        <w:pStyle w:val="ListParagraph"/>
        <w:numPr>
          <w:ilvl w:val="0"/>
          <w:numId w:val="1"/>
        </w:numPr>
        <w:tabs>
          <w:tab w:val="left" w:pos="2663"/>
        </w:tabs>
        <w:jc w:val="both"/>
        <w:rPr>
          <w:color w:val="000000" w:themeColor="text1"/>
        </w:rPr>
      </w:pPr>
      <w:r w:rsidRPr="00262AD9">
        <w:rPr>
          <w:color w:val="000000" w:themeColor="text1"/>
        </w:rPr>
        <w:t>Allow free entry othe</w:t>
      </w:r>
      <w:r w:rsidR="006577EA" w:rsidRPr="00262AD9">
        <w:rPr>
          <w:color w:val="000000" w:themeColor="text1"/>
        </w:rPr>
        <w:t>r</w:t>
      </w:r>
      <w:r w:rsidRPr="00262AD9">
        <w:rPr>
          <w:color w:val="000000" w:themeColor="text1"/>
        </w:rPr>
        <w:t xml:space="preserve"> than when occasional entertainment is provided</w:t>
      </w:r>
    </w:p>
    <w:p w:rsidR="006577EA" w:rsidRPr="00262AD9" w:rsidRDefault="00356182" w:rsidP="006577EA">
      <w:pPr>
        <w:pStyle w:val="ListParagraph"/>
        <w:numPr>
          <w:ilvl w:val="0"/>
          <w:numId w:val="1"/>
        </w:numPr>
        <w:tabs>
          <w:tab w:val="left" w:pos="2663"/>
        </w:tabs>
        <w:jc w:val="both"/>
        <w:rPr>
          <w:color w:val="000000" w:themeColor="text1"/>
        </w:rPr>
      </w:pPr>
      <w:r w:rsidRPr="00262AD9">
        <w:rPr>
          <w:color w:val="000000" w:themeColor="text1"/>
        </w:rPr>
        <w:t>Allow drinking without the need to consume food</w:t>
      </w:r>
    </w:p>
    <w:p w:rsidR="00356182" w:rsidRPr="00262AD9" w:rsidRDefault="00356182" w:rsidP="006577EA">
      <w:pPr>
        <w:pStyle w:val="ListParagraph"/>
        <w:numPr>
          <w:ilvl w:val="0"/>
          <w:numId w:val="1"/>
        </w:numPr>
        <w:tabs>
          <w:tab w:val="left" w:pos="2663"/>
        </w:tabs>
        <w:rPr>
          <w:color w:val="000000" w:themeColor="text1"/>
        </w:rPr>
      </w:pPr>
      <w:r w:rsidRPr="00262AD9">
        <w:rPr>
          <w:color w:val="000000" w:themeColor="text1"/>
        </w:rPr>
        <w:t>Permit drinks to be purchased at a bar</w:t>
      </w:r>
    </w:p>
    <w:p w:rsidR="006577EA" w:rsidRPr="00262AD9" w:rsidRDefault="006577EA" w:rsidP="006577EA">
      <w:pPr>
        <w:pStyle w:val="ListParagraph"/>
        <w:tabs>
          <w:tab w:val="left" w:pos="2663"/>
        </w:tabs>
        <w:rPr>
          <w:color w:val="000000" w:themeColor="text1"/>
        </w:rPr>
      </w:pPr>
    </w:p>
    <w:p w:rsidR="006577EA" w:rsidRPr="00262AD9" w:rsidRDefault="006577EA" w:rsidP="006577EA">
      <w:pPr>
        <w:pStyle w:val="ListParagraph"/>
        <w:tabs>
          <w:tab w:val="left" w:pos="2663"/>
        </w:tabs>
        <w:ind w:left="0"/>
        <w:rPr>
          <w:color w:val="000000" w:themeColor="text1"/>
        </w:rPr>
      </w:pPr>
      <w:r w:rsidRPr="00262AD9">
        <w:rPr>
          <w:color w:val="000000" w:themeColor="text1"/>
        </w:rPr>
        <w:t>For these purposes, it should exclude:</w:t>
      </w:r>
    </w:p>
    <w:p w:rsidR="006577EA" w:rsidRPr="00262AD9" w:rsidRDefault="006577EA" w:rsidP="006577EA">
      <w:pPr>
        <w:pStyle w:val="ListParagraph"/>
        <w:tabs>
          <w:tab w:val="left" w:pos="2663"/>
        </w:tabs>
        <w:ind w:left="0"/>
        <w:rPr>
          <w:color w:val="000000" w:themeColor="text1"/>
        </w:rPr>
      </w:pPr>
    </w:p>
    <w:p w:rsidR="006577EA" w:rsidRPr="00262AD9" w:rsidRDefault="006577EA" w:rsidP="006577EA">
      <w:pPr>
        <w:pStyle w:val="ListParagraph"/>
        <w:numPr>
          <w:ilvl w:val="0"/>
          <w:numId w:val="2"/>
        </w:numPr>
        <w:tabs>
          <w:tab w:val="left" w:pos="2663"/>
        </w:tabs>
        <w:rPr>
          <w:color w:val="000000" w:themeColor="text1"/>
        </w:rPr>
      </w:pPr>
      <w:r w:rsidRPr="00262AD9">
        <w:rPr>
          <w:color w:val="000000" w:themeColor="text1"/>
        </w:rPr>
        <w:t>Restaurants</w:t>
      </w:r>
    </w:p>
    <w:p w:rsidR="006577EA" w:rsidRPr="00262AD9" w:rsidRDefault="006577EA" w:rsidP="006577EA">
      <w:pPr>
        <w:pStyle w:val="ListParagraph"/>
        <w:numPr>
          <w:ilvl w:val="0"/>
          <w:numId w:val="2"/>
        </w:numPr>
        <w:tabs>
          <w:tab w:val="left" w:pos="2663"/>
        </w:tabs>
        <w:rPr>
          <w:color w:val="000000" w:themeColor="text1"/>
        </w:rPr>
      </w:pPr>
      <w:r w:rsidRPr="00262AD9">
        <w:rPr>
          <w:color w:val="000000" w:themeColor="text1"/>
        </w:rPr>
        <w:t>Cafes</w:t>
      </w:r>
    </w:p>
    <w:p w:rsidR="006577EA" w:rsidRPr="00262AD9" w:rsidRDefault="006577EA" w:rsidP="006577EA">
      <w:pPr>
        <w:pStyle w:val="ListParagraph"/>
        <w:numPr>
          <w:ilvl w:val="0"/>
          <w:numId w:val="2"/>
        </w:numPr>
        <w:tabs>
          <w:tab w:val="left" w:pos="2663"/>
        </w:tabs>
        <w:rPr>
          <w:color w:val="000000" w:themeColor="text1"/>
        </w:rPr>
      </w:pPr>
      <w:r w:rsidRPr="00262AD9">
        <w:rPr>
          <w:color w:val="000000" w:themeColor="text1"/>
        </w:rPr>
        <w:t>Nightclubs and Music Venues</w:t>
      </w:r>
    </w:p>
    <w:p w:rsidR="006577EA" w:rsidRPr="00262AD9" w:rsidRDefault="006577EA" w:rsidP="006577EA">
      <w:pPr>
        <w:pStyle w:val="ListParagraph"/>
        <w:numPr>
          <w:ilvl w:val="0"/>
          <w:numId w:val="2"/>
        </w:numPr>
        <w:tabs>
          <w:tab w:val="left" w:pos="2663"/>
        </w:tabs>
        <w:rPr>
          <w:color w:val="000000" w:themeColor="text1"/>
        </w:rPr>
      </w:pPr>
      <w:r w:rsidRPr="00262AD9">
        <w:rPr>
          <w:color w:val="000000" w:themeColor="text1"/>
        </w:rPr>
        <w:t>Hotels and Guesthouses</w:t>
      </w:r>
    </w:p>
    <w:p w:rsidR="006577EA" w:rsidRPr="00262AD9" w:rsidRDefault="006577EA" w:rsidP="006577EA">
      <w:pPr>
        <w:pStyle w:val="ListParagraph"/>
        <w:numPr>
          <w:ilvl w:val="0"/>
          <w:numId w:val="2"/>
        </w:numPr>
        <w:tabs>
          <w:tab w:val="left" w:pos="2663"/>
        </w:tabs>
        <w:rPr>
          <w:color w:val="000000" w:themeColor="text1"/>
        </w:rPr>
      </w:pPr>
      <w:r w:rsidRPr="00262AD9">
        <w:rPr>
          <w:color w:val="000000" w:themeColor="text1"/>
        </w:rPr>
        <w:t>Sporting Venues</w:t>
      </w:r>
    </w:p>
    <w:p w:rsidR="006577EA" w:rsidRPr="00262AD9" w:rsidRDefault="006577EA" w:rsidP="006577EA">
      <w:pPr>
        <w:pStyle w:val="ListParagraph"/>
        <w:numPr>
          <w:ilvl w:val="0"/>
          <w:numId w:val="2"/>
        </w:numPr>
        <w:tabs>
          <w:tab w:val="left" w:pos="2663"/>
        </w:tabs>
        <w:rPr>
          <w:color w:val="000000" w:themeColor="text1"/>
        </w:rPr>
      </w:pPr>
      <w:r w:rsidRPr="00262AD9">
        <w:rPr>
          <w:color w:val="000000" w:themeColor="text1"/>
        </w:rPr>
        <w:t>Festival sites</w:t>
      </w:r>
    </w:p>
    <w:p w:rsidR="006577EA" w:rsidRPr="00262AD9" w:rsidRDefault="006577EA" w:rsidP="006577EA">
      <w:pPr>
        <w:pStyle w:val="ListParagraph"/>
        <w:numPr>
          <w:ilvl w:val="0"/>
          <w:numId w:val="2"/>
        </w:numPr>
        <w:tabs>
          <w:tab w:val="left" w:pos="2663"/>
        </w:tabs>
        <w:rPr>
          <w:color w:val="000000" w:themeColor="text1"/>
        </w:rPr>
      </w:pPr>
      <w:r w:rsidRPr="00262AD9">
        <w:rPr>
          <w:color w:val="000000" w:themeColor="text1"/>
        </w:rPr>
        <w:t>Museums</w:t>
      </w:r>
    </w:p>
    <w:p w:rsidR="006577EA" w:rsidRPr="00262AD9" w:rsidRDefault="006577EA" w:rsidP="006577EA">
      <w:pPr>
        <w:pStyle w:val="ListParagraph"/>
        <w:numPr>
          <w:ilvl w:val="0"/>
          <w:numId w:val="2"/>
        </w:numPr>
        <w:tabs>
          <w:tab w:val="left" w:pos="2663"/>
        </w:tabs>
        <w:rPr>
          <w:color w:val="000000" w:themeColor="text1"/>
        </w:rPr>
      </w:pPr>
      <w:r w:rsidRPr="00262AD9">
        <w:rPr>
          <w:color w:val="000000" w:themeColor="text1"/>
        </w:rPr>
        <w:t>Cinemas</w:t>
      </w:r>
    </w:p>
    <w:p w:rsidR="006577EA" w:rsidRPr="00262AD9" w:rsidRDefault="006577EA" w:rsidP="006577EA">
      <w:pPr>
        <w:pStyle w:val="ListParagraph"/>
        <w:numPr>
          <w:ilvl w:val="0"/>
          <w:numId w:val="2"/>
        </w:numPr>
        <w:tabs>
          <w:tab w:val="left" w:pos="2663"/>
        </w:tabs>
        <w:rPr>
          <w:color w:val="000000" w:themeColor="text1"/>
        </w:rPr>
      </w:pPr>
      <w:r w:rsidRPr="00262AD9">
        <w:rPr>
          <w:color w:val="000000" w:themeColor="text1"/>
        </w:rPr>
        <w:t>Theatres</w:t>
      </w:r>
    </w:p>
    <w:p w:rsidR="006577EA" w:rsidRPr="00262AD9" w:rsidRDefault="006577EA" w:rsidP="006577EA">
      <w:pPr>
        <w:pStyle w:val="ListParagraph"/>
        <w:numPr>
          <w:ilvl w:val="0"/>
          <w:numId w:val="2"/>
        </w:numPr>
        <w:tabs>
          <w:tab w:val="left" w:pos="2663"/>
        </w:tabs>
        <w:rPr>
          <w:color w:val="000000" w:themeColor="text1"/>
        </w:rPr>
      </w:pPr>
      <w:r w:rsidRPr="00262AD9">
        <w:rPr>
          <w:color w:val="000000" w:themeColor="text1"/>
        </w:rPr>
        <w:t>Casinos</w:t>
      </w:r>
    </w:p>
    <w:p w:rsidR="006577EA" w:rsidRPr="00262AD9" w:rsidRDefault="006577EA" w:rsidP="006577EA">
      <w:pPr>
        <w:pStyle w:val="ListParagraph"/>
        <w:numPr>
          <w:ilvl w:val="0"/>
          <w:numId w:val="2"/>
        </w:numPr>
        <w:tabs>
          <w:tab w:val="left" w:pos="2663"/>
        </w:tabs>
        <w:rPr>
          <w:color w:val="000000" w:themeColor="text1"/>
        </w:rPr>
      </w:pPr>
      <w:r w:rsidRPr="00262AD9">
        <w:rPr>
          <w:color w:val="000000" w:themeColor="text1"/>
        </w:rPr>
        <w:t>Exhibition and Concert Halls</w:t>
      </w:r>
    </w:p>
    <w:p w:rsidR="006577EA" w:rsidRPr="00262AD9" w:rsidRDefault="006577EA" w:rsidP="006577EA">
      <w:pPr>
        <w:pStyle w:val="ListParagraph"/>
        <w:tabs>
          <w:tab w:val="left" w:pos="2663"/>
        </w:tabs>
        <w:jc w:val="both"/>
        <w:rPr>
          <w:color w:val="000000" w:themeColor="text1"/>
        </w:rPr>
      </w:pPr>
    </w:p>
    <w:p w:rsidR="006577EA" w:rsidRPr="00262AD9" w:rsidRDefault="006577EA" w:rsidP="006577EA">
      <w:pPr>
        <w:pStyle w:val="ListParagraph"/>
        <w:tabs>
          <w:tab w:val="left" w:pos="2663"/>
        </w:tabs>
        <w:ind w:left="0"/>
        <w:jc w:val="both"/>
        <w:rPr>
          <w:color w:val="000000" w:themeColor="text1"/>
        </w:rPr>
      </w:pPr>
      <w:r w:rsidRPr="00262AD9">
        <w:rPr>
          <w:color w:val="000000" w:themeColor="text1"/>
        </w:rPr>
        <w:t>This list is not exhaustive. Torbay Council will consider other licensed premises on their own merit</w:t>
      </w:r>
      <w:r w:rsidR="00CE4604" w:rsidRPr="00262AD9">
        <w:rPr>
          <w:color w:val="000000" w:themeColor="text1"/>
        </w:rPr>
        <w:t>, and will take into consideration the planning classification of the premises together with information that can demonstrate the property has the characteristics of a local pub</w:t>
      </w:r>
    </w:p>
    <w:p w:rsidR="00822BA9" w:rsidRPr="0082068A" w:rsidRDefault="00CE4604" w:rsidP="006806D5">
      <w:pPr>
        <w:tabs>
          <w:tab w:val="left" w:pos="2663"/>
        </w:tabs>
        <w:jc w:val="both"/>
        <w:rPr>
          <w:color w:val="000000" w:themeColor="text1"/>
          <w:u w:val="single"/>
        </w:rPr>
      </w:pPr>
      <w:r w:rsidRPr="0082068A">
        <w:rPr>
          <w:color w:val="000000" w:themeColor="text1"/>
          <w:u w:val="single"/>
        </w:rPr>
        <w:t>Process for awarding relief</w:t>
      </w:r>
    </w:p>
    <w:p w:rsidR="00CE4604" w:rsidRPr="00262AD9" w:rsidRDefault="00CE4604" w:rsidP="006806D5">
      <w:pPr>
        <w:tabs>
          <w:tab w:val="left" w:pos="2663"/>
        </w:tabs>
        <w:jc w:val="both"/>
        <w:rPr>
          <w:color w:val="000000" w:themeColor="text1"/>
        </w:rPr>
      </w:pPr>
      <w:r w:rsidRPr="00262AD9">
        <w:rPr>
          <w:color w:val="000000" w:themeColor="text1"/>
        </w:rPr>
        <w:t xml:space="preserve">The local authority will use information held on existing Business Rate records to identify qualifying property. Relief will then </w:t>
      </w:r>
      <w:r w:rsidR="00403AF7" w:rsidRPr="00262AD9">
        <w:rPr>
          <w:color w:val="000000" w:themeColor="text1"/>
        </w:rPr>
        <w:t>be awarded to the value of the annual charge from 1 April 2017, up to a maximum of £1000.</w:t>
      </w:r>
    </w:p>
    <w:p w:rsidR="00403AF7" w:rsidRPr="00262AD9" w:rsidRDefault="00403AF7" w:rsidP="006806D5">
      <w:pPr>
        <w:tabs>
          <w:tab w:val="left" w:pos="2663"/>
        </w:tabs>
        <w:jc w:val="both"/>
        <w:rPr>
          <w:color w:val="000000" w:themeColor="text1"/>
        </w:rPr>
      </w:pPr>
      <w:r w:rsidRPr="00262AD9">
        <w:rPr>
          <w:color w:val="000000" w:themeColor="text1"/>
        </w:rPr>
        <w:lastRenderedPageBreak/>
        <w:t>For pubs owned by a chain, a completed State Aid Relief Application form will be required before relief is granted.</w:t>
      </w:r>
    </w:p>
    <w:p w:rsidR="001302A0" w:rsidRDefault="001302A0" w:rsidP="006806D5">
      <w:pPr>
        <w:tabs>
          <w:tab w:val="left" w:pos="2663"/>
        </w:tabs>
        <w:jc w:val="both"/>
      </w:pPr>
      <w:bookmarkStart w:id="0" w:name="_GoBack"/>
      <w:bookmarkEnd w:id="0"/>
    </w:p>
    <w:p w:rsidR="001302A0" w:rsidRDefault="001302A0" w:rsidP="006806D5">
      <w:pPr>
        <w:tabs>
          <w:tab w:val="left" w:pos="2663"/>
        </w:tabs>
        <w:jc w:val="both"/>
      </w:pPr>
    </w:p>
    <w:p w:rsidR="001302A0" w:rsidRPr="006806D5" w:rsidRDefault="001302A0" w:rsidP="006806D5">
      <w:pPr>
        <w:tabs>
          <w:tab w:val="left" w:pos="2663"/>
        </w:tabs>
        <w:jc w:val="both"/>
      </w:pPr>
    </w:p>
    <w:sectPr w:rsidR="001302A0" w:rsidRPr="006806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F20EC"/>
    <w:multiLevelType w:val="hybridMultilevel"/>
    <w:tmpl w:val="58226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27363"/>
    <w:multiLevelType w:val="hybridMultilevel"/>
    <w:tmpl w:val="B8542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D5"/>
    <w:rsid w:val="001302A0"/>
    <w:rsid w:val="00227C7B"/>
    <w:rsid w:val="00262AD9"/>
    <w:rsid w:val="00356182"/>
    <w:rsid w:val="00403AF7"/>
    <w:rsid w:val="004A0CD1"/>
    <w:rsid w:val="006577EA"/>
    <w:rsid w:val="006806D5"/>
    <w:rsid w:val="0082068A"/>
    <w:rsid w:val="00822BA9"/>
    <w:rsid w:val="00A41DBA"/>
    <w:rsid w:val="00A55DCD"/>
    <w:rsid w:val="00C85884"/>
    <w:rsid w:val="00CE4604"/>
    <w:rsid w:val="00D8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AE871-EAF2-4425-8D32-00D51E53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Westwood, Ian</dc:creator>
  <cp:keywords/>
  <dc:description/>
  <cp:lastModifiedBy>Boulter, Dylan</cp:lastModifiedBy>
  <cp:revision>4</cp:revision>
  <dcterms:created xsi:type="dcterms:W3CDTF">2017-08-30T10:54:00Z</dcterms:created>
  <dcterms:modified xsi:type="dcterms:W3CDTF">2017-08-30T11:03:00Z</dcterms:modified>
</cp:coreProperties>
</file>