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3AD" w:rsidRDefault="00F82C24" w:rsidP="00F82C24">
      <w:pPr>
        <w:ind w:left="0" w:firstLine="0"/>
        <w:jc w:val="right"/>
        <w:rPr>
          <w:noProof/>
        </w:rPr>
      </w:pPr>
      <w:r>
        <w:rPr>
          <w:noProof/>
        </w:rPr>
        <w:drawing>
          <wp:inline distT="0" distB="0" distL="0" distR="0">
            <wp:extent cx="3585550" cy="847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E_logo main.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731673" cy="882273"/>
                    </a:xfrm>
                    <a:prstGeom prst="rect">
                      <a:avLst/>
                    </a:prstGeom>
                  </pic:spPr>
                </pic:pic>
              </a:graphicData>
            </a:graphic>
          </wp:inline>
        </w:drawing>
      </w:r>
    </w:p>
    <w:p w:rsidR="00F82C24" w:rsidRDefault="00F82C24" w:rsidP="00D223AD">
      <w:pPr>
        <w:ind w:left="0" w:firstLine="0"/>
        <w:rPr>
          <w:noProof/>
        </w:rPr>
      </w:pPr>
    </w:p>
    <w:p w:rsidR="00F82C24" w:rsidRDefault="00F82C24" w:rsidP="00D223AD">
      <w:pPr>
        <w:ind w:left="0" w:firstLine="0"/>
        <w:rPr>
          <w:noProof/>
        </w:rPr>
      </w:pPr>
    </w:p>
    <w:p w:rsidR="00F82C24" w:rsidRDefault="00F82C24" w:rsidP="00D223AD">
      <w:pPr>
        <w:ind w:left="0" w:firstLine="0"/>
        <w:rPr>
          <w:noProof/>
        </w:rPr>
      </w:pPr>
    </w:p>
    <w:p w:rsidR="00F82C24" w:rsidRDefault="00F82C24" w:rsidP="00D223AD">
      <w:pPr>
        <w:ind w:left="0" w:firstLine="0"/>
        <w:rPr>
          <w:noProof/>
          <w:sz w:val="40"/>
          <w:szCs w:val="40"/>
        </w:rPr>
      </w:pPr>
    </w:p>
    <w:p w:rsidR="00F82C24" w:rsidRDefault="00F82C24" w:rsidP="00D223AD">
      <w:pPr>
        <w:ind w:left="0" w:firstLine="0"/>
        <w:rPr>
          <w:noProof/>
          <w:sz w:val="40"/>
          <w:szCs w:val="40"/>
        </w:rPr>
      </w:pPr>
    </w:p>
    <w:p w:rsidR="00F82C24" w:rsidRDefault="00F82C24">
      <w:pPr>
        <w:spacing w:after="160" w:line="259" w:lineRule="auto"/>
        <w:ind w:left="0" w:firstLine="0"/>
        <w:jc w:val="left"/>
      </w:pPr>
    </w:p>
    <w:tbl>
      <w:tblPr>
        <w:tblW w:w="9948" w:type="dxa"/>
        <w:tblInd w:w="-432" w:type="dxa"/>
        <w:tblLayout w:type="fixed"/>
        <w:tblLook w:val="0000"/>
      </w:tblPr>
      <w:tblGrid>
        <w:gridCol w:w="9948"/>
      </w:tblGrid>
      <w:tr w:rsidR="00C5412E" w:rsidRPr="00496FB4" w:rsidTr="00FE2E48">
        <w:trPr>
          <w:cantSplit/>
        </w:trPr>
        <w:tc>
          <w:tcPr>
            <w:tcW w:w="9948" w:type="dxa"/>
          </w:tcPr>
          <w:p w:rsidR="00C5412E" w:rsidRPr="00496FB4" w:rsidRDefault="00C5412E" w:rsidP="00FE2E48">
            <w:pPr>
              <w:pStyle w:val="Noindent"/>
              <w:tabs>
                <w:tab w:val="clear" w:pos="426"/>
              </w:tabs>
              <w:spacing w:before="240"/>
              <w:jc w:val="center"/>
            </w:pPr>
          </w:p>
        </w:tc>
      </w:tr>
      <w:tr w:rsidR="00C5412E" w:rsidRPr="003624D8" w:rsidTr="00FE2E48">
        <w:trPr>
          <w:cantSplit/>
        </w:trPr>
        <w:tc>
          <w:tcPr>
            <w:tcW w:w="9948" w:type="dxa"/>
          </w:tcPr>
          <w:p w:rsidR="005410D3" w:rsidRPr="005410D3" w:rsidRDefault="005410D3" w:rsidP="005410D3">
            <w:pPr>
              <w:pStyle w:val="Noindent"/>
              <w:tabs>
                <w:tab w:val="clear" w:pos="426"/>
              </w:tabs>
              <w:spacing w:before="240"/>
              <w:jc w:val="center"/>
            </w:pPr>
            <w:r>
              <w:t>AN E</w:t>
            </w:r>
            <w:r w:rsidR="00C5412E" w:rsidRPr="005410D3">
              <w:t xml:space="preserve">XAMINATION </w:t>
            </w:r>
            <w:r w:rsidRPr="005410D3">
              <w:t>UNDER SECTION 212</w:t>
            </w:r>
          </w:p>
          <w:p w:rsidR="005410D3" w:rsidRPr="005410D3" w:rsidRDefault="005410D3" w:rsidP="00FE2E48">
            <w:pPr>
              <w:pStyle w:val="Noindent"/>
              <w:tabs>
                <w:tab w:val="clear" w:pos="426"/>
              </w:tabs>
              <w:spacing w:before="240"/>
              <w:jc w:val="center"/>
            </w:pPr>
            <w:r w:rsidRPr="005410D3">
              <w:t xml:space="preserve">OF THE PLANNING ACT 2008 (AS AMENDED) </w:t>
            </w:r>
          </w:p>
          <w:p w:rsidR="005410D3" w:rsidRDefault="005410D3" w:rsidP="00FE2E48">
            <w:pPr>
              <w:pStyle w:val="Noindent"/>
              <w:tabs>
                <w:tab w:val="clear" w:pos="426"/>
              </w:tabs>
              <w:spacing w:before="240"/>
              <w:jc w:val="center"/>
              <w:rPr>
                <w:b/>
              </w:rPr>
            </w:pPr>
          </w:p>
          <w:p w:rsidR="00824776" w:rsidRDefault="005410D3" w:rsidP="00FE2E48">
            <w:pPr>
              <w:pStyle w:val="Noindent"/>
              <w:tabs>
                <w:tab w:val="clear" w:pos="426"/>
              </w:tabs>
              <w:spacing w:before="240"/>
              <w:jc w:val="center"/>
              <w:rPr>
                <w:b/>
              </w:rPr>
            </w:pPr>
            <w:r>
              <w:rPr>
                <w:b/>
              </w:rPr>
              <w:t xml:space="preserve">REPORT ON THE </w:t>
            </w:r>
            <w:r w:rsidR="00C5412E">
              <w:rPr>
                <w:b/>
              </w:rPr>
              <w:t xml:space="preserve">DRAFT </w:t>
            </w:r>
            <w:r w:rsidR="007E70BC">
              <w:rPr>
                <w:b/>
              </w:rPr>
              <w:t>TORBAY</w:t>
            </w:r>
          </w:p>
          <w:p w:rsidR="00C5412E" w:rsidRPr="003624D8" w:rsidRDefault="00C5412E" w:rsidP="00FE2E48">
            <w:pPr>
              <w:pStyle w:val="Noindent"/>
              <w:tabs>
                <w:tab w:val="clear" w:pos="426"/>
              </w:tabs>
              <w:spacing w:before="240"/>
              <w:jc w:val="center"/>
              <w:rPr>
                <w:b/>
              </w:rPr>
            </w:pPr>
            <w:r>
              <w:rPr>
                <w:b/>
              </w:rPr>
              <w:t>COMMUNITY INFRASTRUCTURE LEVY CHARGING SCHEDULE</w:t>
            </w:r>
          </w:p>
        </w:tc>
      </w:tr>
    </w:tbl>
    <w:p w:rsidR="00F82C24" w:rsidRDefault="00F82C24">
      <w:pPr>
        <w:spacing w:after="160" w:line="259" w:lineRule="auto"/>
        <w:ind w:left="0" w:firstLine="0"/>
        <w:jc w:val="left"/>
      </w:pPr>
    </w:p>
    <w:p w:rsidR="00F82C24" w:rsidRDefault="00F82C24">
      <w:pPr>
        <w:spacing w:after="160" w:line="259" w:lineRule="auto"/>
        <w:ind w:left="0" w:firstLine="0"/>
        <w:jc w:val="left"/>
      </w:pPr>
    </w:p>
    <w:p w:rsidR="00F82C24" w:rsidRDefault="00F82C24">
      <w:pPr>
        <w:spacing w:after="160" w:line="259" w:lineRule="auto"/>
        <w:ind w:left="0" w:firstLine="0"/>
        <w:jc w:val="left"/>
      </w:pPr>
    </w:p>
    <w:p w:rsidR="00F82C24" w:rsidRDefault="00F82C24">
      <w:pPr>
        <w:spacing w:after="160" w:line="259" w:lineRule="auto"/>
        <w:ind w:left="0" w:firstLine="0"/>
        <w:jc w:val="left"/>
      </w:pPr>
    </w:p>
    <w:p w:rsidR="00F82C24" w:rsidRDefault="00F82C24">
      <w:pPr>
        <w:spacing w:after="160" w:line="259" w:lineRule="auto"/>
        <w:ind w:left="0" w:firstLine="0"/>
        <w:jc w:val="left"/>
      </w:pPr>
    </w:p>
    <w:p w:rsidR="00F82C24" w:rsidRDefault="00F82C24">
      <w:pPr>
        <w:spacing w:after="160" w:line="259" w:lineRule="auto"/>
        <w:ind w:left="0" w:firstLine="0"/>
        <w:jc w:val="left"/>
      </w:pPr>
    </w:p>
    <w:p w:rsidR="005410D3" w:rsidRDefault="005410D3" w:rsidP="00896FAC">
      <w:pPr>
        <w:autoSpaceDE w:val="0"/>
        <w:autoSpaceDN w:val="0"/>
        <w:adjustRightInd w:val="0"/>
        <w:ind w:left="0" w:firstLine="0"/>
        <w:jc w:val="left"/>
      </w:pPr>
    </w:p>
    <w:p w:rsidR="005410D3" w:rsidRDefault="005410D3" w:rsidP="00896FAC">
      <w:pPr>
        <w:autoSpaceDE w:val="0"/>
        <w:autoSpaceDN w:val="0"/>
        <w:adjustRightInd w:val="0"/>
        <w:ind w:left="0" w:firstLine="0"/>
        <w:jc w:val="left"/>
      </w:pPr>
    </w:p>
    <w:p w:rsidR="005410D3" w:rsidRDefault="005410D3" w:rsidP="00896FAC">
      <w:pPr>
        <w:autoSpaceDE w:val="0"/>
        <w:autoSpaceDN w:val="0"/>
        <w:adjustRightInd w:val="0"/>
        <w:ind w:left="0" w:firstLine="0"/>
        <w:jc w:val="left"/>
      </w:pPr>
    </w:p>
    <w:p w:rsidR="005410D3" w:rsidRDefault="005410D3" w:rsidP="00896FAC">
      <w:pPr>
        <w:autoSpaceDE w:val="0"/>
        <w:autoSpaceDN w:val="0"/>
        <w:adjustRightInd w:val="0"/>
        <w:ind w:left="0" w:firstLine="0"/>
        <w:jc w:val="left"/>
      </w:pPr>
    </w:p>
    <w:p w:rsidR="005410D3" w:rsidRDefault="005410D3" w:rsidP="00896FAC">
      <w:pPr>
        <w:autoSpaceDE w:val="0"/>
        <w:autoSpaceDN w:val="0"/>
        <w:adjustRightInd w:val="0"/>
        <w:ind w:left="0" w:firstLine="0"/>
        <w:jc w:val="left"/>
      </w:pPr>
    </w:p>
    <w:p w:rsidR="005410D3" w:rsidRDefault="005410D3" w:rsidP="00896FAC">
      <w:pPr>
        <w:autoSpaceDE w:val="0"/>
        <w:autoSpaceDN w:val="0"/>
        <w:adjustRightInd w:val="0"/>
        <w:ind w:left="0" w:firstLine="0"/>
        <w:jc w:val="left"/>
      </w:pPr>
    </w:p>
    <w:p w:rsidR="005410D3" w:rsidRDefault="005410D3" w:rsidP="00896FAC">
      <w:pPr>
        <w:autoSpaceDE w:val="0"/>
        <w:autoSpaceDN w:val="0"/>
        <w:adjustRightInd w:val="0"/>
        <w:ind w:left="0" w:firstLine="0"/>
        <w:jc w:val="left"/>
      </w:pPr>
    </w:p>
    <w:p w:rsidR="00262021" w:rsidRPr="00582BD2" w:rsidRDefault="00F82C24" w:rsidP="004E364F">
      <w:pPr>
        <w:autoSpaceDE w:val="0"/>
        <w:autoSpaceDN w:val="0"/>
        <w:adjustRightInd w:val="0"/>
        <w:ind w:left="0" w:firstLine="0"/>
        <w:jc w:val="left"/>
        <w:rPr>
          <w:rFonts w:eastAsiaTheme="minorHAnsi" w:cs="Arial"/>
          <w:b/>
          <w:bCs/>
          <w:szCs w:val="22"/>
          <w:lang w:eastAsia="en-US"/>
        </w:rPr>
      </w:pPr>
      <w:r w:rsidRPr="00262021">
        <w:t>Independent Examiner</w:t>
      </w:r>
      <w:r w:rsidR="00C5412E">
        <w:t xml:space="preserve"> (appointed by the Council)</w:t>
      </w:r>
      <w:r w:rsidRPr="00262021">
        <w:t xml:space="preserve">: </w:t>
      </w:r>
      <w:r w:rsidR="007E70BC">
        <w:t>Keith Holland.  BA (</w:t>
      </w:r>
      <w:proofErr w:type="spellStart"/>
      <w:r w:rsidR="007E70BC">
        <w:t>Hons</w:t>
      </w:r>
      <w:proofErr w:type="spellEnd"/>
      <w:r w:rsidR="007E70BC">
        <w:t>) Dip TP MRTPI ARICS</w:t>
      </w:r>
    </w:p>
    <w:p w:rsidR="00582BD2" w:rsidRDefault="00582BD2" w:rsidP="004E364F">
      <w:pPr>
        <w:ind w:left="0" w:firstLine="0"/>
        <w:jc w:val="left"/>
      </w:pPr>
    </w:p>
    <w:p w:rsidR="005410D3" w:rsidRDefault="005410D3" w:rsidP="004E364F">
      <w:pPr>
        <w:ind w:left="0" w:firstLine="0"/>
        <w:jc w:val="left"/>
      </w:pPr>
      <w:r>
        <w:t xml:space="preserve">Charging Schedule </w:t>
      </w:r>
      <w:r w:rsidR="00582BD2">
        <w:t>S</w:t>
      </w:r>
      <w:r>
        <w:t>ubmitted for Examination:</w:t>
      </w:r>
      <w:r w:rsidR="00390505">
        <w:t xml:space="preserve"> 11 August 2016</w:t>
      </w:r>
      <w:r>
        <w:t xml:space="preserve"> </w:t>
      </w:r>
    </w:p>
    <w:p w:rsidR="004E364F" w:rsidRDefault="004E364F" w:rsidP="004E364F">
      <w:pPr>
        <w:ind w:left="0" w:firstLine="0"/>
        <w:jc w:val="left"/>
      </w:pPr>
    </w:p>
    <w:p w:rsidR="00F82C24" w:rsidRPr="00262021" w:rsidRDefault="00262021" w:rsidP="004E364F">
      <w:pPr>
        <w:ind w:left="0" w:firstLine="0"/>
        <w:jc w:val="left"/>
        <w:rPr>
          <w:b/>
        </w:rPr>
      </w:pPr>
      <w:r w:rsidRPr="00262021">
        <w:t>D</w:t>
      </w:r>
      <w:r w:rsidR="00F82C24" w:rsidRPr="00262021">
        <w:t xml:space="preserve">ate of </w:t>
      </w:r>
      <w:r w:rsidR="008644AF">
        <w:rPr>
          <w:b/>
        </w:rPr>
        <w:t>Final</w:t>
      </w:r>
      <w:r w:rsidR="005410D3" w:rsidRPr="004E364F">
        <w:rPr>
          <w:b/>
        </w:rPr>
        <w:t xml:space="preserve"> </w:t>
      </w:r>
      <w:r w:rsidR="00F82C24" w:rsidRPr="004E364F">
        <w:rPr>
          <w:b/>
        </w:rPr>
        <w:t>Report</w:t>
      </w:r>
      <w:r w:rsidR="00F82C24" w:rsidRPr="00262021">
        <w:t xml:space="preserve">: </w:t>
      </w:r>
      <w:r w:rsidR="008644AF">
        <w:t>05 December 2016</w:t>
      </w:r>
    </w:p>
    <w:p w:rsidR="00262021" w:rsidRDefault="00262021" w:rsidP="00F82C24">
      <w:pPr>
        <w:spacing w:after="160" w:line="259" w:lineRule="auto"/>
        <w:ind w:left="0" w:firstLine="0"/>
        <w:jc w:val="right"/>
      </w:pPr>
    </w:p>
    <w:p w:rsidR="00262021" w:rsidRDefault="00262021" w:rsidP="00F82C24">
      <w:pPr>
        <w:spacing w:after="160" w:line="259" w:lineRule="auto"/>
        <w:ind w:left="0" w:firstLine="0"/>
        <w:jc w:val="right"/>
      </w:pPr>
    </w:p>
    <w:tbl>
      <w:tblPr>
        <w:tblStyle w:val="TableGrid"/>
        <w:tblW w:w="0" w:type="auto"/>
        <w:tblLook w:val="04A0"/>
      </w:tblPr>
      <w:tblGrid>
        <w:gridCol w:w="9016"/>
      </w:tblGrid>
      <w:tr w:rsidR="005410D3" w:rsidTr="005410D3">
        <w:tc>
          <w:tcPr>
            <w:tcW w:w="9016" w:type="dxa"/>
          </w:tcPr>
          <w:p w:rsidR="005410D3" w:rsidRPr="00A76FB2" w:rsidRDefault="00582BD2" w:rsidP="00A76FB2">
            <w:pPr>
              <w:pStyle w:val="Default"/>
              <w:jc w:val="center"/>
              <w:rPr>
                <w:rFonts w:ascii="Verdana" w:eastAsia="Verdana" w:hAnsi="Verdana" w:cs="Verdana"/>
                <w:sz w:val="22"/>
                <w:szCs w:val="22"/>
              </w:rPr>
            </w:pPr>
            <w:r w:rsidRPr="00A76FB2">
              <w:rPr>
                <w:rFonts w:ascii="Verdana" w:hAnsi="Verdana"/>
                <w:b/>
                <w:sz w:val="22"/>
                <w:szCs w:val="22"/>
                <w:lang w:val="en-US"/>
              </w:rPr>
              <w:lastRenderedPageBreak/>
              <w:t>Main Findings</w:t>
            </w:r>
            <w:r w:rsidRPr="00A76FB2">
              <w:rPr>
                <w:rFonts w:ascii="Verdana" w:hAnsi="Verdana"/>
                <w:sz w:val="22"/>
                <w:szCs w:val="22"/>
                <w:lang w:val="en-US"/>
              </w:rPr>
              <w:t xml:space="preserve"> - </w:t>
            </w:r>
            <w:r w:rsidR="005410D3" w:rsidRPr="00A76FB2">
              <w:rPr>
                <w:rFonts w:ascii="Verdana" w:hAnsi="Verdana"/>
                <w:sz w:val="22"/>
                <w:szCs w:val="22"/>
                <w:lang w:val="en-US"/>
              </w:rPr>
              <w:t>Executive Summary</w:t>
            </w:r>
          </w:p>
          <w:p w:rsidR="005410D3" w:rsidRPr="00A76FB2" w:rsidRDefault="005410D3" w:rsidP="005410D3">
            <w:pPr>
              <w:pStyle w:val="Default"/>
              <w:rPr>
                <w:rFonts w:ascii="Verdana" w:eastAsia="Verdana" w:hAnsi="Verdana" w:cs="Verdana"/>
                <w:sz w:val="22"/>
                <w:szCs w:val="22"/>
              </w:rPr>
            </w:pPr>
          </w:p>
          <w:p w:rsidR="005410D3" w:rsidRPr="00A76FB2" w:rsidRDefault="00582BD2" w:rsidP="005410D3">
            <w:pPr>
              <w:pStyle w:val="Default"/>
              <w:rPr>
                <w:rFonts w:ascii="Verdana" w:hAnsi="Verdana"/>
                <w:sz w:val="22"/>
                <w:szCs w:val="22"/>
                <w:lang w:val="en-US"/>
              </w:rPr>
            </w:pPr>
            <w:r w:rsidRPr="00A76FB2">
              <w:rPr>
                <w:rFonts w:ascii="Verdana" w:hAnsi="Verdana"/>
                <w:sz w:val="22"/>
                <w:szCs w:val="22"/>
                <w:lang w:val="en-US"/>
              </w:rPr>
              <w:t xml:space="preserve">In this </w:t>
            </w:r>
            <w:r w:rsidR="005410D3" w:rsidRPr="00A76FB2">
              <w:rPr>
                <w:rFonts w:ascii="Verdana" w:hAnsi="Verdana"/>
                <w:sz w:val="22"/>
                <w:szCs w:val="22"/>
                <w:lang w:val="en-US"/>
              </w:rPr>
              <w:t>report</w:t>
            </w:r>
            <w:r w:rsidR="00BF7ED4">
              <w:rPr>
                <w:rFonts w:ascii="Verdana" w:hAnsi="Verdana"/>
                <w:sz w:val="22"/>
                <w:szCs w:val="22"/>
                <w:lang w:val="en-US"/>
              </w:rPr>
              <w:t>,</w:t>
            </w:r>
            <w:r w:rsidR="005410D3" w:rsidRPr="00A76FB2">
              <w:rPr>
                <w:rFonts w:ascii="Verdana" w:hAnsi="Verdana"/>
                <w:sz w:val="22"/>
                <w:szCs w:val="22"/>
                <w:lang w:val="en-US"/>
              </w:rPr>
              <w:t xml:space="preserve"> </w:t>
            </w:r>
            <w:r w:rsidRPr="00A76FB2">
              <w:rPr>
                <w:rFonts w:ascii="Verdana" w:hAnsi="Verdana"/>
                <w:sz w:val="22"/>
                <w:szCs w:val="22"/>
                <w:lang w:val="en-US"/>
              </w:rPr>
              <w:t xml:space="preserve">I have </w:t>
            </w:r>
            <w:r w:rsidR="005410D3" w:rsidRPr="00A76FB2">
              <w:rPr>
                <w:rFonts w:ascii="Verdana" w:hAnsi="Verdana"/>
                <w:sz w:val="22"/>
                <w:szCs w:val="22"/>
                <w:lang w:val="en-US"/>
              </w:rPr>
              <w:t>conclude</w:t>
            </w:r>
            <w:r w:rsidRPr="00A76FB2">
              <w:rPr>
                <w:rFonts w:ascii="Verdana" w:hAnsi="Verdana"/>
                <w:sz w:val="22"/>
                <w:szCs w:val="22"/>
                <w:lang w:val="en-US"/>
              </w:rPr>
              <w:t>d</w:t>
            </w:r>
            <w:r w:rsidR="005410D3" w:rsidRPr="00A76FB2">
              <w:rPr>
                <w:rFonts w:ascii="Verdana" w:hAnsi="Verdana"/>
                <w:sz w:val="22"/>
                <w:szCs w:val="22"/>
                <w:lang w:val="en-US"/>
              </w:rPr>
              <w:t xml:space="preserve"> that the </w:t>
            </w:r>
            <w:r w:rsidR="00546841">
              <w:rPr>
                <w:rFonts w:ascii="Verdana" w:hAnsi="Verdana"/>
                <w:sz w:val="22"/>
                <w:szCs w:val="22"/>
                <w:lang w:val="en-US"/>
              </w:rPr>
              <w:t xml:space="preserve">draft </w:t>
            </w:r>
            <w:r w:rsidR="007E70BC">
              <w:rPr>
                <w:rFonts w:ascii="Verdana" w:hAnsi="Verdana"/>
                <w:sz w:val="22"/>
                <w:szCs w:val="22"/>
                <w:lang w:val="en-US"/>
              </w:rPr>
              <w:t>Torbay</w:t>
            </w:r>
            <w:r w:rsidR="005410D3" w:rsidRPr="00A76FB2">
              <w:rPr>
                <w:rFonts w:ascii="Verdana" w:hAnsi="Verdana"/>
                <w:sz w:val="22"/>
                <w:szCs w:val="22"/>
                <w:lang w:val="en-US"/>
              </w:rPr>
              <w:t xml:space="preserve"> Community Infrastructure Levy Charging Schedule provides an appropriate basis for the collection of the levy in the </w:t>
            </w:r>
            <w:r w:rsidRPr="00A76FB2">
              <w:rPr>
                <w:rFonts w:ascii="Verdana" w:hAnsi="Verdana"/>
                <w:sz w:val="22"/>
                <w:szCs w:val="22"/>
                <w:lang w:val="en-US"/>
              </w:rPr>
              <w:t>area.</w:t>
            </w:r>
            <w:r w:rsidR="005410D3" w:rsidRPr="00A76FB2">
              <w:rPr>
                <w:rFonts w:ascii="Verdana" w:hAnsi="Verdana"/>
                <w:sz w:val="22"/>
                <w:szCs w:val="22"/>
                <w:lang w:val="en-US"/>
              </w:rPr>
              <w:t xml:space="preserve"> </w:t>
            </w:r>
          </w:p>
          <w:p w:rsidR="005410D3" w:rsidRPr="00A76FB2" w:rsidRDefault="005410D3" w:rsidP="005410D3">
            <w:pPr>
              <w:pStyle w:val="Default"/>
              <w:rPr>
                <w:rFonts w:ascii="Verdana" w:hAnsi="Verdana"/>
                <w:sz w:val="22"/>
                <w:szCs w:val="22"/>
                <w:lang w:val="en-US"/>
              </w:rPr>
            </w:pPr>
          </w:p>
          <w:p w:rsidR="005410D3" w:rsidRPr="005F275D" w:rsidRDefault="005410D3" w:rsidP="005410D3">
            <w:pPr>
              <w:pStyle w:val="Default"/>
              <w:rPr>
                <w:rFonts w:ascii="Verdana" w:hAnsi="Verdana"/>
                <w:color w:val="auto"/>
                <w:sz w:val="22"/>
                <w:szCs w:val="22"/>
                <w:lang w:val="en-US"/>
              </w:rPr>
            </w:pPr>
            <w:r w:rsidRPr="00A76FB2">
              <w:rPr>
                <w:rFonts w:ascii="Verdana" w:hAnsi="Verdana"/>
                <w:sz w:val="22"/>
                <w:szCs w:val="22"/>
                <w:lang w:val="en-US"/>
              </w:rPr>
              <w:t xml:space="preserve">The Council has </w:t>
            </w:r>
            <w:r w:rsidR="00582BD2" w:rsidRPr="00A76FB2">
              <w:rPr>
                <w:rFonts w:ascii="Verdana" w:hAnsi="Verdana"/>
                <w:sz w:val="22"/>
                <w:szCs w:val="22"/>
                <w:lang w:val="en-US"/>
              </w:rPr>
              <w:t xml:space="preserve">provided </w:t>
            </w:r>
            <w:r w:rsidRPr="00A76FB2">
              <w:rPr>
                <w:rFonts w:ascii="Verdana" w:hAnsi="Verdana"/>
                <w:sz w:val="22"/>
                <w:szCs w:val="22"/>
                <w:lang w:val="en-US"/>
              </w:rPr>
              <w:t xml:space="preserve">sufficient </w:t>
            </w:r>
            <w:r w:rsidR="00582BD2" w:rsidRPr="005F275D">
              <w:rPr>
                <w:rFonts w:ascii="Verdana" w:hAnsi="Verdana" w:cs="Helvetica"/>
                <w:color w:val="auto"/>
                <w:sz w:val="22"/>
                <w:szCs w:val="22"/>
              </w:rPr>
              <w:t xml:space="preserve">evidence that shows the proposed rates would not threaten delivery of the </w:t>
            </w:r>
            <w:r w:rsidR="00EA269D" w:rsidRPr="005F275D">
              <w:rPr>
                <w:rFonts w:ascii="Verdana" w:hAnsi="Verdana" w:cs="Helvetica"/>
                <w:color w:val="auto"/>
                <w:sz w:val="22"/>
                <w:szCs w:val="22"/>
              </w:rPr>
              <w:t>Local Pla</w:t>
            </w:r>
            <w:r w:rsidR="00582BD2" w:rsidRPr="005F275D">
              <w:rPr>
                <w:rFonts w:ascii="Verdana" w:hAnsi="Verdana" w:cs="Helvetica"/>
                <w:color w:val="auto"/>
                <w:sz w:val="22"/>
                <w:szCs w:val="22"/>
              </w:rPr>
              <w:t>n as a whole</w:t>
            </w:r>
            <w:r w:rsidR="00A76FB2" w:rsidRPr="005F275D">
              <w:rPr>
                <w:rFonts w:ascii="Verdana" w:hAnsi="Verdana" w:cs="Helvetica"/>
                <w:color w:val="auto"/>
                <w:sz w:val="22"/>
                <w:szCs w:val="22"/>
              </w:rPr>
              <w:t>.</w:t>
            </w:r>
          </w:p>
          <w:p w:rsidR="005410D3" w:rsidRPr="005F275D" w:rsidRDefault="005410D3" w:rsidP="005410D3">
            <w:pPr>
              <w:pStyle w:val="Default"/>
              <w:rPr>
                <w:rFonts w:ascii="Verdana" w:hAnsi="Verdana"/>
                <w:color w:val="auto"/>
                <w:sz w:val="22"/>
                <w:szCs w:val="22"/>
                <w:lang w:val="en-US"/>
              </w:rPr>
            </w:pPr>
          </w:p>
          <w:p w:rsidR="005410D3" w:rsidRPr="00A76FB2" w:rsidRDefault="00216520" w:rsidP="005410D3">
            <w:pPr>
              <w:pStyle w:val="Default"/>
              <w:rPr>
                <w:rFonts w:ascii="Verdana" w:eastAsia="Verdana" w:hAnsi="Verdana" w:cs="Verdana"/>
                <w:sz w:val="22"/>
                <w:szCs w:val="22"/>
              </w:rPr>
            </w:pPr>
            <w:r>
              <w:rPr>
                <w:rFonts w:ascii="Verdana" w:hAnsi="Verdana"/>
                <w:sz w:val="22"/>
                <w:szCs w:val="22"/>
                <w:lang w:val="en-US"/>
              </w:rPr>
              <w:t>Four</w:t>
            </w:r>
            <w:r w:rsidR="005410D3" w:rsidRPr="00A76FB2">
              <w:rPr>
                <w:rFonts w:ascii="Verdana" w:hAnsi="Verdana"/>
                <w:sz w:val="22"/>
                <w:szCs w:val="22"/>
                <w:lang w:val="en-US"/>
              </w:rPr>
              <w:t xml:space="preserve"> modification</w:t>
            </w:r>
            <w:r>
              <w:rPr>
                <w:rFonts w:ascii="Verdana" w:hAnsi="Verdana"/>
                <w:sz w:val="22"/>
                <w:szCs w:val="22"/>
                <w:lang w:val="en-US"/>
              </w:rPr>
              <w:t>s are</w:t>
            </w:r>
            <w:r w:rsidR="00546841">
              <w:rPr>
                <w:rFonts w:ascii="Verdana" w:hAnsi="Verdana"/>
                <w:sz w:val="22"/>
                <w:szCs w:val="22"/>
                <w:lang w:val="en-US"/>
              </w:rPr>
              <w:t xml:space="preserve"> </w:t>
            </w:r>
            <w:r w:rsidR="005410D3" w:rsidRPr="00A76FB2">
              <w:rPr>
                <w:rFonts w:ascii="Verdana" w:hAnsi="Verdana"/>
                <w:sz w:val="22"/>
                <w:szCs w:val="22"/>
                <w:lang w:val="en-US"/>
              </w:rPr>
              <w:t>ne</w:t>
            </w:r>
            <w:r w:rsidR="00582BD2" w:rsidRPr="00A76FB2">
              <w:rPr>
                <w:rFonts w:ascii="Verdana" w:hAnsi="Verdana"/>
                <w:sz w:val="22"/>
                <w:szCs w:val="22"/>
                <w:lang w:val="en-US"/>
              </w:rPr>
              <w:t>cessary</w:t>
            </w:r>
            <w:r w:rsidR="005410D3" w:rsidRPr="00A76FB2">
              <w:rPr>
                <w:rFonts w:ascii="Verdana" w:hAnsi="Verdana"/>
                <w:sz w:val="22"/>
                <w:szCs w:val="22"/>
                <w:lang w:val="en-US"/>
              </w:rPr>
              <w:t xml:space="preserve"> to meet the </w:t>
            </w:r>
            <w:r w:rsidR="00631EB3">
              <w:rPr>
                <w:rFonts w:ascii="Verdana" w:hAnsi="Verdana"/>
                <w:sz w:val="22"/>
                <w:szCs w:val="22"/>
                <w:lang w:val="en-US"/>
              </w:rPr>
              <w:t xml:space="preserve">drafting </w:t>
            </w:r>
            <w:r w:rsidR="005410D3" w:rsidRPr="00A76FB2">
              <w:rPr>
                <w:rFonts w:ascii="Verdana" w:hAnsi="Verdana"/>
                <w:sz w:val="22"/>
                <w:szCs w:val="22"/>
                <w:lang w:val="en-US"/>
              </w:rPr>
              <w:t xml:space="preserve">requirements. </w:t>
            </w:r>
            <w:r>
              <w:rPr>
                <w:rFonts w:ascii="Verdana" w:hAnsi="Verdana"/>
                <w:sz w:val="22"/>
                <w:szCs w:val="22"/>
                <w:lang w:val="en-US"/>
              </w:rPr>
              <w:t>These</w:t>
            </w:r>
            <w:r w:rsidR="005410D3" w:rsidRPr="00A76FB2">
              <w:rPr>
                <w:rFonts w:ascii="Verdana" w:hAnsi="Verdana"/>
                <w:sz w:val="22"/>
                <w:szCs w:val="22"/>
                <w:lang w:val="en-US"/>
              </w:rPr>
              <w:t xml:space="preserve"> can be summarised as follows:</w:t>
            </w:r>
          </w:p>
          <w:p w:rsidR="005410D3" w:rsidRPr="00A76FB2" w:rsidRDefault="005410D3" w:rsidP="005410D3">
            <w:pPr>
              <w:pStyle w:val="Default"/>
              <w:rPr>
                <w:rFonts w:ascii="Verdana" w:eastAsia="Verdana" w:hAnsi="Verdana" w:cs="Verdana"/>
                <w:sz w:val="22"/>
                <w:szCs w:val="22"/>
              </w:rPr>
            </w:pPr>
          </w:p>
          <w:p w:rsidR="005410D3" w:rsidRPr="00963696" w:rsidRDefault="00216520" w:rsidP="00A76FB2">
            <w:pPr>
              <w:pStyle w:val="Default"/>
              <w:numPr>
                <w:ilvl w:val="0"/>
                <w:numId w:val="40"/>
              </w:numPr>
              <w:pBdr>
                <w:top w:val="nil"/>
                <w:left w:val="nil"/>
                <w:bottom w:val="nil"/>
                <w:right w:val="nil"/>
                <w:between w:val="nil"/>
                <w:bar w:val="nil"/>
              </w:pBdr>
              <w:autoSpaceDE/>
              <w:autoSpaceDN/>
              <w:adjustRightInd/>
              <w:rPr>
                <w:rFonts w:ascii="Verdana" w:eastAsia="Verdana" w:hAnsi="Verdana" w:cs="Verdana"/>
                <w:sz w:val="22"/>
                <w:szCs w:val="22"/>
              </w:rPr>
            </w:pPr>
            <w:r w:rsidRPr="00963696">
              <w:rPr>
                <w:rFonts w:ascii="Verdana" w:eastAsia="Verdana" w:hAnsi="Verdana" w:cs="Verdana"/>
                <w:sz w:val="22"/>
                <w:szCs w:val="22"/>
              </w:rPr>
              <w:t xml:space="preserve">Introduce a zero charge for small sites </w:t>
            </w:r>
            <w:r w:rsidR="00963696" w:rsidRPr="00963696">
              <w:rPr>
                <w:rFonts w:ascii="Verdana" w:eastAsia="Verdana" w:hAnsi="Verdana" w:cs="Verdana"/>
                <w:sz w:val="22"/>
                <w:szCs w:val="22"/>
              </w:rPr>
              <w:t xml:space="preserve">(1 – 3 dwellings) </w:t>
            </w:r>
            <w:r w:rsidRPr="00963696">
              <w:rPr>
                <w:rFonts w:ascii="Verdana" w:eastAsia="Verdana" w:hAnsi="Verdana" w:cs="Verdana"/>
                <w:sz w:val="22"/>
                <w:szCs w:val="22"/>
              </w:rPr>
              <w:t>in Zone 2</w:t>
            </w:r>
            <w:r w:rsidR="004F7AFD">
              <w:rPr>
                <w:rFonts w:ascii="Verdana" w:eastAsia="Verdana" w:hAnsi="Verdana" w:cs="Verdana"/>
                <w:sz w:val="22"/>
                <w:szCs w:val="22"/>
              </w:rPr>
              <w:t>;</w:t>
            </w:r>
          </w:p>
          <w:p w:rsidR="00216520" w:rsidRPr="00963696" w:rsidRDefault="00216520" w:rsidP="00A76FB2">
            <w:pPr>
              <w:pStyle w:val="Default"/>
              <w:numPr>
                <w:ilvl w:val="0"/>
                <w:numId w:val="40"/>
              </w:numPr>
              <w:pBdr>
                <w:top w:val="nil"/>
                <w:left w:val="nil"/>
                <w:bottom w:val="nil"/>
                <w:right w:val="nil"/>
                <w:between w:val="nil"/>
                <w:bar w:val="nil"/>
              </w:pBdr>
              <w:autoSpaceDE/>
              <w:autoSpaceDN/>
              <w:adjustRightInd/>
              <w:rPr>
                <w:rFonts w:ascii="Verdana" w:eastAsia="Verdana" w:hAnsi="Verdana" w:cs="Verdana"/>
                <w:sz w:val="22"/>
                <w:szCs w:val="22"/>
              </w:rPr>
            </w:pPr>
            <w:r w:rsidRPr="00963696">
              <w:rPr>
                <w:rFonts w:ascii="Verdana" w:eastAsia="Verdana" w:hAnsi="Verdana" w:cs="Verdana"/>
                <w:sz w:val="22"/>
                <w:szCs w:val="22"/>
              </w:rPr>
              <w:t>Introduce a zero charge for strategic sites (30+ dwellings) in Zone 3</w:t>
            </w:r>
            <w:r w:rsidR="004F7AFD">
              <w:rPr>
                <w:rFonts w:ascii="Verdana" w:eastAsia="Verdana" w:hAnsi="Verdana" w:cs="Verdana"/>
                <w:sz w:val="22"/>
                <w:szCs w:val="22"/>
              </w:rPr>
              <w:t>;</w:t>
            </w:r>
          </w:p>
          <w:p w:rsidR="00216520" w:rsidRPr="00963696" w:rsidRDefault="00216520" w:rsidP="00A76FB2">
            <w:pPr>
              <w:pStyle w:val="Default"/>
              <w:numPr>
                <w:ilvl w:val="0"/>
                <w:numId w:val="40"/>
              </w:numPr>
              <w:pBdr>
                <w:top w:val="nil"/>
                <w:left w:val="nil"/>
                <w:bottom w:val="nil"/>
                <w:right w:val="nil"/>
                <w:between w:val="nil"/>
                <w:bar w:val="nil"/>
              </w:pBdr>
              <w:autoSpaceDE/>
              <w:autoSpaceDN/>
              <w:adjustRightInd/>
              <w:rPr>
                <w:rFonts w:ascii="Verdana" w:eastAsia="Verdana" w:hAnsi="Verdana" w:cs="Verdana"/>
                <w:sz w:val="22"/>
                <w:szCs w:val="22"/>
              </w:rPr>
            </w:pPr>
            <w:r w:rsidRPr="00963696">
              <w:rPr>
                <w:rFonts w:ascii="Verdana" w:eastAsia="Verdana" w:hAnsi="Verdana" w:cs="Verdana"/>
                <w:sz w:val="22"/>
                <w:szCs w:val="22"/>
              </w:rPr>
              <w:t>Introduce a charge of £140 for schemes of 15 – 29 dwellings in Zone 3</w:t>
            </w:r>
            <w:r w:rsidR="004F7AFD">
              <w:rPr>
                <w:rFonts w:ascii="Verdana" w:eastAsia="Verdana" w:hAnsi="Verdana" w:cs="Verdana"/>
                <w:sz w:val="22"/>
                <w:szCs w:val="22"/>
              </w:rPr>
              <w:t xml:space="preserve">; and </w:t>
            </w:r>
          </w:p>
          <w:p w:rsidR="00216520" w:rsidRPr="008644AF" w:rsidRDefault="00216520" w:rsidP="00A76FB2">
            <w:pPr>
              <w:pStyle w:val="Default"/>
              <w:numPr>
                <w:ilvl w:val="0"/>
                <w:numId w:val="40"/>
              </w:numPr>
              <w:pBdr>
                <w:top w:val="nil"/>
                <w:left w:val="nil"/>
                <w:bottom w:val="nil"/>
                <w:right w:val="nil"/>
                <w:between w:val="nil"/>
                <w:bar w:val="nil"/>
              </w:pBdr>
              <w:autoSpaceDE/>
              <w:autoSpaceDN/>
              <w:adjustRightInd/>
              <w:rPr>
                <w:rFonts w:ascii="Verdana" w:eastAsia="Verdana" w:hAnsi="Verdana" w:cs="Verdana"/>
                <w:sz w:val="22"/>
                <w:szCs w:val="22"/>
              </w:rPr>
            </w:pPr>
            <w:r w:rsidRPr="008644AF">
              <w:rPr>
                <w:rFonts w:ascii="Verdana" w:eastAsia="Verdana" w:hAnsi="Verdana" w:cs="Verdana"/>
                <w:sz w:val="22"/>
                <w:szCs w:val="22"/>
              </w:rPr>
              <w:t>Introduce a zero charge for Extra Care Homes</w:t>
            </w:r>
            <w:r w:rsidR="00E44FB7" w:rsidRPr="008644AF">
              <w:rPr>
                <w:rFonts w:ascii="Verdana" w:eastAsia="Verdana" w:hAnsi="Verdana" w:cs="Verdana"/>
                <w:sz w:val="22"/>
                <w:szCs w:val="22"/>
              </w:rPr>
              <w:t>, and a definition of extra care homes</w:t>
            </w:r>
            <w:r w:rsidR="004F7AFD" w:rsidRPr="008644AF">
              <w:rPr>
                <w:rFonts w:ascii="Verdana" w:eastAsia="Verdana" w:hAnsi="Verdana" w:cs="Verdana"/>
                <w:sz w:val="22"/>
                <w:szCs w:val="22"/>
              </w:rPr>
              <w:t>.</w:t>
            </w:r>
          </w:p>
          <w:p w:rsidR="005410D3" w:rsidRPr="00476FC6" w:rsidRDefault="005410D3" w:rsidP="005410D3">
            <w:pPr>
              <w:pStyle w:val="Default"/>
              <w:rPr>
                <w:rFonts w:ascii="Verdana" w:eastAsia="Verdana" w:hAnsi="Verdana" w:cs="Verdana"/>
                <w:sz w:val="22"/>
                <w:szCs w:val="22"/>
              </w:rPr>
            </w:pPr>
          </w:p>
          <w:p w:rsidR="005410D3" w:rsidRDefault="005410D3" w:rsidP="00AC3ABB">
            <w:pPr>
              <w:pStyle w:val="Default"/>
              <w:rPr>
                <w:rFonts w:ascii="Verdana" w:hAnsi="Verdana"/>
                <w:sz w:val="22"/>
                <w:szCs w:val="22"/>
                <w:lang w:val="en-US"/>
              </w:rPr>
            </w:pPr>
            <w:r w:rsidRPr="00A76FB2">
              <w:rPr>
                <w:rFonts w:ascii="Verdana" w:hAnsi="Verdana"/>
                <w:sz w:val="22"/>
                <w:szCs w:val="22"/>
                <w:lang w:val="en-US"/>
              </w:rPr>
              <w:t>The specified modification</w:t>
            </w:r>
            <w:r w:rsidR="00B04715">
              <w:rPr>
                <w:rFonts w:ascii="Verdana" w:hAnsi="Verdana"/>
                <w:sz w:val="22"/>
                <w:szCs w:val="22"/>
                <w:lang w:val="en-US"/>
              </w:rPr>
              <w:t>s</w:t>
            </w:r>
            <w:r w:rsidRPr="00A76FB2">
              <w:rPr>
                <w:rFonts w:ascii="Verdana" w:hAnsi="Verdana"/>
                <w:sz w:val="22"/>
                <w:szCs w:val="22"/>
                <w:lang w:val="en-US"/>
              </w:rPr>
              <w:t xml:space="preserve"> recommended in this report do not alter the basis of the Council</w:t>
            </w:r>
            <w:r w:rsidRPr="00A76FB2">
              <w:rPr>
                <w:rFonts w:ascii="Verdana" w:hAnsi="Verdana"/>
                <w:sz w:val="22"/>
                <w:szCs w:val="22"/>
                <w:lang w:val="fr-FR"/>
              </w:rPr>
              <w:t>’</w:t>
            </w:r>
            <w:r w:rsidRPr="00A76FB2">
              <w:rPr>
                <w:rFonts w:ascii="Verdana" w:hAnsi="Verdana"/>
                <w:sz w:val="22"/>
                <w:szCs w:val="22"/>
                <w:lang w:val="en-US"/>
              </w:rPr>
              <w:t>s overall approach or the appropriate balance achieved.</w:t>
            </w:r>
          </w:p>
          <w:p w:rsidR="00AC3ABB" w:rsidRPr="00AC3ABB" w:rsidRDefault="00AC3ABB" w:rsidP="00AC3ABB">
            <w:pPr>
              <w:pStyle w:val="Default"/>
              <w:rPr>
                <w:rFonts w:ascii="Verdana" w:eastAsia="Verdana" w:hAnsi="Verdana" w:cs="Verdana"/>
                <w:sz w:val="22"/>
                <w:szCs w:val="22"/>
              </w:rPr>
            </w:pPr>
          </w:p>
        </w:tc>
      </w:tr>
    </w:tbl>
    <w:p w:rsidR="00A76FB2" w:rsidRDefault="00A76FB2" w:rsidP="005410D3">
      <w:pPr>
        <w:pStyle w:val="Default"/>
        <w:rPr>
          <w:rFonts w:ascii="Verdana" w:hAnsi="Verdana"/>
          <w:b/>
          <w:bCs/>
          <w:lang w:val="fr-FR"/>
        </w:rPr>
      </w:pPr>
    </w:p>
    <w:p w:rsidR="00A76FB2" w:rsidRDefault="00A76FB2" w:rsidP="005410D3">
      <w:pPr>
        <w:pStyle w:val="Default"/>
        <w:rPr>
          <w:rFonts w:ascii="Verdana" w:hAnsi="Verdana"/>
          <w:b/>
          <w:bCs/>
          <w:lang w:val="fr-FR"/>
        </w:rPr>
      </w:pPr>
    </w:p>
    <w:p w:rsidR="005410D3" w:rsidRPr="00AC3ABB" w:rsidRDefault="005410D3" w:rsidP="005410D3">
      <w:pPr>
        <w:pStyle w:val="Default"/>
        <w:rPr>
          <w:rFonts w:ascii="Verdana" w:eastAsia="Verdana" w:hAnsi="Verdana" w:cs="Verdana"/>
          <w:b/>
          <w:bCs/>
          <w:sz w:val="22"/>
          <w:szCs w:val="22"/>
        </w:rPr>
      </w:pPr>
      <w:r w:rsidRPr="00AC3ABB">
        <w:rPr>
          <w:rFonts w:ascii="Verdana" w:hAnsi="Verdana"/>
          <w:b/>
          <w:bCs/>
          <w:sz w:val="22"/>
          <w:szCs w:val="22"/>
          <w:lang w:val="fr-FR"/>
        </w:rPr>
        <w:t>Introduction</w:t>
      </w:r>
    </w:p>
    <w:p w:rsidR="005410D3" w:rsidRPr="00AC3ABB" w:rsidRDefault="005410D3" w:rsidP="005410D3">
      <w:pPr>
        <w:pStyle w:val="Default"/>
        <w:rPr>
          <w:rFonts w:ascii="Verdana" w:eastAsia="Verdana" w:hAnsi="Verdana" w:cs="Verdana"/>
          <w:sz w:val="22"/>
          <w:szCs w:val="22"/>
        </w:rPr>
      </w:pPr>
    </w:p>
    <w:p w:rsidR="004003BB" w:rsidRPr="004003BB" w:rsidRDefault="004003BB" w:rsidP="00EF0EB2">
      <w:pPr>
        <w:pStyle w:val="ListParagraph"/>
        <w:numPr>
          <w:ilvl w:val="0"/>
          <w:numId w:val="36"/>
        </w:numPr>
        <w:pBdr>
          <w:top w:val="nil"/>
          <w:left w:val="nil"/>
          <w:bottom w:val="nil"/>
          <w:right w:val="nil"/>
          <w:between w:val="nil"/>
          <w:bar w:val="nil"/>
        </w:pBdr>
        <w:jc w:val="left"/>
        <w:rPr>
          <w:rFonts w:eastAsia="Verdana" w:cs="Verdana"/>
          <w:szCs w:val="22"/>
        </w:rPr>
      </w:pPr>
      <w:r>
        <w:rPr>
          <w:lang w:eastAsia="en-US"/>
        </w:rPr>
        <w:t xml:space="preserve">I have been appointed by </w:t>
      </w:r>
      <w:r w:rsidR="007E70BC">
        <w:rPr>
          <w:lang w:eastAsia="en-US"/>
        </w:rPr>
        <w:t>Torbay</w:t>
      </w:r>
      <w:r>
        <w:rPr>
          <w:lang w:eastAsia="en-US"/>
        </w:rPr>
        <w:t xml:space="preserve"> Council</w:t>
      </w:r>
      <w:r w:rsidR="00EB312D">
        <w:rPr>
          <w:lang w:eastAsia="en-US"/>
        </w:rPr>
        <w:t xml:space="preserve">, </w:t>
      </w:r>
      <w:r>
        <w:rPr>
          <w:lang w:eastAsia="en-US"/>
        </w:rPr>
        <w:t>the charging authority</w:t>
      </w:r>
      <w:r w:rsidR="00EB312D">
        <w:rPr>
          <w:lang w:eastAsia="en-US"/>
        </w:rPr>
        <w:t>,</w:t>
      </w:r>
      <w:r>
        <w:rPr>
          <w:lang w:eastAsia="en-US"/>
        </w:rPr>
        <w:t xml:space="preserve"> to examine the </w:t>
      </w:r>
      <w:r w:rsidR="00CD537B">
        <w:rPr>
          <w:lang w:eastAsia="en-US"/>
        </w:rPr>
        <w:t xml:space="preserve">draft </w:t>
      </w:r>
      <w:r w:rsidR="007E70BC">
        <w:rPr>
          <w:lang w:eastAsia="en-US"/>
        </w:rPr>
        <w:t>Torbay</w:t>
      </w:r>
      <w:r w:rsidRPr="004003BB">
        <w:rPr>
          <w:szCs w:val="22"/>
          <w:lang w:val="en-US"/>
        </w:rPr>
        <w:t xml:space="preserve"> </w:t>
      </w:r>
      <w:r w:rsidR="006B7B61">
        <w:rPr>
          <w:szCs w:val="22"/>
          <w:lang w:val="en-US"/>
        </w:rPr>
        <w:t xml:space="preserve">District </w:t>
      </w:r>
      <w:r w:rsidRPr="004003BB">
        <w:rPr>
          <w:szCs w:val="22"/>
          <w:lang w:val="en-US"/>
        </w:rPr>
        <w:t>Community Infrastructure Levy (CIL) Charging Schedule</w:t>
      </w:r>
      <w:r>
        <w:rPr>
          <w:szCs w:val="22"/>
          <w:lang w:val="en-US"/>
        </w:rPr>
        <w:t>.</w:t>
      </w:r>
      <w:r>
        <w:rPr>
          <w:lang w:eastAsia="en-US"/>
        </w:rPr>
        <w:t xml:space="preserve">  I am a chartered town planner </w:t>
      </w:r>
      <w:r w:rsidR="00D27498">
        <w:rPr>
          <w:lang w:eastAsia="en-US"/>
        </w:rPr>
        <w:t xml:space="preserve">and chartered surveyor </w:t>
      </w:r>
      <w:r>
        <w:rPr>
          <w:lang w:eastAsia="en-US"/>
        </w:rPr>
        <w:t xml:space="preserve">with more than </w:t>
      </w:r>
      <w:r w:rsidR="007E70BC">
        <w:rPr>
          <w:lang w:eastAsia="en-US"/>
        </w:rPr>
        <w:t>20</w:t>
      </w:r>
      <w:r>
        <w:rPr>
          <w:lang w:eastAsia="en-US"/>
        </w:rPr>
        <w:t xml:space="preserve"> years</w:t>
      </w:r>
      <w:r w:rsidR="007E70BC">
        <w:rPr>
          <w:lang w:eastAsia="en-US"/>
        </w:rPr>
        <w:t>’</w:t>
      </w:r>
      <w:r>
        <w:rPr>
          <w:lang w:eastAsia="en-US"/>
        </w:rPr>
        <w:t xml:space="preserve"> </w:t>
      </w:r>
      <w:r w:rsidR="007E70BC">
        <w:rPr>
          <w:lang w:eastAsia="en-US"/>
        </w:rPr>
        <w:t>e</w:t>
      </w:r>
      <w:r>
        <w:rPr>
          <w:lang w:eastAsia="en-US"/>
        </w:rPr>
        <w:t xml:space="preserve">xperience inspecting and examining development plans and CIL Charging Schedules as a Government Planning Inspector.  </w:t>
      </w:r>
    </w:p>
    <w:p w:rsidR="004003BB" w:rsidRPr="004003BB" w:rsidRDefault="004003BB" w:rsidP="004003BB">
      <w:pPr>
        <w:pStyle w:val="Default"/>
        <w:pBdr>
          <w:top w:val="nil"/>
          <w:left w:val="nil"/>
          <w:bottom w:val="nil"/>
          <w:right w:val="nil"/>
          <w:between w:val="nil"/>
          <w:bar w:val="nil"/>
        </w:pBdr>
        <w:autoSpaceDE/>
        <w:autoSpaceDN/>
        <w:adjustRightInd/>
        <w:ind w:left="393"/>
        <w:rPr>
          <w:rFonts w:ascii="Verdana" w:eastAsia="Verdana" w:hAnsi="Verdana" w:cs="Verdana"/>
          <w:sz w:val="22"/>
          <w:szCs w:val="22"/>
        </w:rPr>
      </w:pPr>
    </w:p>
    <w:p w:rsidR="005410D3" w:rsidRPr="00AC3ABB" w:rsidRDefault="005410D3" w:rsidP="00C86FF3">
      <w:pPr>
        <w:pStyle w:val="Default"/>
        <w:numPr>
          <w:ilvl w:val="0"/>
          <w:numId w:val="36"/>
        </w:numPr>
        <w:pBdr>
          <w:top w:val="nil"/>
          <w:left w:val="nil"/>
          <w:bottom w:val="nil"/>
          <w:right w:val="nil"/>
          <w:between w:val="nil"/>
          <w:bar w:val="nil"/>
        </w:pBdr>
        <w:autoSpaceDE/>
        <w:autoSpaceDN/>
        <w:adjustRightInd/>
        <w:rPr>
          <w:rFonts w:ascii="Verdana" w:eastAsia="Verdana" w:hAnsi="Verdana" w:cs="Verdana"/>
          <w:sz w:val="22"/>
          <w:szCs w:val="22"/>
        </w:rPr>
      </w:pPr>
      <w:r w:rsidRPr="00AC3ABB">
        <w:rPr>
          <w:rFonts w:ascii="Verdana" w:hAnsi="Verdana"/>
          <w:sz w:val="22"/>
          <w:szCs w:val="22"/>
          <w:lang w:val="en-US"/>
        </w:rPr>
        <w:t xml:space="preserve">This report contains my assessment of the Charging </w:t>
      </w:r>
      <w:r w:rsidRPr="00AC3ABB">
        <w:rPr>
          <w:rFonts w:ascii="Verdana" w:hAnsi="Verdana"/>
          <w:color w:val="auto"/>
          <w:sz w:val="22"/>
          <w:szCs w:val="22"/>
          <w:lang w:val="en-US"/>
        </w:rPr>
        <w:t xml:space="preserve">Schedule </w:t>
      </w:r>
      <w:r w:rsidR="007303B6" w:rsidRPr="00AC3ABB">
        <w:rPr>
          <w:rFonts w:ascii="Verdana" w:hAnsi="Verdana" w:cs="Helvetica"/>
          <w:color w:val="auto"/>
          <w:sz w:val="22"/>
          <w:szCs w:val="22"/>
        </w:rPr>
        <w:t xml:space="preserve">in terms of compliance with the requirements in </w:t>
      </w:r>
      <w:r w:rsidR="003962D9" w:rsidRPr="00AC3ABB">
        <w:rPr>
          <w:rFonts w:ascii="Verdana" w:hAnsi="Verdana" w:cs="Helvetica"/>
          <w:color w:val="auto"/>
          <w:sz w:val="22"/>
          <w:szCs w:val="22"/>
        </w:rPr>
        <w:t xml:space="preserve">Part 11 of </w:t>
      </w:r>
      <w:r w:rsidR="007303B6" w:rsidRPr="00AC3ABB">
        <w:rPr>
          <w:rFonts w:ascii="Verdana" w:hAnsi="Verdana" w:cs="Helvetica"/>
          <w:color w:val="auto"/>
          <w:sz w:val="22"/>
          <w:szCs w:val="22"/>
        </w:rPr>
        <w:t xml:space="preserve">the Planning Act 2008 </w:t>
      </w:r>
      <w:r w:rsidR="00A66B0D">
        <w:rPr>
          <w:rFonts w:ascii="Verdana" w:hAnsi="Verdana" w:cs="Helvetica"/>
          <w:color w:val="auto"/>
          <w:sz w:val="22"/>
          <w:szCs w:val="22"/>
        </w:rPr>
        <w:t xml:space="preserve">as amended </w:t>
      </w:r>
      <w:r w:rsidR="00A01B1C">
        <w:rPr>
          <w:rFonts w:ascii="Verdana" w:hAnsi="Verdana" w:cs="Helvetica"/>
          <w:color w:val="auto"/>
          <w:sz w:val="22"/>
          <w:szCs w:val="22"/>
        </w:rPr>
        <w:t xml:space="preserve">(‘the Act’) </w:t>
      </w:r>
      <w:r w:rsidR="007303B6" w:rsidRPr="00AC3ABB">
        <w:rPr>
          <w:rFonts w:ascii="Verdana" w:hAnsi="Verdana" w:cs="Helvetica"/>
          <w:color w:val="auto"/>
          <w:sz w:val="22"/>
          <w:szCs w:val="22"/>
        </w:rPr>
        <w:t xml:space="preserve">and </w:t>
      </w:r>
      <w:r w:rsidR="00EA269D" w:rsidRPr="00AC3ABB">
        <w:rPr>
          <w:rFonts w:ascii="Verdana" w:hAnsi="Verdana" w:cs="Helvetica"/>
          <w:color w:val="auto"/>
          <w:sz w:val="22"/>
          <w:szCs w:val="22"/>
        </w:rPr>
        <w:t xml:space="preserve">the </w:t>
      </w:r>
      <w:r w:rsidR="007303B6" w:rsidRPr="00AC3ABB">
        <w:rPr>
          <w:rFonts w:ascii="Verdana" w:hAnsi="Verdana" w:cs="Helvetica"/>
          <w:color w:val="auto"/>
          <w:sz w:val="22"/>
          <w:szCs w:val="22"/>
        </w:rPr>
        <w:t xml:space="preserve">Community </w:t>
      </w:r>
      <w:r w:rsidR="00FA06A0" w:rsidRPr="00AC3ABB">
        <w:rPr>
          <w:rFonts w:ascii="Verdana" w:hAnsi="Verdana" w:cs="Helvetica"/>
          <w:color w:val="auto"/>
          <w:sz w:val="22"/>
          <w:szCs w:val="22"/>
        </w:rPr>
        <w:t>Infrastructure</w:t>
      </w:r>
      <w:r w:rsidR="007303B6" w:rsidRPr="00AC3ABB">
        <w:rPr>
          <w:rFonts w:ascii="Verdana" w:hAnsi="Verdana" w:cs="Helvetica"/>
          <w:color w:val="auto"/>
          <w:sz w:val="22"/>
          <w:szCs w:val="22"/>
        </w:rPr>
        <w:t xml:space="preserve"> Re</w:t>
      </w:r>
      <w:r w:rsidR="00333A9D" w:rsidRPr="00AC3ABB">
        <w:rPr>
          <w:rFonts w:ascii="Verdana" w:hAnsi="Verdana" w:cs="Helvetica"/>
          <w:color w:val="auto"/>
          <w:sz w:val="22"/>
          <w:szCs w:val="22"/>
        </w:rPr>
        <w:t xml:space="preserve">gulations </w:t>
      </w:r>
      <w:r w:rsidR="007303B6" w:rsidRPr="00AC3ABB">
        <w:rPr>
          <w:rFonts w:ascii="Verdana" w:hAnsi="Verdana" w:cs="Helvetica"/>
          <w:color w:val="auto"/>
          <w:sz w:val="22"/>
          <w:szCs w:val="22"/>
        </w:rPr>
        <w:t>2010</w:t>
      </w:r>
      <w:r w:rsidR="00A01B1C">
        <w:rPr>
          <w:rFonts w:ascii="Verdana" w:hAnsi="Verdana" w:cs="Helvetica"/>
          <w:color w:val="auto"/>
          <w:sz w:val="22"/>
          <w:szCs w:val="22"/>
        </w:rPr>
        <w:t xml:space="preserve"> </w:t>
      </w:r>
      <w:r w:rsidR="00A66B0D">
        <w:rPr>
          <w:rFonts w:ascii="Verdana" w:hAnsi="Verdana" w:cs="Helvetica"/>
          <w:color w:val="auto"/>
          <w:sz w:val="22"/>
          <w:szCs w:val="22"/>
        </w:rPr>
        <w:t xml:space="preserve">as amended </w:t>
      </w:r>
      <w:r w:rsidR="00A01B1C">
        <w:rPr>
          <w:rFonts w:ascii="Verdana" w:hAnsi="Verdana" w:cs="Helvetica"/>
          <w:color w:val="auto"/>
          <w:sz w:val="22"/>
          <w:szCs w:val="22"/>
        </w:rPr>
        <w:t>(‘the Regulations</w:t>
      </w:r>
      <w:r w:rsidR="00A66B0D">
        <w:rPr>
          <w:rFonts w:ascii="Verdana" w:hAnsi="Verdana" w:cs="Helvetica"/>
          <w:color w:val="auto"/>
          <w:sz w:val="22"/>
          <w:szCs w:val="22"/>
        </w:rPr>
        <w:t>’</w:t>
      </w:r>
      <w:r w:rsidR="00A01B1C">
        <w:rPr>
          <w:rFonts w:ascii="Verdana" w:hAnsi="Verdana" w:cs="Helvetica"/>
          <w:color w:val="auto"/>
          <w:sz w:val="22"/>
          <w:szCs w:val="22"/>
        </w:rPr>
        <w:t>)</w:t>
      </w:r>
      <w:r w:rsidR="00A66B0D">
        <w:rPr>
          <w:rFonts w:ascii="Verdana" w:hAnsi="Verdana" w:cs="Helvetica"/>
          <w:color w:val="auto"/>
          <w:sz w:val="22"/>
          <w:szCs w:val="22"/>
        </w:rPr>
        <w:t>.</w:t>
      </w:r>
      <w:r w:rsidR="00333A9D" w:rsidRPr="00AC3ABB">
        <w:rPr>
          <w:rFonts w:ascii="Verdana" w:hAnsi="Verdana" w:cs="Helvetica"/>
          <w:color w:val="auto"/>
          <w:sz w:val="22"/>
          <w:szCs w:val="22"/>
        </w:rPr>
        <w:t xml:space="preserve"> Section 212(4) of the Act term</w:t>
      </w:r>
      <w:r w:rsidR="00A01B1C">
        <w:rPr>
          <w:rFonts w:ascii="Verdana" w:hAnsi="Verdana" w:cs="Helvetica"/>
          <w:color w:val="auto"/>
          <w:sz w:val="22"/>
          <w:szCs w:val="22"/>
        </w:rPr>
        <w:t>s</w:t>
      </w:r>
      <w:r w:rsidR="00333A9D" w:rsidRPr="00AC3ABB">
        <w:rPr>
          <w:rFonts w:ascii="Verdana" w:hAnsi="Verdana" w:cs="Helvetica"/>
          <w:color w:val="auto"/>
          <w:sz w:val="22"/>
          <w:szCs w:val="22"/>
        </w:rPr>
        <w:t xml:space="preserve"> these collectively as the </w:t>
      </w:r>
      <w:r w:rsidR="007303B6" w:rsidRPr="00AC3ABB">
        <w:rPr>
          <w:rFonts w:ascii="Verdana" w:hAnsi="Verdana" w:cs="Helvetica"/>
          <w:color w:val="auto"/>
          <w:sz w:val="22"/>
          <w:szCs w:val="22"/>
        </w:rPr>
        <w:t>“drafting requirements”</w:t>
      </w:r>
      <w:r w:rsidR="00333A9D" w:rsidRPr="00AC3ABB">
        <w:rPr>
          <w:rFonts w:ascii="Verdana" w:hAnsi="Verdana"/>
          <w:color w:val="auto"/>
          <w:sz w:val="22"/>
          <w:szCs w:val="22"/>
          <w:lang w:val="en-US"/>
        </w:rPr>
        <w:t xml:space="preserve">. I </w:t>
      </w:r>
      <w:r w:rsidR="009365D7">
        <w:rPr>
          <w:rFonts w:ascii="Verdana" w:hAnsi="Verdana"/>
          <w:sz w:val="22"/>
          <w:szCs w:val="22"/>
          <w:lang w:val="en-US"/>
        </w:rPr>
        <w:t xml:space="preserve">have also had regard to the National Planning Policy Framework (NPPF), notably paragraphs 173-177, and the </w:t>
      </w:r>
      <w:r w:rsidR="00333A9D" w:rsidRPr="00AC3ABB">
        <w:rPr>
          <w:rFonts w:ascii="Verdana" w:hAnsi="Verdana"/>
          <w:sz w:val="22"/>
          <w:szCs w:val="22"/>
          <w:lang w:val="en-US"/>
        </w:rPr>
        <w:t xml:space="preserve">CIL section of the </w:t>
      </w:r>
      <w:r w:rsidR="007303B6" w:rsidRPr="00AC3ABB">
        <w:rPr>
          <w:rFonts w:ascii="Verdana" w:hAnsi="Verdana"/>
          <w:sz w:val="22"/>
          <w:szCs w:val="22"/>
          <w:lang w:val="en-US"/>
        </w:rPr>
        <w:t>Planning Practice Guidance</w:t>
      </w:r>
      <w:r w:rsidR="00333A9D" w:rsidRPr="00AC3ABB">
        <w:rPr>
          <w:rFonts w:ascii="Verdana" w:hAnsi="Verdana"/>
          <w:sz w:val="22"/>
          <w:szCs w:val="22"/>
          <w:lang w:val="en-US"/>
        </w:rPr>
        <w:t xml:space="preserve"> </w:t>
      </w:r>
      <w:r w:rsidR="00824776" w:rsidRPr="00AC3ABB">
        <w:rPr>
          <w:rFonts w:ascii="Verdana" w:hAnsi="Verdana"/>
          <w:sz w:val="22"/>
          <w:szCs w:val="22"/>
          <w:lang w:val="en-US"/>
        </w:rPr>
        <w:t xml:space="preserve">(PPG), </w:t>
      </w:r>
      <w:r w:rsidR="00333A9D" w:rsidRPr="00AC3ABB">
        <w:rPr>
          <w:rFonts w:ascii="Verdana" w:hAnsi="Verdana"/>
          <w:sz w:val="22"/>
          <w:szCs w:val="22"/>
          <w:lang w:val="en-US"/>
        </w:rPr>
        <w:t xml:space="preserve">which replaced the </w:t>
      </w:r>
      <w:r w:rsidR="00C86FF3" w:rsidRPr="00AC3ABB">
        <w:rPr>
          <w:rFonts w:ascii="Verdana" w:hAnsi="Verdana"/>
          <w:sz w:val="22"/>
          <w:szCs w:val="22"/>
          <w:lang w:val="en-US"/>
        </w:rPr>
        <w:t xml:space="preserve">stand alone </w:t>
      </w:r>
      <w:r w:rsidR="00333A9D" w:rsidRPr="00AC3ABB">
        <w:rPr>
          <w:rFonts w:ascii="Verdana" w:hAnsi="Verdana"/>
          <w:sz w:val="22"/>
          <w:szCs w:val="22"/>
          <w:lang w:val="en-US"/>
        </w:rPr>
        <w:t>CIL Statu</w:t>
      </w:r>
      <w:r w:rsidR="003962D9" w:rsidRPr="00AC3ABB">
        <w:rPr>
          <w:rFonts w:ascii="Verdana" w:hAnsi="Verdana"/>
          <w:sz w:val="22"/>
          <w:szCs w:val="22"/>
          <w:lang w:val="en-US"/>
        </w:rPr>
        <w:t>t</w:t>
      </w:r>
      <w:r w:rsidR="00333A9D" w:rsidRPr="00AC3ABB">
        <w:rPr>
          <w:rFonts w:ascii="Verdana" w:hAnsi="Verdana"/>
          <w:sz w:val="22"/>
          <w:szCs w:val="22"/>
          <w:lang w:val="en-US"/>
        </w:rPr>
        <w:t xml:space="preserve">ory Guidance last published in February 2014. </w:t>
      </w:r>
      <w:r w:rsidR="00824776" w:rsidRPr="00AC3ABB">
        <w:rPr>
          <w:rFonts w:ascii="Verdana" w:hAnsi="Verdana"/>
          <w:sz w:val="22"/>
          <w:szCs w:val="22"/>
          <w:lang w:val="fr-FR"/>
        </w:rPr>
        <w:t xml:space="preserve"> </w:t>
      </w:r>
    </w:p>
    <w:p w:rsidR="005410D3" w:rsidRPr="00AC3ABB" w:rsidRDefault="005410D3" w:rsidP="005410D3">
      <w:pPr>
        <w:pStyle w:val="Default"/>
        <w:rPr>
          <w:rFonts w:ascii="Verdana" w:eastAsia="Verdana" w:hAnsi="Verdana" w:cs="Verdana"/>
          <w:sz w:val="22"/>
          <w:szCs w:val="22"/>
        </w:rPr>
      </w:pPr>
    </w:p>
    <w:p w:rsidR="0012758B" w:rsidRPr="00A01B1C" w:rsidRDefault="005410D3" w:rsidP="00AC3ABB">
      <w:pPr>
        <w:pStyle w:val="Default"/>
        <w:numPr>
          <w:ilvl w:val="0"/>
          <w:numId w:val="36"/>
        </w:numPr>
        <w:pBdr>
          <w:top w:val="nil"/>
          <w:left w:val="nil"/>
          <w:bottom w:val="nil"/>
          <w:right w:val="nil"/>
          <w:between w:val="nil"/>
          <w:bar w:val="nil"/>
        </w:pBdr>
        <w:autoSpaceDE/>
        <w:autoSpaceDN/>
        <w:adjustRightInd/>
        <w:rPr>
          <w:rFonts w:ascii="Verdana" w:eastAsia="Verdana" w:hAnsi="Verdana" w:cs="Verdana"/>
          <w:sz w:val="22"/>
          <w:szCs w:val="22"/>
        </w:rPr>
      </w:pPr>
      <w:r w:rsidRPr="00AC3ABB">
        <w:rPr>
          <w:rFonts w:ascii="Verdana" w:hAnsi="Verdana"/>
          <w:sz w:val="22"/>
          <w:szCs w:val="22"/>
          <w:lang w:val="en-US"/>
        </w:rPr>
        <w:t>To comply with the relevant legislation</w:t>
      </w:r>
      <w:r w:rsidR="00824776" w:rsidRPr="00AC3ABB">
        <w:rPr>
          <w:rFonts w:ascii="Verdana" w:hAnsi="Verdana"/>
          <w:sz w:val="22"/>
          <w:szCs w:val="22"/>
          <w:lang w:val="en-US"/>
        </w:rPr>
        <w:t xml:space="preserve">, the submitted </w:t>
      </w:r>
      <w:r w:rsidR="004003BB">
        <w:rPr>
          <w:rFonts w:ascii="Verdana" w:hAnsi="Verdana"/>
          <w:sz w:val="22"/>
          <w:szCs w:val="22"/>
          <w:lang w:val="en-US"/>
        </w:rPr>
        <w:t>C</w:t>
      </w:r>
      <w:r w:rsidRPr="00AC3ABB">
        <w:rPr>
          <w:rFonts w:ascii="Verdana" w:hAnsi="Verdana"/>
          <w:sz w:val="22"/>
          <w:szCs w:val="22"/>
          <w:lang w:val="en-US"/>
        </w:rPr>
        <w:t xml:space="preserve">harging </w:t>
      </w:r>
      <w:r w:rsidR="004003BB">
        <w:rPr>
          <w:rFonts w:ascii="Verdana" w:hAnsi="Verdana"/>
          <w:sz w:val="22"/>
          <w:szCs w:val="22"/>
          <w:lang w:val="en-US"/>
        </w:rPr>
        <w:t>S</w:t>
      </w:r>
      <w:r w:rsidR="00824776" w:rsidRPr="00AC3ABB">
        <w:rPr>
          <w:rFonts w:ascii="Verdana" w:hAnsi="Verdana"/>
          <w:sz w:val="22"/>
          <w:szCs w:val="22"/>
          <w:lang w:val="en-US"/>
        </w:rPr>
        <w:t xml:space="preserve">chedule must </w:t>
      </w:r>
      <w:r w:rsidR="00EA269D" w:rsidRPr="00AC3ABB">
        <w:rPr>
          <w:rFonts w:ascii="Verdana" w:hAnsi="Verdana"/>
          <w:sz w:val="22"/>
          <w:szCs w:val="22"/>
          <w:lang w:val="en-US"/>
        </w:rPr>
        <w:t xml:space="preserve">strike </w:t>
      </w:r>
      <w:r w:rsidR="003962D9" w:rsidRPr="00AC3ABB">
        <w:rPr>
          <w:rStyle w:val="legds2"/>
          <w:rFonts w:ascii="Verdana" w:hAnsi="Verdana" w:cs="Arial"/>
          <w:sz w:val="22"/>
          <w:szCs w:val="22"/>
        </w:rPr>
        <w:t>what appears to the charging authority to be</w:t>
      </w:r>
      <w:r w:rsidR="00A76FB2" w:rsidRPr="00AC3ABB">
        <w:rPr>
          <w:rStyle w:val="legds2"/>
          <w:rFonts w:ascii="Verdana" w:hAnsi="Verdana" w:cs="Arial"/>
          <w:sz w:val="22"/>
          <w:szCs w:val="22"/>
        </w:rPr>
        <w:t xml:space="preserve"> </w:t>
      </w:r>
      <w:r w:rsidRPr="00AC3ABB">
        <w:rPr>
          <w:rFonts w:ascii="Verdana" w:hAnsi="Verdana"/>
          <w:sz w:val="22"/>
          <w:szCs w:val="22"/>
          <w:lang w:val="en-US"/>
        </w:rPr>
        <w:t>an appropriate balance between helping to fund necessary new infrastructure and the potential effects on the economic viability of development across the district.</w:t>
      </w:r>
      <w:r w:rsidR="0012758B" w:rsidRPr="00AC3ABB">
        <w:rPr>
          <w:rFonts w:ascii="Verdana" w:hAnsi="Verdana"/>
          <w:sz w:val="22"/>
          <w:szCs w:val="22"/>
          <w:lang w:val="en-US"/>
        </w:rPr>
        <w:t xml:space="preserve"> The PPG </w:t>
      </w:r>
      <w:r w:rsidR="00C86FF3" w:rsidRPr="00AC3ABB">
        <w:rPr>
          <w:rFonts w:ascii="Verdana" w:hAnsi="Verdana"/>
          <w:sz w:val="22"/>
          <w:szCs w:val="22"/>
          <w:lang w:val="en-US"/>
        </w:rPr>
        <w:t xml:space="preserve">states </w:t>
      </w:r>
      <w:r w:rsidR="0012758B" w:rsidRPr="00AC3ABB">
        <w:rPr>
          <w:rFonts w:ascii="Verdana" w:hAnsi="Verdana"/>
          <w:sz w:val="22"/>
          <w:szCs w:val="22"/>
          <w:lang w:val="en-US"/>
        </w:rPr>
        <w:t>that the examiner should establish that:</w:t>
      </w:r>
    </w:p>
    <w:p w:rsidR="00A01B1C" w:rsidRPr="00AC3ABB" w:rsidRDefault="00A01B1C" w:rsidP="00A01B1C">
      <w:pPr>
        <w:pStyle w:val="Default"/>
        <w:pBdr>
          <w:top w:val="nil"/>
          <w:left w:val="nil"/>
          <w:bottom w:val="nil"/>
          <w:right w:val="nil"/>
          <w:between w:val="nil"/>
          <w:bar w:val="nil"/>
        </w:pBdr>
        <w:autoSpaceDE/>
        <w:autoSpaceDN/>
        <w:adjustRightInd/>
        <w:rPr>
          <w:rFonts w:ascii="Verdana" w:eastAsia="Verdana" w:hAnsi="Verdana" w:cs="Verdana"/>
          <w:sz w:val="22"/>
          <w:szCs w:val="22"/>
        </w:rPr>
      </w:pPr>
    </w:p>
    <w:p w:rsidR="0012758B" w:rsidRDefault="0012758B" w:rsidP="00AC3ABB">
      <w:pPr>
        <w:pStyle w:val="ListParagraph"/>
        <w:numPr>
          <w:ilvl w:val="0"/>
          <w:numId w:val="38"/>
        </w:numPr>
        <w:spacing w:line="300" w:lineRule="atLeast"/>
        <w:jc w:val="left"/>
        <w:rPr>
          <w:rFonts w:cs="Helvetica"/>
          <w:szCs w:val="22"/>
        </w:rPr>
      </w:pPr>
      <w:r w:rsidRPr="00AC3ABB">
        <w:rPr>
          <w:rFonts w:cs="Helvetica"/>
          <w:szCs w:val="22"/>
        </w:rPr>
        <w:t xml:space="preserve">the charging authority has complied with the legislative requirements set out in the </w:t>
      </w:r>
      <w:r w:rsidR="00A01B1C">
        <w:rPr>
          <w:rFonts w:cs="Helvetica"/>
          <w:szCs w:val="22"/>
        </w:rPr>
        <w:t xml:space="preserve">Act and the </w:t>
      </w:r>
      <w:r w:rsidRPr="00AC3ABB">
        <w:rPr>
          <w:rFonts w:cs="Helvetica"/>
          <w:szCs w:val="22"/>
        </w:rPr>
        <w:t>Regulations;</w:t>
      </w:r>
    </w:p>
    <w:p w:rsidR="00A01B1C" w:rsidRPr="00AC3ABB" w:rsidRDefault="00A01B1C" w:rsidP="00A01B1C">
      <w:pPr>
        <w:pStyle w:val="ListParagraph"/>
        <w:spacing w:line="300" w:lineRule="atLeast"/>
        <w:ind w:left="753" w:firstLine="0"/>
        <w:jc w:val="left"/>
        <w:rPr>
          <w:rFonts w:cs="Helvetica"/>
          <w:szCs w:val="22"/>
        </w:rPr>
      </w:pPr>
    </w:p>
    <w:p w:rsidR="0012758B" w:rsidRDefault="0012758B" w:rsidP="00C86FF3">
      <w:pPr>
        <w:pStyle w:val="ListParagraph"/>
        <w:numPr>
          <w:ilvl w:val="0"/>
          <w:numId w:val="38"/>
        </w:numPr>
        <w:spacing w:before="120" w:after="120" w:line="300" w:lineRule="atLeast"/>
        <w:jc w:val="left"/>
        <w:rPr>
          <w:rFonts w:cs="Helvetica"/>
          <w:szCs w:val="22"/>
        </w:rPr>
      </w:pPr>
      <w:r w:rsidRPr="00AC3ABB">
        <w:rPr>
          <w:rFonts w:cs="Helvetica"/>
          <w:szCs w:val="22"/>
        </w:rPr>
        <w:t>the draft charging schedule is supported by background documents containing appropriate available evidence;</w:t>
      </w:r>
    </w:p>
    <w:p w:rsidR="00A01B1C" w:rsidRPr="00AC3ABB" w:rsidRDefault="00A01B1C" w:rsidP="00A01B1C">
      <w:pPr>
        <w:pStyle w:val="ListParagraph"/>
        <w:spacing w:before="120" w:after="120" w:line="300" w:lineRule="atLeast"/>
        <w:ind w:left="753" w:firstLine="0"/>
        <w:jc w:val="left"/>
        <w:rPr>
          <w:rFonts w:cs="Helvetica"/>
          <w:szCs w:val="22"/>
        </w:rPr>
      </w:pPr>
    </w:p>
    <w:p w:rsidR="0012758B" w:rsidRDefault="0012758B" w:rsidP="00C86FF3">
      <w:pPr>
        <w:pStyle w:val="ListParagraph"/>
        <w:numPr>
          <w:ilvl w:val="0"/>
          <w:numId w:val="38"/>
        </w:numPr>
        <w:spacing w:before="120" w:after="120" w:line="300" w:lineRule="atLeast"/>
        <w:jc w:val="left"/>
        <w:rPr>
          <w:rFonts w:cs="Helvetica"/>
          <w:szCs w:val="22"/>
        </w:rPr>
      </w:pPr>
      <w:r w:rsidRPr="00AC3ABB">
        <w:rPr>
          <w:rFonts w:cs="Helvetica"/>
          <w:szCs w:val="22"/>
        </w:rPr>
        <w:t>the proposed rate or rates are informed by and consistent with the evidence on economic viability across the charging authority’s area; and</w:t>
      </w:r>
    </w:p>
    <w:p w:rsidR="00A01B1C" w:rsidRPr="00AC3ABB" w:rsidRDefault="00A01B1C" w:rsidP="00A01B1C">
      <w:pPr>
        <w:pStyle w:val="ListParagraph"/>
        <w:spacing w:before="120" w:after="120" w:line="300" w:lineRule="atLeast"/>
        <w:ind w:left="753" w:firstLine="0"/>
        <w:jc w:val="left"/>
        <w:rPr>
          <w:rFonts w:cs="Helvetica"/>
          <w:szCs w:val="22"/>
        </w:rPr>
      </w:pPr>
    </w:p>
    <w:p w:rsidR="0012758B" w:rsidRDefault="0012758B" w:rsidP="00A01B1C">
      <w:pPr>
        <w:pStyle w:val="ListParagraph"/>
        <w:numPr>
          <w:ilvl w:val="0"/>
          <w:numId w:val="38"/>
        </w:numPr>
        <w:spacing w:line="300" w:lineRule="atLeast"/>
        <w:jc w:val="left"/>
        <w:rPr>
          <w:rFonts w:cs="Helvetica"/>
          <w:szCs w:val="22"/>
        </w:rPr>
      </w:pPr>
      <w:proofErr w:type="gramStart"/>
      <w:r w:rsidRPr="00AC3ABB">
        <w:rPr>
          <w:rFonts w:cs="Helvetica"/>
          <w:szCs w:val="22"/>
        </w:rPr>
        <w:t>evidence</w:t>
      </w:r>
      <w:proofErr w:type="gramEnd"/>
      <w:r w:rsidRPr="00AC3ABB">
        <w:rPr>
          <w:rFonts w:cs="Helvetica"/>
          <w:szCs w:val="22"/>
        </w:rPr>
        <w:t xml:space="preserve"> has been provided that shows the proposed rate or rates would not threaten delivery of the relevant Plan as a whole</w:t>
      </w:r>
      <w:r w:rsidR="00A01B1C">
        <w:rPr>
          <w:rFonts w:cs="Helvetica"/>
          <w:szCs w:val="22"/>
        </w:rPr>
        <w:t>.</w:t>
      </w:r>
    </w:p>
    <w:p w:rsidR="00A01B1C" w:rsidRPr="00A01B1C" w:rsidRDefault="00A01B1C" w:rsidP="00A01B1C">
      <w:pPr>
        <w:spacing w:line="300" w:lineRule="atLeast"/>
        <w:ind w:left="0" w:firstLine="0"/>
        <w:jc w:val="left"/>
        <w:rPr>
          <w:rFonts w:cs="Helvetica"/>
          <w:szCs w:val="22"/>
        </w:rPr>
      </w:pPr>
    </w:p>
    <w:p w:rsidR="005410D3" w:rsidRPr="002A54EB" w:rsidRDefault="005410D3" w:rsidP="00A01B1C">
      <w:pPr>
        <w:pStyle w:val="Default"/>
        <w:numPr>
          <w:ilvl w:val="0"/>
          <w:numId w:val="36"/>
        </w:numPr>
        <w:pBdr>
          <w:top w:val="nil"/>
          <w:left w:val="nil"/>
          <w:bottom w:val="nil"/>
          <w:right w:val="nil"/>
          <w:between w:val="nil"/>
          <w:bar w:val="nil"/>
        </w:pBdr>
        <w:autoSpaceDE/>
        <w:autoSpaceDN/>
        <w:adjustRightInd/>
        <w:rPr>
          <w:rFonts w:ascii="Verdana" w:eastAsia="Verdana" w:hAnsi="Verdana" w:cs="Verdana"/>
          <w:color w:val="auto"/>
          <w:sz w:val="22"/>
          <w:szCs w:val="22"/>
        </w:rPr>
      </w:pPr>
      <w:r w:rsidRPr="00AC3ABB">
        <w:rPr>
          <w:rFonts w:ascii="Verdana" w:hAnsi="Verdana"/>
          <w:sz w:val="22"/>
          <w:szCs w:val="22"/>
          <w:lang w:val="en-US"/>
        </w:rPr>
        <w:t xml:space="preserve">The basis for the examination, </w:t>
      </w:r>
      <w:r w:rsidR="00AF6EE1">
        <w:rPr>
          <w:rFonts w:ascii="Verdana" w:hAnsi="Verdana"/>
          <w:sz w:val="22"/>
          <w:szCs w:val="22"/>
          <w:lang w:val="en-US"/>
        </w:rPr>
        <w:t>and</w:t>
      </w:r>
      <w:r w:rsidR="00CC1395" w:rsidRPr="00B80528">
        <w:rPr>
          <w:rFonts w:ascii="Verdana" w:hAnsi="Verdana"/>
          <w:sz w:val="22"/>
          <w:szCs w:val="22"/>
          <w:lang w:val="en-US"/>
        </w:rPr>
        <w:t xml:space="preserve"> on which hearing sessions were held </w:t>
      </w:r>
      <w:r w:rsidR="007E70BC">
        <w:rPr>
          <w:rFonts w:ascii="Verdana" w:hAnsi="Verdana"/>
          <w:sz w:val="22"/>
          <w:szCs w:val="22"/>
          <w:lang w:val="en-US"/>
        </w:rPr>
        <w:t>9 November 2016</w:t>
      </w:r>
      <w:r w:rsidRPr="00AC3ABB">
        <w:rPr>
          <w:rFonts w:ascii="Verdana" w:hAnsi="Verdana"/>
          <w:sz w:val="22"/>
          <w:szCs w:val="22"/>
          <w:lang w:val="en-US"/>
        </w:rPr>
        <w:t xml:space="preserve">, is the submitted schedule </w:t>
      </w:r>
      <w:r w:rsidR="00691538">
        <w:rPr>
          <w:rFonts w:ascii="Verdana" w:hAnsi="Verdana"/>
          <w:sz w:val="22"/>
          <w:szCs w:val="22"/>
          <w:lang w:val="en-US"/>
        </w:rPr>
        <w:t>dated</w:t>
      </w:r>
      <w:r w:rsidRPr="00AC3ABB">
        <w:rPr>
          <w:rFonts w:ascii="Verdana" w:hAnsi="Verdana"/>
          <w:sz w:val="22"/>
          <w:szCs w:val="22"/>
          <w:lang w:val="en-US"/>
        </w:rPr>
        <w:t xml:space="preserve"> </w:t>
      </w:r>
      <w:r w:rsidR="007E70BC">
        <w:rPr>
          <w:rFonts w:ascii="Verdana" w:hAnsi="Verdana"/>
          <w:sz w:val="22"/>
          <w:szCs w:val="22"/>
          <w:lang w:val="en-US"/>
        </w:rPr>
        <w:t>September 2016</w:t>
      </w:r>
      <w:r w:rsidR="007E70BC" w:rsidRPr="00B80528">
        <w:rPr>
          <w:rFonts w:ascii="Verdana" w:hAnsi="Verdana"/>
          <w:color w:val="C00000"/>
          <w:sz w:val="22"/>
          <w:szCs w:val="22"/>
          <w:lang w:val="en-US"/>
        </w:rPr>
        <w:t xml:space="preserve">.  </w:t>
      </w:r>
      <w:r w:rsidR="00D27498" w:rsidRPr="00F5069C">
        <w:rPr>
          <w:rFonts w:ascii="Verdana" w:hAnsi="Verdana"/>
          <w:color w:val="auto"/>
          <w:sz w:val="22"/>
          <w:szCs w:val="22"/>
          <w:lang w:val="en-US"/>
        </w:rPr>
        <w:t xml:space="preserve">The Preliminary Draft Charging Schedule was consulted on in December 2011 – February 2012.  The Draft Charging Schedule was consulted on </w:t>
      </w:r>
      <w:r w:rsidR="00F5069C" w:rsidRPr="00F5069C">
        <w:rPr>
          <w:rFonts w:ascii="Verdana" w:hAnsi="Verdana"/>
          <w:color w:val="auto"/>
          <w:sz w:val="22"/>
          <w:szCs w:val="22"/>
          <w:lang w:val="en-US"/>
        </w:rPr>
        <w:t>i</w:t>
      </w:r>
      <w:r w:rsidR="00D27498" w:rsidRPr="00F5069C">
        <w:rPr>
          <w:rFonts w:ascii="Verdana" w:hAnsi="Verdana"/>
          <w:color w:val="auto"/>
          <w:sz w:val="22"/>
          <w:szCs w:val="22"/>
          <w:lang w:val="en-US"/>
        </w:rPr>
        <w:t xml:space="preserve">n February 2015 </w:t>
      </w:r>
      <w:r w:rsidR="00F5069C" w:rsidRPr="00F5069C">
        <w:rPr>
          <w:rFonts w:ascii="Verdana" w:hAnsi="Verdana"/>
          <w:color w:val="auto"/>
          <w:sz w:val="22"/>
          <w:szCs w:val="22"/>
          <w:lang w:val="en-US"/>
        </w:rPr>
        <w:t>–</w:t>
      </w:r>
      <w:r w:rsidR="00D27498" w:rsidRPr="00F5069C">
        <w:rPr>
          <w:rFonts w:ascii="Verdana" w:hAnsi="Verdana"/>
          <w:color w:val="auto"/>
          <w:sz w:val="22"/>
          <w:szCs w:val="22"/>
          <w:lang w:val="en-US"/>
        </w:rPr>
        <w:t xml:space="preserve"> </w:t>
      </w:r>
      <w:r w:rsidR="00F5069C" w:rsidRPr="00F5069C">
        <w:rPr>
          <w:rFonts w:ascii="Verdana" w:hAnsi="Verdana"/>
          <w:color w:val="auto"/>
          <w:sz w:val="22"/>
          <w:szCs w:val="22"/>
          <w:lang w:val="en-US"/>
        </w:rPr>
        <w:t>March 2015</w:t>
      </w:r>
      <w:r w:rsidR="00F5069C">
        <w:rPr>
          <w:rFonts w:ascii="Verdana" w:hAnsi="Verdana"/>
          <w:color w:val="auto"/>
          <w:sz w:val="22"/>
          <w:szCs w:val="22"/>
          <w:lang w:val="en-US"/>
        </w:rPr>
        <w:t>.</w:t>
      </w:r>
      <w:r w:rsidR="00F5069C" w:rsidRPr="00F5069C">
        <w:rPr>
          <w:rFonts w:ascii="Verdana" w:hAnsi="Verdana"/>
          <w:color w:val="auto"/>
          <w:sz w:val="22"/>
          <w:szCs w:val="22"/>
          <w:lang w:val="en-US"/>
        </w:rPr>
        <w:t xml:space="preserve">  A </w:t>
      </w:r>
      <w:r w:rsidR="00F5069C">
        <w:rPr>
          <w:rFonts w:ascii="Verdana" w:hAnsi="Verdana"/>
          <w:color w:val="auto"/>
          <w:sz w:val="22"/>
          <w:szCs w:val="22"/>
          <w:lang w:val="en-US"/>
        </w:rPr>
        <w:t>R</w:t>
      </w:r>
      <w:r w:rsidR="00F5069C" w:rsidRPr="00F5069C">
        <w:rPr>
          <w:rFonts w:ascii="Verdana" w:hAnsi="Verdana"/>
          <w:color w:val="auto"/>
          <w:sz w:val="22"/>
          <w:szCs w:val="22"/>
          <w:lang w:val="en-US"/>
        </w:rPr>
        <w:t xml:space="preserve">evised </w:t>
      </w:r>
      <w:r w:rsidRPr="002A54EB">
        <w:rPr>
          <w:rFonts w:ascii="Verdana" w:hAnsi="Verdana"/>
          <w:color w:val="auto"/>
          <w:sz w:val="22"/>
          <w:szCs w:val="22"/>
          <w:lang w:val="en-US"/>
        </w:rPr>
        <w:t xml:space="preserve">Draft Schedule </w:t>
      </w:r>
      <w:r w:rsidR="00691538" w:rsidRPr="002A54EB">
        <w:rPr>
          <w:rFonts w:ascii="Verdana" w:hAnsi="Verdana"/>
          <w:color w:val="auto"/>
          <w:sz w:val="22"/>
          <w:szCs w:val="22"/>
          <w:lang w:val="en-US"/>
        </w:rPr>
        <w:t xml:space="preserve">was </w:t>
      </w:r>
      <w:r w:rsidRPr="002A54EB">
        <w:rPr>
          <w:rFonts w:ascii="Verdana" w:hAnsi="Verdana"/>
          <w:color w:val="auto"/>
          <w:sz w:val="22"/>
          <w:szCs w:val="22"/>
          <w:lang w:val="en-US"/>
        </w:rPr>
        <w:t xml:space="preserve">published for public consultation in </w:t>
      </w:r>
      <w:r w:rsidR="00691538" w:rsidRPr="002A54EB">
        <w:rPr>
          <w:rFonts w:ascii="Verdana" w:hAnsi="Verdana"/>
          <w:color w:val="auto"/>
          <w:sz w:val="22"/>
          <w:szCs w:val="22"/>
          <w:lang w:val="en-US"/>
        </w:rPr>
        <w:t>March - April 201</w:t>
      </w:r>
      <w:r w:rsidR="00F5069C">
        <w:rPr>
          <w:rFonts w:ascii="Verdana" w:hAnsi="Verdana"/>
          <w:color w:val="auto"/>
          <w:sz w:val="22"/>
          <w:szCs w:val="22"/>
          <w:lang w:val="en-US"/>
        </w:rPr>
        <w:t>6</w:t>
      </w:r>
      <w:r w:rsidR="00691538" w:rsidRPr="002A54EB">
        <w:rPr>
          <w:rFonts w:ascii="Verdana" w:hAnsi="Verdana"/>
          <w:color w:val="auto"/>
          <w:sz w:val="22"/>
          <w:szCs w:val="22"/>
          <w:lang w:val="en-US"/>
        </w:rPr>
        <w:t xml:space="preserve">.  A </w:t>
      </w:r>
      <w:r w:rsidR="00F5069C">
        <w:rPr>
          <w:rFonts w:ascii="Verdana" w:hAnsi="Verdana"/>
          <w:color w:val="auto"/>
          <w:sz w:val="22"/>
          <w:szCs w:val="22"/>
          <w:lang w:val="en-US"/>
        </w:rPr>
        <w:t>R</w:t>
      </w:r>
      <w:r w:rsidR="00691538" w:rsidRPr="002A54EB">
        <w:rPr>
          <w:rFonts w:ascii="Verdana" w:hAnsi="Verdana"/>
          <w:color w:val="auto"/>
          <w:sz w:val="22"/>
          <w:szCs w:val="22"/>
          <w:lang w:val="en-US"/>
        </w:rPr>
        <w:t xml:space="preserve">evised Schedule incorporating Modifications was published for consultation in August 2016 but withdrawn shortly after the consultation period began.  The </w:t>
      </w:r>
      <w:r w:rsidR="00F5069C">
        <w:rPr>
          <w:rFonts w:ascii="Verdana" w:hAnsi="Verdana"/>
          <w:color w:val="auto"/>
          <w:sz w:val="22"/>
          <w:szCs w:val="22"/>
          <w:lang w:val="en-US"/>
        </w:rPr>
        <w:t xml:space="preserve">Revised Draft </w:t>
      </w:r>
      <w:r w:rsidR="00691538" w:rsidRPr="002A54EB">
        <w:rPr>
          <w:rFonts w:ascii="Verdana" w:hAnsi="Verdana"/>
          <w:color w:val="auto"/>
          <w:sz w:val="22"/>
          <w:szCs w:val="22"/>
          <w:lang w:val="en-US"/>
        </w:rPr>
        <w:t xml:space="preserve">Schedule </w:t>
      </w:r>
      <w:r w:rsidR="00F5069C">
        <w:rPr>
          <w:rFonts w:ascii="Verdana" w:hAnsi="Verdana"/>
          <w:color w:val="auto"/>
          <w:sz w:val="22"/>
          <w:szCs w:val="22"/>
          <w:lang w:val="en-US"/>
        </w:rPr>
        <w:t xml:space="preserve">with Modifications </w:t>
      </w:r>
      <w:r w:rsidR="00691538" w:rsidRPr="002A54EB">
        <w:rPr>
          <w:rFonts w:ascii="Verdana" w:hAnsi="Verdana"/>
          <w:color w:val="auto"/>
          <w:sz w:val="22"/>
          <w:szCs w:val="22"/>
          <w:lang w:val="en-US"/>
        </w:rPr>
        <w:t xml:space="preserve">that was examined was subject to consultation between 5 September and 17 October 2016   </w:t>
      </w:r>
    </w:p>
    <w:p w:rsidR="005410D3" w:rsidRPr="00AC3ABB" w:rsidRDefault="005410D3" w:rsidP="005410D3">
      <w:pPr>
        <w:pStyle w:val="Default"/>
        <w:rPr>
          <w:rFonts w:ascii="Verdana" w:eastAsia="Verdana" w:hAnsi="Verdana" w:cs="Verdana"/>
          <w:sz w:val="22"/>
          <w:szCs w:val="22"/>
        </w:rPr>
      </w:pPr>
    </w:p>
    <w:p w:rsidR="00D703FE" w:rsidRDefault="005410D3" w:rsidP="00DA5E72">
      <w:pPr>
        <w:pStyle w:val="Default"/>
        <w:numPr>
          <w:ilvl w:val="0"/>
          <w:numId w:val="36"/>
        </w:numPr>
        <w:pBdr>
          <w:top w:val="nil"/>
          <w:left w:val="nil"/>
          <w:bottom w:val="nil"/>
          <w:right w:val="nil"/>
          <w:between w:val="nil"/>
          <w:bar w:val="nil"/>
        </w:pBdr>
        <w:autoSpaceDE/>
        <w:autoSpaceDN/>
        <w:adjustRightInd/>
        <w:rPr>
          <w:rFonts w:ascii="Verdana" w:hAnsi="Verdana"/>
          <w:sz w:val="22"/>
          <w:szCs w:val="22"/>
          <w:lang w:val="en-US"/>
        </w:rPr>
      </w:pPr>
      <w:r w:rsidRPr="00B80528">
        <w:rPr>
          <w:rFonts w:ascii="Verdana" w:hAnsi="Verdana"/>
          <w:sz w:val="22"/>
          <w:szCs w:val="22"/>
          <w:lang w:val="en-US"/>
        </w:rPr>
        <w:t xml:space="preserve">In summary, the Council </w:t>
      </w:r>
      <w:proofErr w:type="gramStart"/>
      <w:r w:rsidRPr="00B80528">
        <w:rPr>
          <w:rFonts w:ascii="Verdana" w:hAnsi="Verdana"/>
          <w:sz w:val="22"/>
          <w:szCs w:val="22"/>
          <w:lang w:val="en-US"/>
        </w:rPr>
        <w:t>propose</w:t>
      </w:r>
      <w:proofErr w:type="gramEnd"/>
      <w:r w:rsidR="00CC1395" w:rsidRPr="00B80528">
        <w:rPr>
          <w:rFonts w:ascii="Verdana" w:hAnsi="Verdana"/>
          <w:sz w:val="22"/>
          <w:szCs w:val="22"/>
          <w:lang w:val="en-US"/>
        </w:rPr>
        <w:t xml:space="preserve"> </w:t>
      </w:r>
      <w:r w:rsidR="00B80528">
        <w:rPr>
          <w:rFonts w:ascii="Verdana" w:hAnsi="Verdana"/>
          <w:sz w:val="22"/>
          <w:szCs w:val="22"/>
          <w:lang w:val="en-US"/>
        </w:rPr>
        <w:t>a matrix approach for qualifying development.</w:t>
      </w:r>
      <w:r w:rsidR="000A6791">
        <w:rPr>
          <w:rFonts w:ascii="Verdana" w:hAnsi="Verdana"/>
          <w:sz w:val="22"/>
          <w:szCs w:val="22"/>
          <w:lang w:val="en-US"/>
        </w:rPr>
        <w:t xml:space="preserve">  </w:t>
      </w:r>
      <w:r w:rsidR="00237F49">
        <w:rPr>
          <w:rFonts w:ascii="Verdana" w:hAnsi="Verdana"/>
          <w:sz w:val="22"/>
          <w:szCs w:val="22"/>
          <w:lang w:val="en-US"/>
        </w:rPr>
        <w:t xml:space="preserve">All rates referred to in the charging schedule and in this report are in pounds per square metre.  </w:t>
      </w:r>
      <w:r w:rsidR="000A6791">
        <w:rPr>
          <w:rFonts w:ascii="Verdana" w:hAnsi="Verdana"/>
          <w:sz w:val="22"/>
          <w:szCs w:val="22"/>
          <w:lang w:val="en-US"/>
        </w:rPr>
        <w:t>There are four charging zones proposed for residential development</w:t>
      </w:r>
      <w:r w:rsidR="00D703FE">
        <w:rPr>
          <w:rFonts w:ascii="Verdana" w:hAnsi="Verdana"/>
          <w:sz w:val="22"/>
          <w:szCs w:val="22"/>
          <w:lang w:val="en-US"/>
        </w:rPr>
        <w:t xml:space="preserve"> divided in 3 site size categories</w:t>
      </w:r>
      <w:r w:rsidR="0082507D">
        <w:rPr>
          <w:rFonts w:ascii="Verdana" w:hAnsi="Verdana"/>
          <w:sz w:val="22"/>
          <w:szCs w:val="22"/>
          <w:lang w:val="en-US"/>
        </w:rPr>
        <w:t>.  For commercial development</w:t>
      </w:r>
      <w:r w:rsidR="0032377E">
        <w:rPr>
          <w:rFonts w:ascii="Verdana" w:hAnsi="Verdana"/>
          <w:sz w:val="22"/>
          <w:szCs w:val="22"/>
          <w:lang w:val="en-US"/>
        </w:rPr>
        <w:t>,</w:t>
      </w:r>
      <w:r w:rsidR="0082507D">
        <w:rPr>
          <w:rFonts w:ascii="Verdana" w:hAnsi="Verdana"/>
          <w:sz w:val="22"/>
          <w:szCs w:val="22"/>
          <w:lang w:val="en-US"/>
        </w:rPr>
        <w:t xml:space="preserve"> there are two charging categories with all other development subject to a nil charge</w:t>
      </w:r>
      <w:r w:rsidR="00F5069C">
        <w:rPr>
          <w:rFonts w:ascii="Verdana" w:hAnsi="Verdana"/>
          <w:sz w:val="22"/>
          <w:szCs w:val="22"/>
          <w:lang w:val="en-US"/>
        </w:rPr>
        <w:t>.  The boundaries of the zones have been subject to various amendments.  They logically relate to the strategy in the Torbay Local Plan and have not been seriously challenged.</w:t>
      </w:r>
      <w:r w:rsidR="0082507D">
        <w:rPr>
          <w:rFonts w:ascii="Verdana" w:hAnsi="Verdana"/>
          <w:sz w:val="22"/>
          <w:szCs w:val="22"/>
          <w:lang w:val="en-US"/>
        </w:rPr>
        <w:t xml:space="preserve"> </w:t>
      </w:r>
    </w:p>
    <w:p w:rsidR="00D703FE" w:rsidRDefault="00D703FE" w:rsidP="00D703FE">
      <w:pPr>
        <w:pStyle w:val="ListParagraph"/>
        <w:rPr>
          <w:szCs w:val="22"/>
          <w:lang w:val="en-US"/>
        </w:rPr>
      </w:pPr>
    </w:p>
    <w:p w:rsidR="000A6791" w:rsidRDefault="000A6791" w:rsidP="00D703FE">
      <w:pPr>
        <w:pStyle w:val="Default"/>
        <w:pBdr>
          <w:top w:val="nil"/>
          <w:left w:val="nil"/>
          <w:bottom w:val="nil"/>
          <w:right w:val="nil"/>
          <w:between w:val="nil"/>
          <w:bar w:val="nil"/>
        </w:pBdr>
        <w:autoSpaceDE/>
        <w:autoSpaceDN/>
        <w:adjustRightInd/>
        <w:ind w:left="570"/>
        <w:rPr>
          <w:rFonts w:ascii="Verdana" w:hAnsi="Verdana"/>
          <w:sz w:val="22"/>
          <w:szCs w:val="22"/>
          <w:lang w:val="en-US"/>
        </w:rPr>
      </w:pPr>
      <w:r>
        <w:rPr>
          <w:rFonts w:ascii="Verdana" w:hAnsi="Verdana"/>
          <w:sz w:val="22"/>
          <w:szCs w:val="22"/>
          <w:lang w:val="en-US"/>
        </w:rPr>
        <w:t xml:space="preserve">  </w:t>
      </w:r>
    </w:p>
    <w:tbl>
      <w:tblPr>
        <w:tblStyle w:val="TableGrid"/>
        <w:tblW w:w="0" w:type="auto"/>
        <w:tblInd w:w="393" w:type="dxa"/>
        <w:tblLook w:val="04A0"/>
      </w:tblPr>
      <w:tblGrid>
        <w:gridCol w:w="2173"/>
        <w:gridCol w:w="2151"/>
        <w:gridCol w:w="2151"/>
        <w:gridCol w:w="2148"/>
      </w:tblGrid>
      <w:tr w:rsidR="00D703FE" w:rsidTr="00AF6EE1">
        <w:tc>
          <w:tcPr>
            <w:tcW w:w="2173" w:type="dxa"/>
            <w:shd w:val="clear" w:color="auto" w:fill="D9D9D9" w:themeFill="background1" w:themeFillShade="D9"/>
          </w:tcPr>
          <w:p w:rsidR="000A6791" w:rsidRDefault="000E464F" w:rsidP="000A6791">
            <w:pPr>
              <w:pStyle w:val="Default"/>
              <w:autoSpaceDE/>
              <w:autoSpaceDN/>
              <w:adjustRightInd/>
              <w:rPr>
                <w:rFonts w:ascii="Verdana" w:hAnsi="Verdana"/>
                <w:sz w:val="22"/>
                <w:szCs w:val="22"/>
                <w:lang w:val="en-US"/>
              </w:rPr>
            </w:pPr>
            <w:r>
              <w:rPr>
                <w:rFonts w:ascii="Verdana" w:hAnsi="Verdana"/>
                <w:sz w:val="22"/>
                <w:szCs w:val="22"/>
                <w:lang w:val="en-US"/>
              </w:rPr>
              <w:t xml:space="preserve">Residential </w:t>
            </w:r>
            <w:r w:rsidR="0082507D">
              <w:rPr>
                <w:rFonts w:ascii="Verdana" w:hAnsi="Verdana"/>
                <w:sz w:val="22"/>
                <w:szCs w:val="22"/>
                <w:lang w:val="en-US"/>
              </w:rPr>
              <w:t>Zone</w:t>
            </w:r>
          </w:p>
        </w:tc>
        <w:tc>
          <w:tcPr>
            <w:tcW w:w="2151" w:type="dxa"/>
            <w:shd w:val="clear" w:color="auto" w:fill="D9D9D9" w:themeFill="background1" w:themeFillShade="D9"/>
          </w:tcPr>
          <w:p w:rsidR="000A6791" w:rsidRDefault="00D703FE" w:rsidP="000A6791">
            <w:pPr>
              <w:pStyle w:val="Default"/>
              <w:autoSpaceDE/>
              <w:autoSpaceDN/>
              <w:adjustRightInd/>
              <w:rPr>
                <w:rFonts w:ascii="Verdana" w:hAnsi="Verdana"/>
                <w:sz w:val="22"/>
                <w:szCs w:val="22"/>
                <w:lang w:val="en-US"/>
              </w:rPr>
            </w:pPr>
            <w:r>
              <w:rPr>
                <w:rFonts w:ascii="Verdana" w:hAnsi="Verdana"/>
                <w:sz w:val="22"/>
                <w:szCs w:val="22"/>
                <w:lang w:val="en-US"/>
              </w:rPr>
              <w:t>1 - 3 Dwellings</w:t>
            </w:r>
          </w:p>
        </w:tc>
        <w:tc>
          <w:tcPr>
            <w:tcW w:w="2151" w:type="dxa"/>
            <w:shd w:val="clear" w:color="auto" w:fill="D9D9D9" w:themeFill="background1" w:themeFillShade="D9"/>
          </w:tcPr>
          <w:p w:rsidR="000A6791" w:rsidRDefault="00D703FE" w:rsidP="000A6791">
            <w:pPr>
              <w:pStyle w:val="Default"/>
              <w:autoSpaceDE/>
              <w:autoSpaceDN/>
              <w:adjustRightInd/>
              <w:rPr>
                <w:rFonts w:ascii="Verdana" w:hAnsi="Verdana"/>
                <w:sz w:val="22"/>
                <w:szCs w:val="22"/>
                <w:lang w:val="en-US"/>
              </w:rPr>
            </w:pPr>
            <w:r>
              <w:rPr>
                <w:rFonts w:ascii="Verdana" w:hAnsi="Verdana"/>
                <w:sz w:val="22"/>
                <w:szCs w:val="22"/>
                <w:lang w:val="en-US"/>
              </w:rPr>
              <w:t>4 – 14 Dwellings</w:t>
            </w:r>
          </w:p>
        </w:tc>
        <w:tc>
          <w:tcPr>
            <w:tcW w:w="2148" w:type="dxa"/>
            <w:shd w:val="clear" w:color="auto" w:fill="D9D9D9" w:themeFill="background1" w:themeFillShade="D9"/>
          </w:tcPr>
          <w:p w:rsidR="000A6791" w:rsidRDefault="00D703FE" w:rsidP="000A6791">
            <w:pPr>
              <w:pStyle w:val="Default"/>
              <w:autoSpaceDE/>
              <w:autoSpaceDN/>
              <w:adjustRightInd/>
              <w:rPr>
                <w:rFonts w:ascii="Verdana" w:hAnsi="Verdana"/>
                <w:sz w:val="22"/>
                <w:szCs w:val="22"/>
                <w:lang w:val="en-US"/>
              </w:rPr>
            </w:pPr>
            <w:r>
              <w:rPr>
                <w:rFonts w:ascii="Verdana" w:hAnsi="Verdana"/>
                <w:sz w:val="22"/>
                <w:szCs w:val="22"/>
                <w:lang w:val="en-US"/>
              </w:rPr>
              <w:t>15+ dwellings</w:t>
            </w:r>
          </w:p>
        </w:tc>
      </w:tr>
      <w:tr w:rsidR="00D703FE" w:rsidTr="0082507D">
        <w:tc>
          <w:tcPr>
            <w:tcW w:w="2173" w:type="dxa"/>
          </w:tcPr>
          <w:p w:rsidR="000A6791" w:rsidRDefault="00237F49" w:rsidP="00237F49">
            <w:pPr>
              <w:pStyle w:val="Default"/>
              <w:autoSpaceDE/>
              <w:autoSpaceDN/>
              <w:adjustRightInd/>
              <w:rPr>
                <w:rFonts w:ascii="Verdana" w:hAnsi="Verdana"/>
                <w:sz w:val="22"/>
                <w:szCs w:val="22"/>
                <w:lang w:val="en-US"/>
              </w:rPr>
            </w:pPr>
            <w:r>
              <w:rPr>
                <w:rFonts w:ascii="Verdana" w:hAnsi="Verdana"/>
                <w:sz w:val="22"/>
                <w:szCs w:val="22"/>
                <w:lang w:val="en-US"/>
              </w:rPr>
              <w:t xml:space="preserve">  </w:t>
            </w:r>
            <w:r w:rsidR="000A6791" w:rsidRPr="00237F49">
              <w:rPr>
                <w:rFonts w:ascii="Verdana" w:hAnsi="Verdana"/>
                <w:b/>
                <w:sz w:val="22"/>
                <w:szCs w:val="22"/>
                <w:lang w:val="en-US"/>
              </w:rPr>
              <w:t>1</w:t>
            </w:r>
            <w:r w:rsidR="000A6791">
              <w:rPr>
                <w:rFonts w:ascii="Verdana" w:hAnsi="Verdana"/>
                <w:sz w:val="22"/>
                <w:szCs w:val="22"/>
                <w:lang w:val="en-US"/>
              </w:rPr>
              <w:t xml:space="preserve"> </w:t>
            </w:r>
            <w:r w:rsidR="0032377E">
              <w:rPr>
                <w:rFonts w:ascii="Verdana" w:hAnsi="Verdana"/>
                <w:sz w:val="22"/>
                <w:szCs w:val="22"/>
                <w:lang w:val="en-US"/>
              </w:rPr>
              <w:t>Built-up</w:t>
            </w:r>
            <w:r w:rsidR="000A6791">
              <w:rPr>
                <w:rFonts w:ascii="Verdana" w:hAnsi="Verdana"/>
                <w:sz w:val="22"/>
                <w:szCs w:val="22"/>
                <w:lang w:val="en-US"/>
              </w:rPr>
              <w:t xml:space="preserve"> areas </w:t>
            </w:r>
            <w:r>
              <w:rPr>
                <w:rFonts w:ascii="Verdana" w:hAnsi="Verdana"/>
                <w:sz w:val="22"/>
                <w:szCs w:val="22"/>
                <w:lang w:val="en-US"/>
              </w:rPr>
              <w:t xml:space="preserve">   b</w:t>
            </w:r>
            <w:r w:rsidR="000A6791">
              <w:rPr>
                <w:rFonts w:ascii="Verdana" w:hAnsi="Verdana"/>
                <w:sz w:val="22"/>
                <w:szCs w:val="22"/>
                <w:lang w:val="en-US"/>
              </w:rPr>
              <w:t>ased on top 20% deprivation</w:t>
            </w:r>
          </w:p>
        </w:tc>
        <w:tc>
          <w:tcPr>
            <w:tcW w:w="2151" w:type="dxa"/>
          </w:tcPr>
          <w:p w:rsidR="000A6791" w:rsidRDefault="00237F49" w:rsidP="000A6791">
            <w:pPr>
              <w:pStyle w:val="Default"/>
              <w:autoSpaceDE/>
              <w:autoSpaceDN/>
              <w:adjustRightInd/>
              <w:rPr>
                <w:rFonts w:ascii="Verdana" w:hAnsi="Verdana"/>
                <w:sz w:val="22"/>
                <w:szCs w:val="22"/>
                <w:lang w:val="en-US"/>
              </w:rPr>
            </w:pPr>
            <w:r>
              <w:rPr>
                <w:rFonts w:ascii="Verdana" w:hAnsi="Verdana"/>
                <w:sz w:val="22"/>
                <w:szCs w:val="22"/>
                <w:lang w:val="en-US"/>
              </w:rPr>
              <w:t xml:space="preserve"> </w:t>
            </w:r>
            <w:r w:rsidR="00D703FE">
              <w:rPr>
                <w:rFonts w:ascii="Verdana" w:hAnsi="Verdana"/>
                <w:sz w:val="22"/>
                <w:szCs w:val="22"/>
                <w:lang w:val="en-US"/>
              </w:rPr>
              <w:t>zero</w:t>
            </w:r>
          </w:p>
        </w:tc>
        <w:tc>
          <w:tcPr>
            <w:tcW w:w="2151" w:type="dxa"/>
          </w:tcPr>
          <w:p w:rsidR="000A6791" w:rsidRDefault="00D703FE" w:rsidP="000A6791">
            <w:pPr>
              <w:pStyle w:val="Default"/>
              <w:autoSpaceDE/>
              <w:autoSpaceDN/>
              <w:adjustRightInd/>
              <w:rPr>
                <w:rFonts w:ascii="Verdana" w:hAnsi="Verdana"/>
                <w:sz w:val="22"/>
                <w:szCs w:val="22"/>
                <w:lang w:val="en-US"/>
              </w:rPr>
            </w:pPr>
            <w:r>
              <w:rPr>
                <w:rFonts w:ascii="Verdana" w:hAnsi="Verdana"/>
                <w:sz w:val="22"/>
                <w:szCs w:val="22"/>
                <w:lang w:val="en-US"/>
              </w:rPr>
              <w:t xml:space="preserve"> £30</w:t>
            </w:r>
          </w:p>
        </w:tc>
        <w:tc>
          <w:tcPr>
            <w:tcW w:w="2148" w:type="dxa"/>
          </w:tcPr>
          <w:p w:rsidR="000A6791" w:rsidRDefault="00237F49" w:rsidP="000A6791">
            <w:pPr>
              <w:pStyle w:val="Default"/>
              <w:autoSpaceDE/>
              <w:autoSpaceDN/>
              <w:adjustRightInd/>
              <w:rPr>
                <w:rFonts w:ascii="Verdana" w:hAnsi="Verdana"/>
                <w:sz w:val="22"/>
                <w:szCs w:val="22"/>
                <w:lang w:val="en-US"/>
              </w:rPr>
            </w:pPr>
            <w:r>
              <w:rPr>
                <w:rFonts w:ascii="Verdana" w:hAnsi="Verdana"/>
                <w:sz w:val="22"/>
                <w:szCs w:val="22"/>
                <w:lang w:val="en-US"/>
              </w:rPr>
              <w:t xml:space="preserve"> </w:t>
            </w:r>
            <w:r w:rsidR="00D703FE">
              <w:rPr>
                <w:rFonts w:ascii="Verdana" w:hAnsi="Verdana"/>
                <w:sz w:val="22"/>
                <w:szCs w:val="22"/>
                <w:lang w:val="en-US"/>
              </w:rPr>
              <w:t>£30</w:t>
            </w:r>
          </w:p>
        </w:tc>
      </w:tr>
      <w:tr w:rsidR="00D703FE" w:rsidTr="0082507D">
        <w:tc>
          <w:tcPr>
            <w:tcW w:w="2173" w:type="dxa"/>
          </w:tcPr>
          <w:p w:rsidR="000A6791" w:rsidRDefault="00D703FE" w:rsidP="000A6791">
            <w:pPr>
              <w:pStyle w:val="Default"/>
              <w:autoSpaceDE/>
              <w:autoSpaceDN/>
              <w:adjustRightInd/>
              <w:ind w:left="142"/>
              <w:rPr>
                <w:rFonts w:ascii="Verdana" w:hAnsi="Verdana"/>
                <w:sz w:val="22"/>
                <w:szCs w:val="22"/>
                <w:lang w:val="en-US"/>
              </w:rPr>
            </w:pPr>
            <w:r w:rsidRPr="00237F49">
              <w:rPr>
                <w:rFonts w:ascii="Verdana" w:hAnsi="Verdana"/>
                <w:b/>
                <w:sz w:val="22"/>
                <w:szCs w:val="22"/>
                <w:lang w:val="en-US"/>
              </w:rPr>
              <w:t>2</w:t>
            </w:r>
            <w:r>
              <w:rPr>
                <w:rFonts w:ascii="Verdana" w:hAnsi="Verdana"/>
                <w:sz w:val="22"/>
                <w:szCs w:val="22"/>
                <w:lang w:val="en-US"/>
              </w:rPr>
              <w:t xml:space="preserve"> Elsewhere in the </w:t>
            </w:r>
            <w:r w:rsidR="0032377E">
              <w:rPr>
                <w:rFonts w:ascii="Verdana" w:hAnsi="Verdana"/>
                <w:sz w:val="22"/>
                <w:szCs w:val="22"/>
                <w:lang w:val="en-US"/>
              </w:rPr>
              <w:t>built-up</w:t>
            </w:r>
            <w:r>
              <w:rPr>
                <w:rFonts w:ascii="Verdana" w:hAnsi="Verdana"/>
                <w:sz w:val="22"/>
                <w:szCs w:val="22"/>
                <w:lang w:val="en-US"/>
              </w:rPr>
              <w:t xml:space="preserve"> area </w:t>
            </w:r>
          </w:p>
        </w:tc>
        <w:tc>
          <w:tcPr>
            <w:tcW w:w="2151" w:type="dxa"/>
          </w:tcPr>
          <w:p w:rsidR="000A6791" w:rsidRDefault="00D703FE" w:rsidP="000A6791">
            <w:pPr>
              <w:pStyle w:val="Default"/>
              <w:autoSpaceDE/>
              <w:autoSpaceDN/>
              <w:adjustRightInd/>
              <w:ind w:left="142"/>
              <w:rPr>
                <w:rFonts w:ascii="Verdana" w:hAnsi="Verdana"/>
                <w:sz w:val="22"/>
                <w:szCs w:val="22"/>
                <w:lang w:val="en-US"/>
              </w:rPr>
            </w:pPr>
            <w:r>
              <w:rPr>
                <w:rFonts w:ascii="Verdana" w:hAnsi="Verdana"/>
                <w:sz w:val="22"/>
                <w:szCs w:val="22"/>
                <w:lang w:val="en-US"/>
              </w:rPr>
              <w:t>£30</w:t>
            </w:r>
          </w:p>
        </w:tc>
        <w:tc>
          <w:tcPr>
            <w:tcW w:w="2151" w:type="dxa"/>
          </w:tcPr>
          <w:p w:rsidR="000A6791" w:rsidRDefault="00D703FE" w:rsidP="000A6791">
            <w:pPr>
              <w:pStyle w:val="Default"/>
              <w:autoSpaceDE/>
              <w:autoSpaceDN/>
              <w:adjustRightInd/>
              <w:ind w:left="142"/>
              <w:rPr>
                <w:rFonts w:ascii="Verdana" w:hAnsi="Verdana"/>
                <w:sz w:val="22"/>
                <w:szCs w:val="22"/>
                <w:lang w:val="en-US"/>
              </w:rPr>
            </w:pPr>
            <w:r>
              <w:rPr>
                <w:rFonts w:ascii="Verdana" w:hAnsi="Verdana"/>
                <w:sz w:val="22"/>
                <w:szCs w:val="22"/>
                <w:lang w:val="en-US"/>
              </w:rPr>
              <w:t>£70</w:t>
            </w:r>
          </w:p>
        </w:tc>
        <w:tc>
          <w:tcPr>
            <w:tcW w:w="2148" w:type="dxa"/>
          </w:tcPr>
          <w:p w:rsidR="000A6791" w:rsidRDefault="00D703FE" w:rsidP="000A6791">
            <w:pPr>
              <w:pStyle w:val="Default"/>
              <w:autoSpaceDE/>
              <w:autoSpaceDN/>
              <w:adjustRightInd/>
              <w:ind w:left="142"/>
              <w:rPr>
                <w:rFonts w:ascii="Verdana" w:hAnsi="Verdana"/>
                <w:sz w:val="22"/>
                <w:szCs w:val="22"/>
                <w:lang w:val="en-US"/>
              </w:rPr>
            </w:pPr>
            <w:r>
              <w:rPr>
                <w:rFonts w:ascii="Verdana" w:hAnsi="Verdana"/>
                <w:sz w:val="22"/>
                <w:szCs w:val="22"/>
                <w:lang w:val="en-US"/>
              </w:rPr>
              <w:t>£70</w:t>
            </w:r>
          </w:p>
        </w:tc>
      </w:tr>
      <w:tr w:rsidR="00D703FE" w:rsidTr="0082507D">
        <w:tc>
          <w:tcPr>
            <w:tcW w:w="2173" w:type="dxa"/>
          </w:tcPr>
          <w:p w:rsidR="000A6791" w:rsidRDefault="00D703FE" w:rsidP="000A6791">
            <w:pPr>
              <w:pStyle w:val="Default"/>
              <w:autoSpaceDE/>
              <w:autoSpaceDN/>
              <w:adjustRightInd/>
              <w:ind w:left="142"/>
              <w:rPr>
                <w:rFonts w:ascii="Verdana" w:hAnsi="Verdana"/>
                <w:sz w:val="22"/>
                <w:szCs w:val="22"/>
                <w:lang w:val="en-US"/>
              </w:rPr>
            </w:pPr>
            <w:r w:rsidRPr="00237F49">
              <w:rPr>
                <w:rFonts w:ascii="Verdana" w:hAnsi="Verdana"/>
                <w:b/>
                <w:sz w:val="22"/>
                <w:szCs w:val="22"/>
                <w:lang w:val="en-US"/>
              </w:rPr>
              <w:t>3</w:t>
            </w:r>
            <w:r>
              <w:rPr>
                <w:rFonts w:ascii="Verdana" w:hAnsi="Verdana"/>
                <w:sz w:val="22"/>
                <w:szCs w:val="22"/>
                <w:lang w:val="en-US"/>
              </w:rPr>
              <w:t xml:space="preserve"> Outside the </w:t>
            </w:r>
            <w:r w:rsidR="0032377E">
              <w:rPr>
                <w:rFonts w:ascii="Verdana" w:hAnsi="Verdana"/>
                <w:sz w:val="22"/>
                <w:szCs w:val="22"/>
                <w:lang w:val="en-US"/>
              </w:rPr>
              <w:t>built-up</w:t>
            </w:r>
            <w:r>
              <w:rPr>
                <w:rFonts w:ascii="Verdana" w:hAnsi="Verdana"/>
                <w:sz w:val="22"/>
                <w:szCs w:val="22"/>
                <w:lang w:val="en-US"/>
              </w:rPr>
              <w:t xml:space="preserve"> area</w:t>
            </w:r>
          </w:p>
        </w:tc>
        <w:tc>
          <w:tcPr>
            <w:tcW w:w="2151" w:type="dxa"/>
          </w:tcPr>
          <w:p w:rsidR="000A6791" w:rsidRDefault="00D703FE" w:rsidP="000A6791">
            <w:pPr>
              <w:pStyle w:val="Default"/>
              <w:autoSpaceDE/>
              <w:autoSpaceDN/>
              <w:adjustRightInd/>
              <w:ind w:left="177"/>
              <w:rPr>
                <w:rFonts w:ascii="Verdana" w:hAnsi="Verdana"/>
                <w:sz w:val="22"/>
                <w:szCs w:val="22"/>
                <w:lang w:val="en-US"/>
              </w:rPr>
            </w:pPr>
            <w:r>
              <w:rPr>
                <w:rFonts w:ascii="Verdana" w:hAnsi="Verdana"/>
                <w:sz w:val="22"/>
                <w:szCs w:val="22"/>
                <w:lang w:val="en-US"/>
              </w:rPr>
              <w:t>£70</w:t>
            </w:r>
          </w:p>
        </w:tc>
        <w:tc>
          <w:tcPr>
            <w:tcW w:w="2151" w:type="dxa"/>
          </w:tcPr>
          <w:p w:rsidR="000A6791" w:rsidRDefault="00D703FE" w:rsidP="000A6791">
            <w:pPr>
              <w:pStyle w:val="Default"/>
              <w:autoSpaceDE/>
              <w:autoSpaceDN/>
              <w:adjustRightInd/>
              <w:ind w:left="177"/>
              <w:rPr>
                <w:rFonts w:ascii="Verdana" w:hAnsi="Verdana"/>
                <w:sz w:val="22"/>
                <w:szCs w:val="22"/>
                <w:lang w:val="en-US"/>
              </w:rPr>
            </w:pPr>
            <w:r>
              <w:rPr>
                <w:rFonts w:ascii="Verdana" w:hAnsi="Verdana"/>
                <w:sz w:val="22"/>
                <w:szCs w:val="22"/>
                <w:lang w:val="en-US"/>
              </w:rPr>
              <w:t>£70</w:t>
            </w:r>
          </w:p>
        </w:tc>
        <w:tc>
          <w:tcPr>
            <w:tcW w:w="2148" w:type="dxa"/>
          </w:tcPr>
          <w:p w:rsidR="000A6791" w:rsidRDefault="00D703FE" w:rsidP="000A6791">
            <w:pPr>
              <w:pStyle w:val="Default"/>
              <w:autoSpaceDE/>
              <w:autoSpaceDN/>
              <w:adjustRightInd/>
              <w:ind w:left="177"/>
              <w:rPr>
                <w:rFonts w:ascii="Verdana" w:hAnsi="Verdana"/>
                <w:sz w:val="22"/>
                <w:szCs w:val="22"/>
                <w:lang w:val="en-US"/>
              </w:rPr>
            </w:pPr>
            <w:r>
              <w:rPr>
                <w:rFonts w:ascii="Verdana" w:hAnsi="Verdana"/>
                <w:sz w:val="22"/>
                <w:szCs w:val="22"/>
                <w:lang w:val="en-US"/>
              </w:rPr>
              <w:t>£140</w:t>
            </w:r>
          </w:p>
        </w:tc>
      </w:tr>
      <w:tr w:rsidR="00D703FE" w:rsidTr="0082507D">
        <w:tc>
          <w:tcPr>
            <w:tcW w:w="2173" w:type="dxa"/>
          </w:tcPr>
          <w:p w:rsidR="000A6791" w:rsidRDefault="00D703FE" w:rsidP="00D703FE">
            <w:pPr>
              <w:pStyle w:val="Default"/>
              <w:autoSpaceDE/>
              <w:autoSpaceDN/>
              <w:adjustRightInd/>
              <w:ind w:left="177"/>
              <w:rPr>
                <w:rFonts w:ascii="Verdana" w:hAnsi="Verdana"/>
                <w:sz w:val="22"/>
                <w:szCs w:val="22"/>
                <w:lang w:val="en-US"/>
              </w:rPr>
            </w:pPr>
            <w:r w:rsidRPr="00237F49">
              <w:rPr>
                <w:rFonts w:ascii="Verdana" w:hAnsi="Verdana"/>
                <w:b/>
                <w:sz w:val="22"/>
                <w:szCs w:val="22"/>
                <w:lang w:val="en-US"/>
              </w:rPr>
              <w:t>4</w:t>
            </w:r>
            <w:r>
              <w:rPr>
                <w:rFonts w:ascii="Verdana" w:hAnsi="Verdana"/>
                <w:sz w:val="22"/>
                <w:szCs w:val="22"/>
                <w:lang w:val="en-US"/>
              </w:rPr>
              <w:t xml:space="preserve"> Future Growth Areas</w:t>
            </w:r>
          </w:p>
        </w:tc>
        <w:tc>
          <w:tcPr>
            <w:tcW w:w="2151" w:type="dxa"/>
          </w:tcPr>
          <w:p w:rsidR="000A6791" w:rsidRDefault="00D703FE" w:rsidP="000A6791">
            <w:pPr>
              <w:pStyle w:val="Default"/>
              <w:autoSpaceDE/>
              <w:autoSpaceDN/>
              <w:adjustRightInd/>
              <w:ind w:left="177"/>
              <w:rPr>
                <w:rFonts w:ascii="Verdana" w:hAnsi="Verdana"/>
                <w:sz w:val="22"/>
                <w:szCs w:val="22"/>
                <w:lang w:val="en-US"/>
              </w:rPr>
            </w:pPr>
            <w:r>
              <w:rPr>
                <w:rFonts w:ascii="Verdana" w:hAnsi="Verdana"/>
                <w:sz w:val="22"/>
                <w:szCs w:val="22"/>
                <w:lang w:val="en-US"/>
              </w:rPr>
              <w:t>£70</w:t>
            </w:r>
          </w:p>
        </w:tc>
        <w:tc>
          <w:tcPr>
            <w:tcW w:w="2151" w:type="dxa"/>
          </w:tcPr>
          <w:p w:rsidR="000A6791" w:rsidRDefault="00D703FE" w:rsidP="000A6791">
            <w:pPr>
              <w:pStyle w:val="Default"/>
              <w:autoSpaceDE/>
              <w:autoSpaceDN/>
              <w:adjustRightInd/>
              <w:ind w:left="177"/>
              <w:rPr>
                <w:rFonts w:ascii="Verdana" w:hAnsi="Verdana"/>
                <w:sz w:val="22"/>
                <w:szCs w:val="22"/>
                <w:lang w:val="en-US"/>
              </w:rPr>
            </w:pPr>
            <w:r>
              <w:rPr>
                <w:rFonts w:ascii="Verdana" w:hAnsi="Verdana"/>
                <w:sz w:val="22"/>
                <w:szCs w:val="22"/>
                <w:lang w:val="en-US"/>
              </w:rPr>
              <w:t>£70</w:t>
            </w:r>
          </w:p>
        </w:tc>
        <w:tc>
          <w:tcPr>
            <w:tcW w:w="2148" w:type="dxa"/>
          </w:tcPr>
          <w:p w:rsidR="000A6791" w:rsidRDefault="00D703FE" w:rsidP="000A6791">
            <w:pPr>
              <w:pStyle w:val="Default"/>
              <w:autoSpaceDE/>
              <w:autoSpaceDN/>
              <w:adjustRightInd/>
              <w:ind w:left="177"/>
              <w:rPr>
                <w:rFonts w:ascii="Verdana" w:hAnsi="Verdana"/>
                <w:sz w:val="22"/>
                <w:szCs w:val="22"/>
                <w:lang w:val="en-US"/>
              </w:rPr>
            </w:pPr>
            <w:r>
              <w:rPr>
                <w:rFonts w:ascii="Verdana" w:hAnsi="Verdana"/>
                <w:sz w:val="22"/>
                <w:szCs w:val="22"/>
                <w:lang w:val="en-US"/>
              </w:rPr>
              <w:t>zero</w:t>
            </w:r>
          </w:p>
        </w:tc>
      </w:tr>
    </w:tbl>
    <w:p w:rsidR="009D0F77" w:rsidRDefault="009D0F77" w:rsidP="0082507D">
      <w:pPr>
        <w:pStyle w:val="Default"/>
        <w:pBdr>
          <w:top w:val="nil"/>
          <w:left w:val="nil"/>
          <w:bottom w:val="nil"/>
          <w:right w:val="nil"/>
          <w:between w:val="nil"/>
          <w:bar w:val="nil"/>
        </w:pBdr>
        <w:autoSpaceDE/>
        <w:autoSpaceDN/>
        <w:adjustRightInd/>
        <w:ind w:left="570"/>
        <w:rPr>
          <w:rFonts w:ascii="Verdana" w:hAnsi="Verdana"/>
          <w:sz w:val="22"/>
          <w:szCs w:val="22"/>
          <w:lang w:val="en-US"/>
        </w:rPr>
      </w:pPr>
    </w:p>
    <w:p w:rsidR="009D0F77" w:rsidRDefault="009D0F77">
      <w:pPr>
        <w:spacing w:after="160" w:line="259" w:lineRule="auto"/>
        <w:ind w:left="0" w:firstLine="0"/>
        <w:jc w:val="left"/>
        <w:rPr>
          <w:rFonts w:eastAsiaTheme="minorHAnsi" w:cs="Calibri"/>
          <w:color w:val="000000"/>
          <w:szCs w:val="22"/>
          <w:lang w:val="en-US" w:eastAsia="en-US"/>
        </w:rPr>
      </w:pPr>
      <w:r>
        <w:rPr>
          <w:szCs w:val="22"/>
          <w:lang w:val="en-US"/>
        </w:rPr>
        <w:br w:type="page"/>
      </w:r>
    </w:p>
    <w:p w:rsidR="0082507D" w:rsidRDefault="0082507D" w:rsidP="0082507D">
      <w:pPr>
        <w:pStyle w:val="Default"/>
        <w:pBdr>
          <w:top w:val="nil"/>
          <w:left w:val="nil"/>
          <w:bottom w:val="nil"/>
          <w:right w:val="nil"/>
          <w:between w:val="nil"/>
          <w:bar w:val="nil"/>
        </w:pBdr>
        <w:autoSpaceDE/>
        <w:autoSpaceDN/>
        <w:adjustRightInd/>
        <w:ind w:left="570"/>
        <w:rPr>
          <w:rFonts w:ascii="Verdana" w:hAnsi="Verdana"/>
          <w:sz w:val="22"/>
          <w:szCs w:val="22"/>
          <w:lang w:val="en-US"/>
        </w:rPr>
      </w:pPr>
    </w:p>
    <w:tbl>
      <w:tblPr>
        <w:tblStyle w:val="TableGrid"/>
        <w:tblW w:w="0" w:type="auto"/>
        <w:tblInd w:w="393" w:type="dxa"/>
        <w:tblLook w:val="04A0"/>
      </w:tblPr>
      <w:tblGrid>
        <w:gridCol w:w="2888"/>
        <w:gridCol w:w="2874"/>
        <w:gridCol w:w="2861"/>
      </w:tblGrid>
      <w:tr w:rsidR="00BC3884" w:rsidTr="000E464F">
        <w:tc>
          <w:tcPr>
            <w:tcW w:w="2888" w:type="dxa"/>
            <w:shd w:val="clear" w:color="auto" w:fill="D9D9D9" w:themeFill="background1" w:themeFillShade="D9"/>
          </w:tcPr>
          <w:p w:rsidR="0082507D" w:rsidRDefault="0082507D" w:rsidP="000A6791">
            <w:pPr>
              <w:pStyle w:val="Default"/>
              <w:autoSpaceDE/>
              <w:autoSpaceDN/>
              <w:adjustRightInd/>
              <w:rPr>
                <w:rFonts w:ascii="Verdana" w:hAnsi="Verdana"/>
                <w:sz w:val="22"/>
                <w:szCs w:val="22"/>
              </w:rPr>
            </w:pPr>
            <w:r>
              <w:rPr>
                <w:rFonts w:ascii="Verdana" w:hAnsi="Verdana"/>
                <w:sz w:val="22"/>
                <w:szCs w:val="22"/>
              </w:rPr>
              <w:t>Commercial development</w:t>
            </w:r>
          </w:p>
        </w:tc>
        <w:tc>
          <w:tcPr>
            <w:tcW w:w="2874" w:type="dxa"/>
            <w:shd w:val="clear" w:color="auto" w:fill="D9D9D9" w:themeFill="background1" w:themeFillShade="D9"/>
          </w:tcPr>
          <w:p w:rsidR="0082507D" w:rsidRDefault="0082507D" w:rsidP="000A6791">
            <w:pPr>
              <w:pStyle w:val="Default"/>
              <w:autoSpaceDE/>
              <w:autoSpaceDN/>
              <w:adjustRightInd/>
              <w:rPr>
                <w:rFonts w:ascii="Verdana" w:hAnsi="Verdana"/>
                <w:sz w:val="22"/>
                <w:szCs w:val="22"/>
              </w:rPr>
            </w:pPr>
            <w:r>
              <w:rPr>
                <w:rFonts w:ascii="Verdana" w:hAnsi="Verdana"/>
                <w:sz w:val="22"/>
                <w:szCs w:val="22"/>
              </w:rPr>
              <w:t xml:space="preserve">Town Centres, St Marychurch and </w:t>
            </w:r>
            <w:r w:rsidR="00BC3884">
              <w:rPr>
                <w:rFonts w:ascii="Verdana" w:hAnsi="Verdana"/>
                <w:sz w:val="22"/>
                <w:szCs w:val="22"/>
              </w:rPr>
              <w:t xml:space="preserve">Preston </w:t>
            </w:r>
            <w:r>
              <w:rPr>
                <w:rFonts w:ascii="Verdana" w:hAnsi="Verdana"/>
                <w:sz w:val="22"/>
                <w:szCs w:val="22"/>
              </w:rPr>
              <w:t xml:space="preserve"> </w:t>
            </w:r>
          </w:p>
        </w:tc>
        <w:tc>
          <w:tcPr>
            <w:tcW w:w="2861" w:type="dxa"/>
            <w:shd w:val="clear" w:color="auto" w:fill="D9D9D9" w:themeFill="background1" w:themeFillShade="D9"/>
          </w:tcPr>
          <w:p w:rsidR="0082507D" w:rsidRDefault="00BC3884" w:rsidP="000A6791">
            <w:pPr>
              <w:pStyle w:val="Default"/>
              <w:autoSpaceDE/>
              <w:autoSpaceDN/>
              <w:adjustRightInd/>
              <w:rPr>
                <w:rFonts w:ascii="Verdana" w:hAnsi="Verdana"/>
                <w:sz w:val="22"/>
                <w:szCs w:val="22"/>
              </w:rPr>
            </w:pPr>
            <w:r>
              <w:rPr>
                <w:rFonts w:ascii="Verdana" w:hAnsi="Verdana"/>
                <w:sz w:val="22"/>
                <w:szCs w:val="22"/>
              </w:rPr>
              <w:t>Elsewhere including The Willows District Centre</w:t>
            </w:r>
          </w:p>
        </w:tc>
      </w:tr>
      <w:tr w:rsidR="00BC3884" w:rsidTr="00BC3884">
        <w:tc>
          <w:tcPr>
            <w:tcW w:w="2888" w:type="dxa"/>
          </w:tcPr>
          <w:p w:rsidR="0082507D" w:rsidRDefault="0032377E" w:rsidP="0082507D">
            <w:pPr>
              <w:pStyle w:val="Default"/>
              <w:autoSpaceDE/>
              <w:autoSpaceDN/>
              <w:adjustRightInd/>
              <w:rPr>
                <w:rFonts w:ascii="Verdana" w:hAnsi="Verdana"/>
                <w:sz w:val="22"/>
                <w:szCs w:val="22"/>
              </w:rPr>
            </w:pPr>
            <w:r>
              <w:rPr>
                <w:rFonts w:ascii="Verdana" w:hAnsi="Verdana"/>
                <w:sz w:val="22"/>
                <w:szCs w:val="22"/>
              </w:rPr>
              <w:t xml:space="preserve">Class A1 Retail over 300 </w:t>
            </w:r>
            <w:proofErr w:type="spellStart"/>
            <w:r>
              <w:rPr>
                <w:rFonts w:ascii="Verdana" w:hAnsi="Verdana"/>
                <w:sz w:val="22"/>
                <w:szCs w:val="22"/>
              </w:rPr>
              <w:t>sq</w:t>
            </w:r>
            <w:r w:rsidR="0082507D">
              <w:rPr>
                <w:rFonts w:ascii="Verdana" w:hAnsi="Verdana"/>
                <w:sz w:val="22"/>
                <w:szCs w:val="22"/>
              </w:rPr>
              <w:t>m</w:t>
            </w:r>
            <w:proofErr w:type="spellEnd"/>
            <w:r w:rsidR="0082507D">
              <w:rPr>
                <w:rFonts w:ascii="Verdana" w:hAnsi="Verdana"/>
                <w:sz w:val="22"/>
                <w:szCs w:val="22"/>
              </w:rPr>
              <w:t xml:space="preserve"> </w:t>
            </w:r>
          </w:p>
        </w:tc>
        <w:tc>
          <w:tcPr>
            <w:tcW w:w="2874" w:type="dxa"/>
          </w:tcPr>
          <w:p w:rsidR="0082507D" w:rsidRDefault="00BC3884" w:rsidP="000A6791">
            <w:pPr>
              <w:pStyle w:val="Default"/>
              <w:autoSpaceDE/>
              <w:autoSpaceDN/>
              <w:adjustRightInd/>
              <w:rPr>
                <w:rFonts w:ascii="Verdana" w:hAnsi="Verdana"/>
                <w:sz w:val="22"/>
                <w:szCs w:val="22"/>
              </w:rPr>
            </w:pPr>
            <w:r>
              <w:rPr>
                <w:rFonts w:ascii="Verdana" w:hAnsi="Verdana"/>
                <w:sz w:val="22"/>
                <w:szCs w:val="22"/>
              </w:rPr>
              <w:t>Nil</w:t>
            </w:r>
          </w:p>
        </w:tc>
        <w:tc>
          <w:tcPr>
            <w:tcW w:w="2861" w:type="dxa"/>
          </w:tcPr>
          <w:p w:rsidR="0082507D" w:rsidRDefault="00BC3884" w:rsidP="000A6791">
            <w:pPr>
              <w:pStyle w:val="Default"/>
              <w:autoSpaceDE/>
              <w:autoSpaceDN/>
              <w:adjustRightInd/>
              <w:rPr>
                <w:rFonts w:ascii="Verdana" w:hAnsi="Verdana"/>
                <w:sz w:val="22"/>
                <w:szCs w:val="22"/>
              </w:rPr>
            </w:pPr>
            <w:r>
              <w:rPr>
                <w:rFonts w:ascii="Verdana" w:hAnsi="Verdana"/>
                <w:sz w:val="22"/>
                <w:szCs w:val="22"/>
              </w:rPr>
              <w:t>£120</w:t>
            </w:r>
          </w:p>
        </w:tc>
      </w:tr>
      <w:tr w:rsidR="00BC3884" w:rsidTr="00BC3884">
        <w:tc>
          <w:tcPr>
            <w:tcW w:w="2888" w:type="dxa"/>
          </w:tcPr>
          <w:p w:rsidR="0082507D" w:rsidRDefault="00BC3884" w:rsidP="000A6791">
            <w:pPr>
              <w:pStyle w:val="Default"/>
              <w:autoSpaceDE/>
              <w:autoSpaceDN/>
              <w:adjustRightInd/>
              <w:rPr>
                <w:rFonts w:ascii="Verdana" w:hAnsi="Verdana"/>
                <w:sz w:val="22"/>
                <w:szCs w:val="22"/>
              </w:rPr>
            </w:pPr>
            <w:r>
              <w:rPr>
                <w:rFonts w:ascii="Verdana" w:hAnsi="Verdana"/>
                <w:sz w:val="22"/>
                <w:szCs w:val="22"/>
              </w:rPr>
              <w:t>Food and Drink Class A3, A4 and A5</w:t>
            </w:r>
          </w:p>
        </w:tc>
        <w:tc>
          <w:tcPr>
            <w:tcW w:w="2874" w:type="dxa"/>
          </w:tcPr>
          <w:p w:rsidR="0082507D" w:rsidRDefault="00BC3884" w:rsidP="000A6791">
            <w:pPr>
              <w:pStyle w:val="Default"/>
              <w:autoSpaceDE/>
              <w:autoSpaceDN/>
              <w:adjustRightInd/>
              <w:rPr>
                <w:rFonts w:ascii="Verdana" w:hAnsi="Verdana"/>
                <w:sz w:val="22"/>
                <w:szCs w:val="22"/>
              </w:rPr>
            </w:pPr>
            <w:r>
              <w:rPr>
                <w:rFonts w:ascii="Verdana" w:hAnsi="Verdana"/>
                <w:sz w:val="22"/>
                <w:szCs w:val="22"/>
              </w:rPr>
              <w:t>Nil</w:t>
            </w:r>
          </w:p>
        </w:tc>
        <w:tc>
          <w:tcPr>
            <w:tcW w:w="2861" w:type="dxa"/>
          </w:tcPr>
          <w:p w:rsidR="0082507D" w:rsidRDefault="00BC3884" w:rsidP="000A6791">
            <w:pPr>
              <w:pStyle w:val="Default"/>
              <w:autoSpaceDE/>
              <w:autoSpaceDN/>
              <w:adjustRightInd/>
              <w:rPr>
                <w:rFonts w:ascii="Verdana" w:hAnsi="Verdana"/>
                <w:sz w:val="22"/>
                <w:szCs w:val="22"/>
              </w:rPr>
            </w:pPr>
            <w:r>
              <w:rPr>
                <w:rFonts w:ascii="Verdana" w:hAnsi="Verdana"/>
                <w:sz w:val="22"/>
                <w:szCs w:val="22"/>
              </w:rPr>
              <w:t>£120</w:t>
            </w:r>
          </w:p>
        </w:tc>
      </w:tr>
    </w:tbl>
    <w:p w:rsidR="00AC3ABB" w:rsidRPr="00B80528" w:rsidRDefault="00AC3ABB" w:rsidP="000A6791">
      <w:pPr>
        <w:pStyle w:val="Default"/>
        <w:pBdr>
          <w:top w:val="nil"/>
          <w:left w:val="nil"/>
          <w:bottom w:val="nil"/>
          <w:right w:val="nil"/>
          <w:between w:val="nil"/>
          <w:bar w:val="nil"/>
        </w:pBdr>
        <w:autoSpaceDE/>
        <w:autoSpaceDN/>
        <w:adjustRightInd/>
        <w:ind w:left="393"/>
        <w:rPr>
          <w:rFonts w:ascii="Verdana" w:hAnsi="Verdana"/>
          <w:sz w:val="22"/>
          <w:szCs w:val="22"/>
        </w:rPr>
      </w:pPr>
    </w:p>
    <w:p w:rsidR="00B80528" w:rsidRDefault="00B80528" w:rsidP="00B80528">
      <w:pPr>
        <w:pStyle w:val="ListParagraph"/>
        <w:rPr>
          <w:szCs w:val="22"/>
        </w:rPr>
      </w:pPr>
    </w:p>
    <w:p w:rsidR="00B80528" w:rsidRPr="00B80528" w:rsidRDefault="00B80528" w:rsidP="00B80528">
      <w:pPr>
        <w:pStyle w:val="Default"/>
        <w:pBdr>
          <w:top w:val="nil"/>
          <w:left w:val="nil"/>
          <w:bottom w:val="nil"/>
          <w:right w:val="nil"/>
          <w:between w:val="nil"/>
          <w:bar w:val="nil"/>
        </w:pBdr>
        <w:autoSpaceDE/>
        <w:autoSpaceDN/>
        <w:adjustRightInd/>
        <w:ind w:left="393"/>
        <w:rPr>
          <w:rFonts w:ascii="Verdana" w:hAnsi="Verdana"/>
          <w:sz w:val="22"/>
          <w:szCs w:val="22"/>
        </w:rPr>
      </w:pPr>
    </w:p>
    <w:p w:rsidR="007303B6" w:rsidRPr="00AC3ABB" w:rsidRDefault="007303B6" w:rsidP="00582BD2">
      <w:pPr>
        <w:pStyle w:val="Default"/>
        <w:rPr>
          <w:rFonts w:ascii="Verdana" w:eastAsia="Verdana" w:hAnsi="Verdana" w:cs="Verdana"/>
          <w:b/>
          <w:color w:val="auto"/>
          <w:sz w:val="22"/>
          <w:szCs w:val="22"/>
        </w:rPr>
      </w:pPr>
      <w:r w:rsidRPr="00AC3ABB">
        <w:rPr>
          <w:rFonts w:ascii="Verdana" w:hAnsi="Verdana" w:cs="Helvetica"/>
          <w:b/>
          <w:color w:val="auto"/>
          <w:sz w:val="22"/>
          <w:szCs w:val="22"/>
        </w:rPr>
        <w:t>Has the charging authority complied with the legislative requirements set out in the</w:t>
      </w:r>
      <w:r w:rsidR="00824776" w:rsidRPr="00AC3ABB">
        <w:rPr>
          <w:rFonts w:ascii="Verdana" w:hAnsi="Verdana" w:cs="Helvetica"/>
          <w:b/>
          <w:color w:val="auto"/>
          <w:sz w:val="22"/>
          <w:szCs w:val="22"/>
        </w:rPr>
        <w:t xml:space="preserve"> Act</w:t>
      </w:r>
      <w:r w:rsidR="00A01B1C">
        <w:rPr>
          <w:rFonts w:ascii="Verdana" w:hAnsi="Verdana" w:cs="Helvetica"/>
          <w:b/>
          <w:color w:val="auto"/>
          <w:sz w:val="22"/>
          <w:szCs w:val="22"/>
        </w:rPr>
        <w:t xml:space="preserve"> </w:t>
      </w:r>
      <w:r w:rsidRPr="00AC3ABB">
        <w:rPr>
          <w:rFonts w:ascii="Verdana" w:hAnsi="Verdana" w:cs="Helvetica"/>
          <w:b/>
          <w:color w:val="auto"/>
          <w:sz w:val="22"/>
          <w:szCs w:val="22"/>
        </w:rPr>
        <w:t xml:space="preserve">and the </w:t>
      </w:r>
      <w:r w:rsidR="00824776" w:rsidRPr="00AC3ABB">
        <w:rPr>
          <w:rFonts w:ascii="Verdana" w:hAnsi="Verdana" w:cs="Helvetica"/>
          <w:b/>
          <w:color w:val="auto"/>
          <w:sz w:val="22"/>
          <w:szCs w:val="22"/>
        </w:rPr>
        <w:t>Regulations</w:t>
      </w:r>
      <w:r w:rsidR="00A01B1C">
        <w:rPr>
          <w:rFonts w:ascii="Verdana" w:hAnsi="Verdana" w:cs="Helvetica"/>
          <w:b/>
          <w:color w:val="auto"/>
          <w:sz w:val="22"/>
          <w:szCs w:val="22"/>
        </w:rPr>
        <w:t>?</w:t>
      </w:r>
    </w:p>
    <w:p w:rsidR="00582BD2" w:rsidRPr="00AC3ABB" w:rsidRDefault="00582BD2" w:rsidP="00582BD2">
      <w:pPr>
        <w:pStyle w:val="Default"/>
        <w:rPr>
          <w:rFonts w:ascii="Verdana" w:eastAsia="Verdana" w:hAnsi="Verdana" w:cs="Verdana"/>
          <w:b/>
          <w:color w:val="auto"/>
          <w:sz w:val="22"/>
          <w:szCs w:val="22"/>
        </w:rPr>
      </w:pPr>
    </w:p>
    <w:p w:rsidR="005237F9" w:rsidRDefault="005237F9" w:rsidP="005237F9">
      <w:pPr>
        <w:pStyle w:val="Default"/>
        <w:ind w:left="393"/>
        <w:rPr>
          <w:rFonts w:ascii="Verdana" w:eastAsia="Verdana" w:hAnsi="Verdana" w:cs="Verdana"/>
          <w:sz w:val="22"/>
          <w:szCs w:val="22"/>
        </w:rPr>
      </w:pPr>
    </w:p>
    <w:p w:rsidR="00AC6938" w:rsidRDefault="00BC3884" w:rsidP="009365D7">
      <w:pPr>
        <w:pStyle w:val="Default"/>
        <w:numPr>
          <w:ilvl w:val="0"/>
          <w:numId w:val="36"/>
        </w:numPr>
        <w:rPr>
          <w:rFonts w:ascii="Verdana" w:eastAsia="Verdana" w:hAnsi="Verdana" w:cs="Verdana"/>
          <w:sz w:val="22"/>
          <w:szCs w:val="22"/>
        </w:rPr>
      </w:pPr>
      <w:r>
        <w:rPr>
          <w:rFonts w:ascii="Verdana" w:eastAsia="Verdana" w:hAnsi="Verdana" w:cs="Verdana"/>
          <w:sz w:val="22"/>
          <w:szCs w:val="22"/>
        </w:rPr>
        <w:t xml:space="preserve">The Council’s Preliminary Draft Charging Schedule was published for consultation purposes between </w:t>
      </w:r>
      <w:r w:rsidR="00116BEC">
        <w:rPr>
          <w:rFonts w:ascii="Verdana" w:eastAsia="Verdana" w:hAnsi="Verdana" w:cs="Verdana"/>
          <w:sz w:val="22"/>
          <w:szCs w:val="22"/>
        </w:rPr>
        <w:t xml:space="preserve">9 </w:t>
      </w:r>
      <w:r w:rsidR="008A1F02">
        <w:rPr>
          <w:rFonts w:ascii="Verdana" w:eastAsia="Verdana" w:hAnsi="Verdana" w:cs="Verdana"/>
          <w:sz w:val="22"/>
          <w:szCs w:val="22"/>
        </w:rPr>
        <w:t>December 2011 and</w:t>
      </w:r>
      <w:r w:rsidR="00116BEC">
        <w:rPr>
          <w:rFonts w:ascii="Verdana" w:eastAsia="Verdana" w:hAnsi="Verdana" w:cs="Verdana"/>
          <w:sz w:val="22"/>
          <w:szCs w:val="22"/>
        </w:rPr>
        <w:t xml:space="preserve"> 6</w:t>
      </w:r>
      <w:r w:rsidR="008A1F02">
        <w:rPr>
          <w:rFonts w:ascii="Verdana" w:eastAsia="Verdana" w:hAnsi="Verdana" w:cs="Verdana"/>
          <w:sz w:val="22"/>
          <w:szCs w:val="22"/>
        </w:rPr>
        <w:t xml:space="preserve"> February 2012</w:t>
      </w:r>
      <w:r w:rsidR="00116BEC">
        <w:rPr>
          <w:rFonts w:ascii="Verdana" w:eastAsia="Verdana" w:hAnsi="Verdana" w:cs="Verdana"/>
          <w:sz w:val="22"/>
          <w:szCs w:val="22"/>
        </w:rPr>
        <w:t xml:space="preserve"> attracting 13 representations.  The Draft Charging Schedule was consulted on between 9 February and 23 March 2015 attracting 12 representations.  19 representations were received as a result of the 18 March – 29 April 2016 consultation on the Revised Draft Charging Schedule.  The final Submission Draft Charging Schedule incorporating Revised Proposed Modifications was consulted on between 5 September and 17 October 2016 and attracted 12 representations.</w:t>
      </w:r>
    </w:p>
    <w:p w:rsidR="00AC6938" w:rsidRDefault="00AC6938" w:rsidP="00AC6938">
      <w:pPr>
        <w:pStyle w:val="Default"/>
        <w:ind w:left="570"/>
        <w:rPr>
          <w:rFonts w:ascii="Verdana" w:eastAsia="Verdana" w:hAnsi="Verdana" w:cs="Verdana"/>
          <w:sz w:val="22"/>
          <w:szCs w:val="22"/>
        </w:rPr>
      </w:pPr>
    </w:p>
    <w:p w:rsidR="00AC6938" w:rsidRDefault="00AC6938" w:rsidP="009365D7">
      <w:pPr>
        <w:pStyle w:val="Default"/>
        <w:numPr>
          <w:ilvl w:val="0"/>
          <w:numId w:val="36"/>
        </w:numPr>
        <w:rPr>
          <w:rFonts w:ascii="Verdana" w:eastAsia="Verdana" w:hAnsi="Verdana" w:cs="Verdana"/>
          <w:sz w:val="22"/>
          <w:szCs w:val="22"/>
        </w:rPr>
      </w:pPr>
      <w:r>
        <w:rPr>
          <w:rFonts w:ascii="Verdana" w:eastAsia="Verdana" w:hAnsi="Verdana" w:cs="Verdana"/>
          <w:sz w:val="22"/>
          <w:szCs w:val="22"/>
        </w:rPr>
        <w:t xml:space="preserve">A </w:t>
      </w:r>
      <w:r w:rsidR="00B23492">
        <w:rPr>
          <w:rFonts w:ascii="Verdana" w:eastAsia="Verdana" w:hAnsi="Verdana" w:cs="Verdana"/>
          <w:sz w:val="22"/>
          <w:szCs w:val="22"/>
        </w:rPr>
        <w:t xml:space="preserve">Torbay Local Plan </w:t>
      </w:r>
      <w:r>
        <w:rPr>
          <w:rFonts w:ascii="Verdana" w:eastAsia="Verdana" w:hAnsi="Verdana" w:cs="Verdana"/>
          <w:sz w:val="22"/>
          <w:szCs w:val="22"/>
        </w:rPr>
        <w:t xml:space="preserve">viability study to inform the Council’s plan making and </w:t>
      </w:r>
      <w:r w:rsidR="00B23492">
        <w:rPr>
          <w:rFonts w:ascii="Verdana" w:eastAsia="Verdana" w:hAnsi="Verdana" w:cs="Verdana"/>
          <w:sz w:val="22"/>
          <w:szCs w:val="22"/>
        </w:rPr>
        <w:t>CIL was undertaken by Peter Brett Associates (PBA) in February 2014.  The Torbay Local Plan was adopted in December 2015.  In January 2016</w:t>
      </w:r>
      <w:r w:rsidR="0032377E">
        <w:rPr>
          <w:rFonts w:ascii="Verdana" w:eastAsia="Verdana" w:hAnsi="Verdana" w:cs="Verdana"/>
          <w:sz w:val="22"/>
          <w:szCs w:val="22"/>
        </w:rPr>
        <w:t>,</w:t>
      </w:r>
      <w:r w:rsidR="00B23492">
        <w:rPr>
          <w:rFonts w:ascii="Verdana" w:eastAsia="Verdana" w:hAnsi="Verdana" w:cs="Verdana"/>
          <w:sz w:val="22"/>
          <w:szCs w:val="22"/>
        </w:rPr>
        <w:t xml:space="preserve"> a CIL specific viability study was done by PBA and this was reviewed </w:t>
      </w:r>
      <w:r w:rsidR="00F5069C">
        <w:rPr>
          <w:rFonts w:ascii="Verdana" w:eastAsia="Verdana" w:hAnsi="Verdana" w:cs="Verdana"/>
          <w:sz w:val="22"/>
          <w:szCs w:val="22"/>
        </w:rPr>
        <w:t xml:space="preserve">and up-dated </w:t>
      </w:r>
      <w:r w:rsidR="00B23492">
        <w:rPr>
          <w:rFonts w:ascii="Verdana" w:eastAsia="Verdana" w:hAnsi="Verdana" w:cs="Verdana"/>
          <w:sz w:val="22"/>
          <w:szCs w:val="22"/>
        </w:rPr>
        <w:t xml:space="preserve">by Burrows-Hutchinson Ltd (B-H) in August 2016.   </w:t>
      </w:r>
      <w:r>
        <w:rPr>
          <w:rFonts w:ascii="Verdana" w:eastAsia="Verdana" w:hAnsi="Verdana" w:cs="Verdana"/>
          <w:sz w:val="22"/>
          <w:szCs w:val="22"/>
        </w:rPr>
        <w:t xml:space="preserve"> </w:t>
      </w:r>
      <w:r w:rsidR="00116BEC">
        <w:rPr>
          <w:rFonts w:ascii="Verdana" w:eastAsia="Verdana" w:hAnsi="Verdana" w:cs="Verdana"/>
          <w:sz w:val="22"/>
          <w:szCs w:val="22"/>
        </w:rPr>
        <w:t xml:space="preserve"> </w:t>
      </w:r>
    </w:p>
    <w:p w:rsidR="00BC3884" w:rsidRDefault="00116BEC" w:rsidP="00AC6938">
      <w:pPr>
        <w:pStyle w:val="Default"/>
        <w:rPr>
          <w:rFonts w:ascii="Verdana" w:eastAsia="Verdana" w:hAnsi="Verdana" w:cs="Verdana"/>
          <w:sz w:val="22"/>
          <w:szCs w:val="22"/>
        </w:rPr>
      </w:pPr>
      <w:r>
        <w:rPr>
          <w:rFonts w:ascii="Verdana" w:eastAsia="Verdana" w:hAnsi="Verdana" w:cs="Verdana"/>
          <w:sz w:val="22"/>
          <w:szCs w:val="22"/>
        </w:rPr>
        <w:t xml:space="preserve"> </w:t>
      </w:r>
    </w:p>
    <w:p w:rsidR="009365D7" w:rsidRPr="009365D7" w:rsidRDefault="00582BD2" w:rsidP="009365D7">
      <w:pPr>
        <w:pStyle w:val="Default"/>
        <w:numPr>
          <w:ilvl w:val="0"/>
          <w:numId w:val="36"/>
        </w:numPr>
        <w:rPr>
          <w:rFonts w:ascii="Verdana" w:eastAsia="Verdana" w:hAnsi="Verdana" w:cs="Verdana"/>
          <w:sz w:val="22"/>
          <w:szCs w:val="22"/>
        </w:rPr>
      </w:pPr>
      <w:r w:rsidRPr="00AC3ABB">
        <w:rPr>
          <w:rFonts w:ascii="Verdana" w:hAnsi="Verdana"/>
          <w:sz w:val="22"/>
          <w:szCs w:val="22"/>
          <w:lang w:val="en-US"/>
        </w:rPr>
        <w:t>The Charging Schedule complies with the Act and the Regulations, including in respect of the statutory processes and public consultation, consistency with the adopted Local Plan and the Infrastructure Delivery Plan</w:t>
      </w:r>
      <w:r w:rsidR="00C86FF3" w:rsidRPr="00AC3ABB">
        <w:rPr>
          <w:rFonts w:ascii="Verdana" w:hAnsi="Verdana"/>
          <w:sz w:val="22"/>
          <w:szCs w:val="22"/>
          <w:lang w:val="en-US"/>
        </w:rPr>
        <w:t>,</w:t>
      </w:r>
      <w:r w:rsidRPr="00AC3ABB">
        <w:rPr>
          <w:rFonts w:ascii="Verdana" w:hAnsi="Verdana"/>
          <w:sz w:val="22"/>
          <w:szCs w:val="22"/>
          <w:lang w:val="en-US"/>
        </w:rPr>
        <w:t xml:space="preserve"> and is supported by an adequate financial</w:t>
      </w:r>
      <w:r w:rsidRPr="00520373">
        <w:rPr>
          <w:rFonts w:ascii="Verdana" w:hAnsi="Verdana"/>
          <w:sz w:val="22"/>
          <w:szCs w:val="22"/>
        </w:rPr>
        <w:t xml:space="preserve"> appraisal</w:t>
      </w:r>
      <w:r w:rsidRPr="00AC3ABB">
        <w:rPr>
          <w:rFonts w:ascii="Verdana" w:hAnsi="Verdana"/>
          <w:sz w:val="22"/>
          <w:szCs w:val="22"/>
          <w:lang w:val="fr-FR"/>
        </w:rPr>
        <w:t>.</w:t>
      </w:r>
      <w:r w:rsidR="009365D7">
        <w:rPr>
          <w:rFonts w:ascii="Verdana" w:eastAsia="Verdana" w:hAnsi="Verdana" w:cs="Verdana"/>
          <w:sz w:val="22"/>
          <w:szCs w:val="22"/>
        </w:rPr>
        <w:t xml:space="preserve"> I also consider it compliant with the national policy and guidance contained in the NPPF and PPG respectively.</w:t>
      </w:r>
    </w:p>
    <w:p w:rsidR="00582BD2" w:rsidRPr="00AC3ABB" w:rsidRDefault="00582BD2" w:rsidP="005410D3">
      <w:pPr>
        <w:pStyle w:val="Default"/>
        <w:rPr>
          <w:rFonts w:ascii="Verdana" w:hAnsi="Verdana"/>
          <w:b/>
          <w:bCs/>
          <w:sz w:val="22"/>
          <w:szCs w:val="22"/>
          <w:lang w:val="en-US"/>
        </w:rPr>
      </w:pPr>
    </w:p>
    <w:p w:rsidR="00582BD2" w:rsidRPr="00AC3ABB" w:rsidRDefault="00582BD2" w:rsidP="005410D3">
      <w:pPr>
        <w:pStyle w:val="Default"/>
        <w:rPr>
          <w:rFonts w:ascii="Verdana" w:hAnsi="Verdana"/>
          <w:b/>
          <w:bCs/>
          <w:sz w:val="22"/>
          <w:szCs w:val="22"/>
          <w:lang w:val="en-US"/>
        </w:rPr>
      </w:pPr>
    </w:p>
    <w:p w:rsidR="005410D3" w:rsidRPr="00AC3ABB" w:rsidRDefault="005410D3" w:rsidP="005410D3">
      <w:pPr>
        <w:pStyle w:val="Default"/>
        <w:rPr>
          <w:rFonts w:ascii="Verdana" w:eastAsia="Verdana" w:hAnsi="Verdana" w:cs="Verdana"/>
          <w:b/>
          <w:bCs/>
          <w:sz w:val="22"/>
          <w:szCs w:val="22"/>
        </w:rPr>
      </w:pPr>
      <w:r w:rsidRPr="00AC3ABB">
        <w:rPr>
          <w:rFonts w:ascii="Verdana" w:hAnsi="Verdana"/>
          <w:b/>
          <w:bCs/>
          <w:sz w:val="22"/>
          <w:szCs w:val="22"/>
          <w:lang w:val="en-US"/>
        </w:rPr>
        <w:t xml:space="preserve">Is the </w:t>
      </w:r>
      <w:r w:rsidR="0012758B" w:rsidRPr="00AC3ABB">
        <w:rPr>
          <w:rFonts w:ascii="Verdana" w:hAnsi="Verdana"/>
          <w:b/>
          <w:bCs/>
          <w:sz w:val="22"/>
          <w:szCs w:val="22"/>
          <w:lang w:val="en-US"/>
        </w:rPr>
        <w:t xml:space="preserve">draft </w:t>
      </w:r>
      <w:r w:rsidRPr="00AC3ABB">
        <w:rPr>
          <w:rFonts w:ascii="Verdana" w:hAnsi="Verdana"/>
          <w:b/>
          <w:bCs/>
          <w:sz w:val="22"/>
          <w:szCs w:val="22"/>
          <w:lang w:val="en-US"/>
        </w:rPr>
        <w:t xml:space="preserve">charging schedule supported by background documents containing appropriate </w:t>
      </w:r>
      <w:proofErr w:type="spellStart"/>
      <w:r w:rsidRPr="00AC3ABB">
        <w:rPr>
          <w:rFonts w:ascii="Verdana" w:hAnsi="Verdana"/>
          <w:b/>
          <w:bCs/>
          <w:sz w:val="22"/>
          <w:szCs w:val="22"/>
          <w:lang w:val="fr-FR"/>
        </w:rPr>
        <w:t>available</w:t>
      </w:r>
      <w:proofErr w:type="spellEnd"/>
      <w:r w:rsidR="00AC3ABB" w:rsidRPr="00AC3ABB">
        <w:rPr>
          <w:rFonts w:ascii="Verdana" w:hAnsi="Verdana"/>
          <w:b/>
          <w:bCs/>
          <w:sz w:val="22"/>
          <w:szCs w:val="22"/>
          <w:lang w:val="fr-FR"/>
        </w:rPr>
        <w:t xml:space="preserve"> </w:t>
      </w:r>
      <w:proofErr w:type="spellStart"/>
      <w:r w:rsidRPr="00AC3ABB">
        <w:rPr>
          <w:rFonts w:ascii="Verdana" w:hAnsi="Verdana"/>
          <w:b/>
          <w:bCs/>
          <w:sz w:val="22"/>
          <w:szCs w:val="22"/>
          <w:lang w:val="fr-FR"/>
        </w:rPr>
        <w:t>evidence</w:t>
      </w:r>
      <w:proofErr w:type="spellEnd"/>
      <w:r w:rsidRPr="00AC3ABB">
        <w:rPr>
          <w:rFonts w:ascii="Verdana" w:hAnsi="Verdana"/>
          <w:b/>
          <w:bCs/>
          <w:sz w:val="22"/>
          <w:szCs w:val="22"/>
          <w:lang w:val="fr-FR"/>
        </w:rPr>
        <w:t>?</w:t>
      </w:r>
    </w:p>
    <w:p w:rsidR="005410D3" w:rsidRPr="00AC3ABB" w:rsidRDefault="005410D3" w:rsidP="005410D3">
      <w:pPr>
        <w:pStyle w:val="Default"/>
        <w:rPr>
          <w:rFonts w:ascii="Verdana" w:eastAsia="Verdana" w:hAnsi="Verdana" w:cs="Verdana"/>
          <w:sz w:val="22"/>
          <w:szCs w:val="22"/>
        </w:rPr>
      </w:pPr>
    </w:p>
    <w:p w:rsidR="00C256BE" w:rsidRPr="002C268F" w:rsidRDefault="00C256BE" w:rsidP="00C256BE">
      <w:pPr>
        <w:pStyle w:val="DPDIntro"/>
        <w:widowControl w:val="0"/>
        <w:rPr>
          <w:b w:val="0"/>
          <w:i/>
        </w:rPr>
      </w:pPr>
      <w:r w:rsidRPr="002C268F">
        <w:rPr>
          <w:b w:val="0"/>
          <w:i/>
        </w:rPr>
        <w:t>Infrastructure planning evidence</w:t>
      </w:r>
    </w:p>
    <w:p w:rsidR="000C2DC3" w:rsidRDefault="00C256BE" w:rsidP="0092488C">
      <w:pPr>
        <w:pStyle w:val="DPDIntro"/>
        <w:widowControl w:val="0"/>
        <w:numPr>
          <w:ilvl w:val="0"/>
          <w:numId w:val="36"/>
        </w:numPr>
        <w:rPr>
          <w:b w:val="0"/>
        </w:rPr>
      </w:pPr>
      <w:r w:rsidRPr="00A86E76">
        <w:rPr>
          <w:b w:val="0"/>
        </w:rPr>
        <w:t xml:space="preserve">The </w:t>
      </w:r>
      <w:r w:rsidR="00A86E76" w:rsidRPr="00A86E76">
        <w:rPr>
          <w:b w:val="0"/>
        </w:rPr>
        <w:t xml:space="preserve">adopted Torbay Local Plan </w:t>
      </w:r>
      <w:r w:rsidRPr="00A86E76">
        <w:rPr>
          <w:b w:val="0"/>
        </w:rPr>
        <w:t xml:space="preserve">sets out the main elements of growth that will need to be supported by further infrastructure in </w:t>
      </w:r>
      <w:r w:rsidR="00A86E76" w:rsidRPr="00A86E76">
        <w:rPr>
          <w:b w:val="0"/>
        </w:rPr>
        <w:t>Torbay</w:t>
      </w:r>
      <w:r w:rsidR="00CB5339">
        <w:rPr>
          <w:b w:val="0"/>
        </w:rPr>
        <w:t xml:space="preserve">.  </w:t>
      </w:r>
      <w:r w:rsidR="00F5069C">
        <w:rPr>
          <w:b w:val="0"/>
        </w:rPr>
        <w:t>An</w:t>
      </w:r>
      <w:r w:rsidR="00CB5339">
        <w:rPr>
          <w:b w:val="0"/>
        </w:rPr>
        <w:t xml:space="preserve"> Infrastructure Delivery Study undertaken by PBA in 2011 identified a total infrastructure funding gap of £160 million of which £52 million was considered critical to the delivery of the Council’s proposed strategy.  The critical infrastructure included flood alleviation measures in Brixham and Torquay, the South Devon Link Road, improvements to the Torquay Ring Road/Western Corridor, a new trunk sewer between West Paignton and Brokenbury and an upgrading of the </w:t>
      </w:r>
      <w:proofErr w:type="spellStart"/>
      <w:r w:rsidR="00CB5339">
        <w:rPr>
          <w:b w:val="0"/>
        </w:rPr>
        <w:t>Bucklands</w:t>
      </w:r>
      <w:proofErr w:type="spellEnd"/>
      <w:r w:rsidR="00CB5339">
        <w:rPr>
          <w:b w:val="0"/>
        </w:rPr>
        <w:t xml:space="preserve"> Sewage Treatment Works.  For the years 2016/17 </w:t>
      </w:r>
      <w:r w:rsidR="000C2DC3">
        <w:rPr>
          <w:b w:val="0"/>
        </w:rPr>
        <w:t>–</w:t>
      </w:r>
      <w:r w:rsidR="00CB5339">
        <w:rPr>
          <w:b w:val="0"/>
        </w:rPr>
        <w:t xml:space="preserve"> </w:t>
      </w:r>
      <w:r w:rsidR="000C2DC3">
        <w:rPr>
          <w:b w:val="0"/>
        </w:rPr>
        <w:t xml:space="preserve">2019/20 the proposed capital spending is £128 million of which £47.8 million is currently funded. </w:t>
      </w:r>
      <w:r w:rsidR="00CB5339">
        <w:rPr>
          <w:b w:val="0"/>
        </w:rPr>
        <w:t xml:space="preserve"> </w:t>
      </w:r>
    </w:p>
    <w:p w:rsidR="00AA469E" w:rsidRDefault="000C2DC3" w:rsidP="0092488C">
      <w:pPr>
        <w:pStyle w:val="DPDIntro"/>
        <w:widowControl w:val="0"/>
        <w:numPr>
          <w:ilvl w:val="0"/>
          <w:numId w:val="36"/>
        </w:numPr>
        <w:rPr>
          <w:b w:val="0"/>
        </w:rPr>
      </w:pPr>
      <w:r>
        <w:rPr>
          <w:b w:val="0"/>
        </w:rPr>
        <w:t xml:space="preserve">It is clear that </w:t>
      </w:r>
      <w:r w:rsidR="00FC2FBF">
        <w:rPr>
          <w:b w:val="0"/>
        </w:rPr>
        <w:t xml:space="preserve">overall </w:t>
      </w:r>
      <w:r>
        <w:rPr>
          <w:b w:val="0"/>
        </w:rPr>
        <w:t>there is a significant funding gap.  The Council</w:t>
      </w:r>
      <w:r w:rsidR="00FC2FBF">
        <w:rPr>
          <w:b w:val="0"/>
        </w:rPr>
        <w:t xml:space="preserve">, in its Regulation 123 list, </w:t>
      </w:r>
      <w:r>
        <w:rPr>
          <w:b w:val="0"/>
        </w:rPr>
        <w:t xml:space="preserve">is seeking to only use CIL funds for two </w:t>
      </w:r>
      <w:r w:rsidR="00FC2FBF">
        <w:rPr>
          <w:b w:val="0"/>
        </w:rPr>
        <w:t xml:space="preserve">infrastructure </w:t>
      </w:r>
      <w:r>
        <w:rPr>
          <w:b w:val="0"/>
        </w:rPr>
        <w:t xml:space="preserve">elements </w:t>
      </w:r>
      <w:r w:rsidR="00FC2FBF">
        <w:rPr>
          <w:b w:val="0"/>
        </w:rPr>
        <w:t>-</w:t>
      </w:r>
      <w:r>
        <w:rPr>
          <w:b w:val="0"/>
        </w:rPr>
        <w:t xml:space="preserve"> the South Devon Link Road and </w:t>
      </w:r>
      <w:r w:rsidR="00FC2FBF">
        <w:rPr>
          <w:b w:val="0"/>
        </w:rPr>
        <w:t xml:space="preserve">measures to protect the limestone grassland at Berry Head for recreational purposes as agreed with Natural England.  Some of the representations challenge the Council’s Regulation 123 list on the grounds that the Link Road has already been built and funded.  </w:t>
      </w:r>
      <w:r w:rsidR="00F5069C">
        <w:rPr>
          <w:b w:val="0"/>
        </w:rPr>
        <w:t>T</w:t>
      </w:r>
      <w:r w:rsidR="00FC2FBF">
        <w:rPr>
          <w:b w:val="0"/>
        </w:rPr>
        <w:t>he regulations allow the Council to amend the list at any time and the contents of the list are not a matter for this examination.  For this examination</w:t>
      </w:r>
      <w:r w:rsidR="0032377E">
        <w:rPr>
          <w:b w:val="0"/>
        </w:rPr>
        <w:t>,</w:t>
      </w:r>
      <w:r w:rsidR="00FC2FBF">
        <w:rPr>
          <w:b w:val="0"/>
        </w:rPr>
        <w:t xml:space="preserve"> the only relevant consideration is whether the list demonstrates a funding gap that justifies a CIL charge.  The regulations allow the Council to repay expenditure that has already been incurred but not to pay the interest on money raised through loans</w:t>
      </w:r>
      <w:r w:rsidR="00AA469E">
        <w:rPr>
          <w:b w:val="0"/>
        </w:rPr>
        <w:t>.</w:t>
      </w:r>
    </w:p>
    <w:p w:rsidR="00C256BE" w:rsidRPr="00A86E76" w:rsidRDefault="007024F0" w:rsidP="0092488C">
      <w:pPr>
        <w:pStyle w:val="DPDIntro"/>
        <w:widowControl w:val="0"/>
        <w:numPr>
          <w:ilvl w:val="0"/>
          <w:numId w:val="36"/>
        </w:numPr>
        <w:rPr>
          <w:b w:val="0"/>
        </w:rPr>
      </w:pPr>
      <w:r>
        <w:rPr>
          <w:b w:val="0"/>
        </w:rPr>
        <w:t>There is no doubt that the Link Road is a critical piece of infrastructure and the Council is required to still pay £20.2 million towards the cost of construction.  The Council expects some £18 million of this sum to be funded by borrowing (thus far £12.7 million has been borrowed) but the intention is to use most of the CIL receipts to repay part of the expenditure that has already occurred or will be incurred.  Consequently</w:t>
      </w:r>
      <w:r w:rsidR="00BF7ED4">
        <w:rPr>
          <w:b w:val="0"/>
        </w:rPr>
        <w:t>,</w:t>
      </w:r>
      <w:r>
        <w:rPr>
          <w:b w:val="0"/>
        </w:rPr>
        <w:t xml:space="preserve"> it is accepted that the Council is able to demonstrate a funding gap in relation to infrastructure expenditure </w:t>
      </w:r>
      <w:r w:rsidR="0020441F">
        <w:rPr>
          <w:b w:val="0"/>
        </w:rPr>
        <w:t>a</w:t>
      </w:r>
      <w:r>
        <w:rPr>
          <w:b w:val="0"/>
        </w:rPr>
        <w:t xml:space="preserve">lready incurred.  In any event if the Council chooses to revise the </w:t>
      </w:r>
      <w:r w:rsidR="008A1406">
        <w:rPr>
          <w:b w:val="0"/>
        </w:rPr>
        <w:t>R</w:t>
      </w:r>
      <w:r>
        <w:rPr>
          <w:b w:val="0"/>
        </w:rPr>
        <w:t xml:space="preserve">egulation 123 list there is a substantial list of other critical pieces of infrastructure that have yet to be funded.  </w:t>
      </w:r>
      <w:r w:rsidR="00C256BE" w:rsidRPr="00A86E76">
        <w:rPr>
          <w:b w:val="0"/>
        </w:rPr>
        <w:t>In the light of the information provided, the</w:t>
      </w:r>
      <w:r w:rsidR="00AA469E">
        <w:rPr>
          <w:b w:val="0"/>
        </w:rPr>
        <w:t xml:space="preserve">re is a specific funding gap in relation to the Link Road and significant funding gaps for other infrastructure.  The </w:t>
      </w:r>
      <w:r w:rsidR="00C256BE" w:rsidRPr="00A86E76">
        <w:rPr>
          <w:b w:val="0"/>
        </w:rPr>
        <w:t xml:space="preserve">proposed charge would make </w:t>
      </w:r>
      <w:r w:rsidR="00AA469E">
        <w:rPr>
          <w:b w:val="0"/>
        </w:rPr>
        <w:t xml:space="preserve">an important if modest </w:t>
      </w:r>
      <w:r w:rsidR="00C256BE" w:rsidRPr="00A86E76">
        <w:rPr>
          <w:b w:val="0"/>
        </w:rPr>
        <w:t>contribution towards filling the likely funding gap</w:t>
      </w:r>
      <w:r w:rsidR="00AA469E">
        <w:rPr>
          <w:b w:val="0"/>
        </w:rPr>
        <w:t xml:space="preserve"> or gaps.</w:t>
      </w:r>
      <w:r w:rsidR="00C256BE" w:rsidRPr="00A86E76">
        <w:rPr>
          <w:b w:val="0"/>
        </w:rPr>
        <w:t xml:space="preserve">   The figures demonstrate the </w:t>
      </w:r>
      <w:r w:rsidR="0020441F">
        <w:rPr>
          <w:b w:val="0"/>
        </w:rPr>
        <w:t xml:space="preserve">justification for a </w:t>
      </w:r>
      <w:r w:rsidR="00C256BE" w:rsidRPr="00A86E76">
        <w:rPr>
          <w:b w:val="0"/>
        </w:rPr>
        <w:t>CIL.</w:t>
      </w:r>
    </w:p>
    <w:p w:rsidR="00C256BE" w:rsidRPr="002C268F" w:rsidRDefault="00C256BE" w:rsidP="00C256BE">
      <w:pPr>
        <w:pStyle w:val="DPDIntro"/>
        <w:widowControl w:val="0"/>
        <w:rPr>
          <w:b w:val="0"/>
          <w:i/>
        </w:rPr>
      </w:pPr>
      <w:r w:rsidRPr="002C268F">
        <w:rPr>
          <w:b w:val="0"/>
          <w:i/>
        </w:rPr>
        <w:t xml:space="preserve">Economic viability evidence    </w:t>
      </w:r>
    </w:p>
    <w:p w:rsidR="00C256BE" w:rsidRPr="00520373" w:rsidRDefault="00C256BE" w:rsidP="004A4775">
      <w:pPr>
        <w:pStyle w:val="DPDIntro"/>
        <w:widowControl w:val="0"/>
        <w:numPr>
          <w:ilvl w:val="0"/>
          <w:numId w:val="36"/>
        </w:numPr>
        <w:rPr>
          <w:b w:val="0"/>
          <w:i/>
          <w:color w:val="0000FF"/>
          <w:highlight w:val="lightGray"/>
        </w:rPr>
      </w:pPr>
      <w:r>
        <w:rPr>
          <w:b w:val="0"/>
        </w:rPr>
        <w:t xml:space="preserve">The CIL Viability </w:t>
      </w:r>
      <w:r w:rsidR="008905DF">
        <w:rPr>
          <w:b w:val="0"/>
        </w:rPr>
        <w:t>Study</w:t>
      </w:r>
      <w:r>
        <w:rPr>
          <w:b w:val="0"/>
        </w:rPr>
        <w:t xml:space="preserve">, dated </w:t>
      </w:r>
      <w:r w:rsidR="008905DF">
        <w:rPr>
          <w:b w:val="0"/>
        </w:rPr>
        <w:t xml:space="preserve">January 2016 by PBA </w:t>
      </w:r>
      <w:r>
        <w:rPr>
          <w:b w:val="0"/>
        </w:rPr>
        <w:t xml:space="preserve">uses </w:t>
      </w:r>
      <w:r w:rsidRPr="008905DF">
        <w:rPr>
          <w:b w:val="0"/>
        </w:rPr>
        <w:t>a</w:t>
      </w:r>
      <w:r w:rsidR="008905DF">
        <w:rPr>
          <w:b w:val="0"/>
        </w:rPr>
        <w:t xml:space="preserve"> conventional residual valuation approach.  </w:t>
      </w:r>
      <w:r w:rsidR="00390BC3">
        <w:rPr>
          <w:b w:val="0"/>
        </w:rPr>
        <w:t>For residential development</w:t>
      </w:r>
      <w:r w:rsidR="00BF7ED4">
        <w:rPr>
          <w:b w:val="0"/>
        </w:rPr>
        <w:t>,</w:t>
      </w:r>
      <w:r w:rsidR="00390BC3">
        <w:rPr>
          <w:b w:val="0"/>
        </w:rPr>
        <w:t xml:space="preserve"> the </w:t>
      </w:r>
      <w:r w:rsidR="008905DF">
        <w:rPr>
          <w:b w:val="0"/>
        </w:rPr>
        <w:t>approach taken is to use a list of hypothetical developments that are likely to be brought forward in the a</w:t>
      </w:r>
      <w:r w:rsidR="00BF7ED4">
        <w:rPr>
          <w:b w:val="0"/>
        </w:rPr>
        <w:t>rea.  The study involved twenty-</w:t>
      </w:r>
      <w:r w:rsidR="008905DF">
        <w:rPr>
          <w:b w:val="0"/>
        </w:rPr>
        <w:t>five different types of development located in a variety of locations in Torbay</w:t>
      </w:r>
      <w:r w:rsidR="0020441F">
        <w:rPr>
          <w:b w:val="0"/>
        </w:rPr>
        <w:t>,</w:t>
      </w:r>
      <w:r w:rsidR="008905DF">
        <w:rPr>
          <w:b w:val="0"/>
        </w:rPr>
        <w:t xml:space="preserve"> including the future growth areas as defined in the Local Plan.</w:t>
      </w:r>
      <w:r w:rsidR="00F34EA2">
        <w:rPr>
          <w:b w:val="0"/>
        </w:rPr>
        <w:t xml:space="preserve">  There has been some criticism of the viability assessment on the grounds that it has not taken into account sufficient local market data.  However</w:t>
      </w:r>
      <w:r w:rsidR="00BF7ED4">
        <w:rPr>
          <w:b w:val="0"/>
        </w:rPr>
        <w:t>,</w:t>
      </w:r>
      <w:r w:rsidR="00F34EA2">
        <w:rPr>
          <w:b w:val="0"/>
        </w:rPr>
        <w:t xml:space="preserve"> it is noted that in many instances there was relatively little market information available at the time when the study was done.  Consequently</w:t>
      </w:r>
      <w:r w:rsidR="00BF7ED4">
        <w:rPr>
          <w:b w:val="0"/>
        </w:rPr>
        <w:t>,</w:t>
      </w:r>
      <w:r w:rsidR="00F34EA2">
        <w:rPr>
          <w:b w:val="0"/>
        </w:rPr>
        <w:t xml:space="preserve"> it is considered that the use of hypothetical examples was justified.     </w:t>
      </w:r>
      <w:r w:rsidR="008905DF">
        <w:rPr>
          <w:b w:val="0"/>
        </w:rPr>
        <w:t xml:space="preserve">  </w:t>
      </w:r>
    </w:p>
    <w:p w:rsidR="0025612C" w:rsidRDefault="00187255" w:rsidP="004A4775">
      <w:pPr>
        <w:pStyle w:val="DPDIntro"/>
        <w:widowControl w:val="0"/>
        <w:numPr>
          <w:ilvl w:val="0"/>
          <w:numId w:val="36"/>
        </w:numPr>
        <w:rPr>
          <w:b w:val="0"/>
        </w:rPr>
      </w:pPr>
      <w:r>
        <w:rPr>
          <w:b w:val="0"/>
        </w:rPr>
        <w:t xml:space="preserve">Residual valuations depend on </w:t>
      </w:r>
      <w:r w:rsidR="002A54EB">
        <w:rPr>
          <w:b w:val="0"/>
        </w:rPr>
        <w:t xml:space="preserve">a variety of inputs and </w:t>
      </w:r>
      <w:r>
        <w:rPr>
          <w:b w:val="0"/>
        </w:rPr>
        <w:t>assumptions.</w:t>
      </w:r>
      <w:r w:rsidR="002A54EB">
        <w:rPr>
          <w:b w:val="0"/>
        </w:rPr>
        <w:t xml:space="preserve">  The PBA work takes into account the Council’s affordable housing policy, site coverage and housing density, saleable floorspace, accessible and adaptable building requirements, sales values, build costs and a range of other standard development costs.  The assessments assume a profit of 20% on site Gross Development Value </w:t>
      </w:r>
      <w:r w:rsidR="00390BC3">
        <w:rPr>
          <w:b w:val="0"/>
        </w:rPr>
        <w:t xml:space="preserve">for market housing and 6% for affordable housing on a nil grant basis.  To test viability </w:t>
      </w:r>
      <w:r w:rsidR="002D6934">
        <w:rPr>
          <w:b w:val="0"/>
        </w:rPr>
        <w:t xml:space="preserve">and the scope for a CIL charge </w:t>
      </w:r>
      <w:r w:rsidR="00390BC3">
        <w:rPr>
          <w:b w:val="0"/>
        </w:rPr>
        <w:t>the residual values are compared with a benchmark value which reflects a competitive return for the landowner.</w:t>
      </w:r>
      <w:r w:rsidR="0025612C">
        <w:rPr>
          <w:b w:val="0"/>
        </w:rPr>
        <w:t xml:space="preserve"> </w:t>
      </w:r>
      <w:r w:rsidR="00390BC3">
        <w:rPr>
          <w:b w:val="0"/>
        </w:rPr>
        <w:t xml:space="preserve"> </w:t>
      </w:r>
    </w:p>
    <w:p w:rsidR="007E0C40" w:rsidRDefault="0025612C" w:rsidP="004A4775">
      <w:pPr>
        <w:pStyle w:val="DPDIntro"/>
        <w:widowControl w:val="0"/>
        <w:numPr>
          <w:ilvl w:val="0"/>
          <w:numId w:val="36"/>
        </w:numPr>
        <w:rPr>
          <w:b w:val="0"/>
        </w:rPr>
      </w:pPr>
      <w:r>
        <w:rPr>
          <w:b w:val="0"/>
        </w:rPr>
        <w:t>In August 2016</w:t>
      </w:r>
      <w:r w:rsidR="0032377E">
        <w:rPr>
          <w:b w:val="0"/>
        </w:rPr>
        <w:t>,</w:t>
      </w:r>
      <w:r>
        <w:rPr>
          <w:b w:val="0"/>
        </w:rPr>
        <w:t xml:space="preserve"> the PBA viability work was updated in an addendum report prepared by </w:t>
      </w:r>
      <w:r w:rsidR="0020441F">
        <w:rPr>
          <w:b w:val="0"/>
        </w:rPr>
        <w:t>B-H</w:t>
      </w:r>
      <w:r>
        <w:rPr>
          <w:b w:val="0"/>
        </w:rPr>
        <w:t xml:space="preserve">.  Working with </w:t>
      </w:r>
      <w:proofErr w:type="spellStart"/>
      <w:r>
        <w:rPr>
          <w:b w:val="0"/>
        </w:rPr>
        <w:t>Novahomes</w:t>
      </w:r>
      <w:proofErr w:type="spellEnd"/>
      <w:r>
        <w:rPr>
          <w:b w:val="0"/>
        </w:rPr>
        <w:t xml:space="preserve">, a local </w:t>
      </w:r>
      <w:r w:rsidR="00B442C0">
        <w:rPr>
          <w:b w:val="0"/>
        </w:rPr>
        <w:t>firm</w:t>
      </w:r>
      <w:r>
        <w:rPr>
          <w:b w:val="0"/>
        </w:rPr>
        <w:t xml:space="preserve">, this work took into account the most recent sales on new build sites.  </w:t>
      </w:r>
      <w:r w:rsidR="00B442C0">
        <w:rPr>
          <w:b w:val="0"/>
        </w:rPr>
        <w:t>T</w:t>
      </w:r>
      <w:r>
        <w:rPr>
          <w:b w:val="0"/>
        </w:rPr>
        <w:t>here were gaps in the data as some areas within Torbay do not have current residential projects</w:t>
      </w:r>
      <w:r w:rsidR="00B442C0">
        <w:rPr>
          <w:b w:val="0"/>
        </w:rPr>
        <w:t xml:space="preserve">. </w:t>
      </w:r>
      <w:r>
        <w:rPr>
          <w:b w:val="0"/>
        </w:rPr>
        <w:t xml:space="preserve"> B-H </w:t>
      </w:r>
      <w:r w:rsidR="00B442C0">
        <w:rPr>
          <w:b w:val="0"/>
        </w:rPr>
        <w:t xml:space="preserve">sought to address this by </w:t>
      </w:r>
      <w:r>
        <w:rPr>
          <w:b w:val="0"/>
        </w:rPr>
        <w:t>work</w:t>
      </w:r>
      <w:r w:rsidR="00B442C0">
        <w:rPr>
          <w:b w:val="0"/>
        </w:rPr>
        <w:t>ing</w:t>
      </w:r>
      <w:r>
        <w:rPr>
          <w:b w:val="0"/>
        </w:rPr>
        <w:t xml:space="preserve"> with PBA to update the UK Land Registry data used by PBA</w:t>
      </w:r>
      <w:r w:rsidR="002D6934">
        <w:rPr>
          <w:b w:val="0"/>
        </w:rPr>
        <w:t>.  PBA were asked to re-run their January</w:t>
      </w:r>
      <w:r w:rsidR="0020441F">
        <w:rPr>
          <w:b w:val="0"/>
        </w:rPr>
        <w:t xml:space="preserve"> 2016</w:t>
      </w:r>
      <w:r w:rsidR="002D6934">
        <w:rPr>
          <w:b w:val="0"/>
        </w:rPr>
        <w:t xml:space="preserve"> appraisals using the updated market values.  </w:t>
      </w:r>
      <w:r w:rsidR="001126DB">
        <w:rPr>
          <w:b w:val="0"/>
        </w:rPr>
        <w:t>A</w:t>
      </w:r>
      <w:r w:rsidR="002D6934">
        <w:rPr>
          <w:b w:val="0"/>
        </w:rPr>
        <w:t xml:space="preserve">n eight dwelling typology was introduced in the 4- 14 category </w:t>
      </w:r>
      <w:r w:rsidR="001126DB">
        <w:rPr>
          <w:b w:val="0"/>
        </w:rPr>
        <w:t>in place of the</w:t>
      </w:r>
      <w:r w:rsidR="002D6934">
        <w:rPr>
          <w:b w:val="0"/>
        </w:rPr>
        <w:t xml:space="preserve"> four dwelling typology used by PBA as </w:t>
      </w:r>
      <w:r w:rsidR="001126DB">
        <w:rPr>
          <w:b w:val="0"/>
        </w:rPr>
        <w:t xml:space="preserve">it was felt that a more central typology would be more representative. </w:t>
      </w:r>
      <w:r w:rsidR="002D6934">
        <w:rPr>
          <w:b w:val="0"/>
        </w:rPr>
        <w:t xml:space="preserve">  </w:t>
      </w:r>
      <w:r w:rsidR="00DA62E2">
        <w:rPr>
          <w:b w:val="0"/>
        </w:rPr>
        <w:t>In addition</w:t>
      </w:r>
      <w:r w:rsidR="00BF7ED4">
        <w:rPr>
          <w:b w:val="0"/>
        </w:rPr>
        <w:t>,</w:t>
      </w:r>
      <w:r w:rsidR="00DA62E2">
        <w:rPr>
          <w:b w:val="0"/>
        </w:rPr>
        <w:t xml:space="preserve"> B-H reviewed the Charging Zone boundaries which resulted in minor changes to the boundaries between Zones 1 and 2.  B-H</w:t>
      </w:r>
      <w:r w:rsidR="0020441F">
        <w:rPr>
          <w:b w:val="0"/>
        </w:rPr>
        <w:t xml:space="preserve"> </w:t>
      </w:r>
      <w:r w:rsidR="00DA62E2">
        <w:rPr>
          <w:b w:val="0"/>
        </w:rPr>
        <w:t>also recommended how the Council should proceed should a development site fall in more than one Charging Zone.</w:t>
      </w:r>
    </w:p>
    <w:p w:rsidR="006D0D0F" w:rsidRDefault="007E0C40" w:rsidP="004A4775">
      <w:pPr>
        <w:pStyle w:val="DPDIntro"/>
        <w:widowControl w:val="0"/>
        <w:numPr>
          <w:ilvl w:val="0"/>
          <w:numId w:val="36"/>
        </w:numPr>
        <w:rPr>
          <w:b w:val="0"/>
        </w:rPr>
      </w:pPr>
      <w:r>
        <w:rPr>
          <w:b w:val="0"/>
        </w:rPr>
        <w:t xml:space="preserve">There are criticisms from a number of </w:t>
      </w:r>
      <w:proofErr w:type="spellStart"/>
      <w:r>
        <w:rPr>
          <w:b w:val="0"/>
        </w:rPr>
        <w:t>representors</w:t>
      </w:r>
      <w:proofErr w:type="spellEnd"/>
      <w:r>
        <w:rPr>
          <w:b w:val="0"/>
        </w:rPr>
        <w:t xml:space="preserve"> to some of the assumptions made.  The small sample size for sales values is challenged but it should be noted that the Council is entitled to </w:t>
      </w:r>
      <w:r w:rsidR="0020441F">
        <w:rPr>
          <w:b w:val="0"/>
        </w:rPr>
        <w:t xml:space="preserve">take a proportionate approach and </w:t>
      </w:r>
      <w:r>
        <w:rPr>
          <w:b w:val="0"/>
        </w:rPr>
        <w:t>rely on available evidence.  Furthermore</w:t>
      </w:r>
      <w:r w:rsidR="00BF7ED4">
        <w:rPr>
          <w:b w:val="0"/>
        </w:rPr>
        <w:t>,</w:t>
      </w:r>
      <w:r>
        <w:rPr>
          <w:b w:val="0"/>
        </w:rPr>
        <w:t xml:space="preserve"> the PBA sales evidence has been supplemented by later work done by B-H.</w:t>
      </w:r>
      <w:r w:rsidR="00EC2043">
        <w:rPr>
          <w:b w:val="0"/>
        </w:rPr>
        <w:t xml:space="preserve">  </w:t>
      </w:r>
      <w:r w:rsidR="006D0D0F">
        <w:rPr>
          <w:b w:val="0"/>
        </w:rPr>
        <w:t>Other criticisms relate to development cost assumptions including t</w:t>
      </w:r>
      <w:r w:rsidR="00EC2043">
        <w:rPr>
          <w:b w:val="0"/>
        </w:rPr>
        <w:t>he allowance of 10% for external works (rather than 15%) and the absence of an allowance for abnormal costs</w:t>
      </w:r>
      <w:r w:rsidR="00F90792">
        <w:rPr>
          <w:b w:val="0"/>
        </w:rPr>
        <w:t>.</w:t>
      </w:r>
      <w:r w:rsidR="00EC2043">
        <w:rPr>
          <w:b w:val="0"/>
        </w:rPr>
        <w:t xml:space="preserve">  </w:t>
      </w:r>
      <w:r w:rsidR="0020441F">
        <w:rPr>
          <w:b w:val="0"/>
        </w:rPr>
        <w:t>B-H for t</w:t>
      </w:r>
      <w:r w:rsidR="00EC2043">
        <w:rPr>
          <w:b w:val="0"/>
        </w:rPr>
        <w:t xml:space="preserve">he Council counters these points by noting that PBA </w:t>
      </w:r>
      <w:r w:rsidR="0020441F">
        <w:rPr>
          <w:b w:val="0"/>
        </w:rPr>
        <w:t xml:space="preserve">took these sorts of factors into account by </w:t>
      </w:r>
      <w:r w:rsidR="006D0D0F">
        <w:rPr>
          <w:b w:val="0"/>
        </w:rPr>
        <w:t>increas</w:t>
      </w:r>
      <w:r w:rsidR="0020441F">
        <w:rPr>
          <w:b w:val="0"/>
        </w:rPr>
        <w:t>ing</w:t>
      </w:r>
      <w:r w:rsidR="006D0D0F">
        <w:rPr>
          <w:b w:val="0"/>
        </w:rPr>
        <w:t xml:space="preserve"> build costs for brownfield sites by £200,000 per net hectare and by an allowance of between £5,000 and £17,000</w:t>
      </w:r>
      <w:r w:rsidR="00EC2043">
        <w:rPr>
          <w:b w:val="0"/>
        </w:rPr>
        <w:t xml:space="preserve"> </w:t>
      </w:r>
      <w:r w:rsidR="006D0D0F">
        <w:rPr>
          <w:b w:val="0"/>
        </w:rPr>
        <w:t>per unit depending on the size of the development.</w:t>
      </w:r>
    </w:p>
    <w:p w:rsidR="00B3537F" w:rsidRDefault="006D0D0F" w:rsidP="004A4775">
      <w:pPr>
        <w:pStyle w:val="DPDIntro"/>
        <w:widowControl w:val="0"/>
        <w:numPr>
          <w:ilvl w:val="0"/>
          <w:numId w:val="36"/>
        </w:numPr>
        <w:rPr>
          <w:b w:val="0"/>
        </w:rPr>
      </w:pPr>
      <w:r>
        <w:rPr>
          <w:b w:val="0"/>
        </w:rPr>
        <w:t xml:space="preserve">Another criticism made by several </w:t>
      </w:r>
      <w:r w:rsidR="00F90792">
        <w:rPr>
          <w:b w:val="0"/>
        </w:rPr>
        <w:t>respondents is the intended relationship between CIL and S106 costs.</w:t>
      </w:r>
      <w:r w:rsidR="00B04222">
        <w:rPr>
          <w:b w:val="0"/>
        </w:rPr>
        <w:t xml:space="preserve">  The Council is in the process of clarifying the position through the production of a Supplementary Planning Document (SPD) dealing with planning obligations and affordable housing.  The SPD was published for consultation in September 2016 and is currently being revised in the light of the consultation.  The Council’s approach is broadly to impose the CIL </w:t>
      </w:r>
      <w:r w:rsidR="00C2339D">
        <w:rPr>
          <w:b w:val="0"/>
        </w:rPr>
        <w:t xml:space="preserve">on smaller developments but to </w:t>
      </w:r>
      <w:r w:rsidR="0020441F">
        <w:rPr>
          <w:b w:val="0"/>
        </w:rPr>
        <w:t xml:space="preserve">rely solely on </w:t>
      </w:r>
      <w:r w:rsidR="00B3537F">
        <w:rPr>
          <w:b w:val="0"/>
        </w:rPr>
        <w:t>S</w:t>
      </w:r>
      <w:r w:rsidR="00C2339D">
        <w:rPr>
          <w:b w:val="0"/>
        </w:rPr>
        <w:t>106 payments on large developments</w:t>
      </w:r>
      <w:r w:rsidR="00B3537F">
        <w:rPr>
          <w:b w:val="0"/>
        </w:rPr>
        <w:t xml:space="preserve"> in the identified Future Growth Areas.</w:t>
      </w:r>
      <w:r w:rsidR="00C2339D">
        <w:rPr>
          <w:b w:val="0"/>
        </w:rPr>
        <w:t xml:space="preserve">  </w:t>
      </w:r>
      <w:r w:rsidR="00B3537F">
        <w:rPr>
          <w:b w:val="0"/>
        </w:rPr>
        <w:t xml:space="preserve">Under the current proposals large sites </w:t>
      </w:r>
      <w:r w:rsidR="0020441F">
        <w:rPr>
          <w:b w:val="0"/>
        </w:rPr>
        <w:t>in Zone 3</w:t>
      </w:r>
      <w:r w:rsidR="00B3537F">
        <w:rPr>
          <w:b w:val="0"/>
        </w:rPr>
        <w:t xml:space="preserve"> would be subject to a £140 charge.  However</w:t>
      </w:r>
      <w:r w:rsidR="00BF7ED4">
        <w:rPr>
          <w:b w:val="0"/>
        </w:rPr>
        <w:t>,</w:t>
      </w:r>
      <w:r w:rsidR="00B3537F">
        <w:rPr>
          <w:b w:val="0"/>
        </w:rPr>
        <w:t xml:space="preserve"> the Council has stated that it would not object to a modification that strategic sites of more than 30 dwellings outside the Future Growth Areas should be treated in the same way as large sites within the Future Growth Areas.</w:t>
      </w:r>
    </w:p>
    <w:p w:rsidR="00C8488A" w:rsidRDefault="0020441F" w:rsidP="004A4775">
      <w:pPr>
        <w:pStyle w:val="DPDIntro"/>
        <w:widowControl w:val="0"/>
        <w:numPr>
          <w:ilvl w:val="0"/>
          <w:numId w:val="36"/>
        </w:numPr>
        <w:rPr>
          <w:b w:val="0"/>
        </w:rPr>
      </w:pPr>
      <w:r>
        <w:rPr>
          <w:b w:val="0"/>
        </w:rPr>
        <w:t>T</w:t>
      </w:r>
      <w:r w:rsidR="00C2339D">
        <w:rPr>
          <w:b w:val="0"/>
        </w:rPr>
        <w:t xml:space="preserve">he SPD is to be revised </w:t>
      </w:r>
      <w:r>
        <w:rPr>
          <w:b w:val="0"/>
        </w:rPr>
        <w:t xml:space="preserve">by the Council </w:t>
      </w:r>
      <w:r w:rsidR="00C2339D">
        <w:rPr>
          <w:b w:val="0"/>
        </w:rPr>
        <w:t xml:space="preserve">to rectify an error in the current document which states that CIL will not be sought where affordable housing is provided and vice versa.  There may be occasions when affordable housing </w:t>
      </w:r>
      <w:r w:rsidR="00177371">
        <w:rPr>
          <w:b w:val="0"/>
        </w:rPr>
        <w:t>will be</w:t>
      </w:r>
      <w:r w:rsidR="00C2339D">
        <w:rPr>
          <w:b w:val="0"/>
        </w:rPr>
        <w:t xml:space="preserve"> sought on developments liable for CIL but the Council believes this will </w:t>
      </w:r>
      <w:r w:rsidR="00177371">
        <w:rPr>
          <w:b w:val="0"/>
        </w:rPr>
        <w:t>only occur in a limited number of cases.  Experience from the recent past indicates that this view can be substantiated.  Since 2012 only 17 sites would have been liable for both CIL and S106 had a CIL regime been in place in 2012</w:t>
      </w:r>
      <w:r w:rsidR="00B442C0">
        <w:rPr>
          <w:b w:val="0"/>
        </w:rPr>
        <w:t>.  O</w:t>
      </w:r>
      <w:r w:rsidR="00177371">
        <w:rPr>
          <w:b w:val="0"/>
        </w:rPr>
        <w:t>f these</w:t>
      </w:r>
      <w:r w:rsidR="008A1406">
        <w:rPr>
          <w:b w:val="0"/>
        </w:rPr>
        <w:t>,</w:t>
      </w:r>
      <w:r w:rsidR="00177371">
        <w:rPr>
          <w:b w:val="0"/>
        </w:rPr>
        <w:t xml:space="preserve"> 7 sites would </w:t>
      </w:r>
      <w:r w:rsidR="00B3537F">
        <w:rPr>
          <w:b w:val="0"/>
        </w:rPr>
        <w:t xml:space="preserve">have a zero </w:t>
      </w:r>
      <w:r w:rsidR="00177371">
        <w:rPr>
          <w:b w:val="0"/>
        </w:rPr>
        <w:t xml:space="preserve">CIL </w:t>
      </w:r>
      <w:r w:rsidR="00B3537F">
        <w:rPr>
          <w:b w:val="0"/>
        </w:rPr>
        <w:t xml:space="preserve">if they are treated as </w:t>
      </w:r>
      <w:r w:rsidR="00177371">
        <w:rPr>
          <w:b w:val="0"/>
        </w:rPr>
        <w:t xml:space="preserve">strategic sites </w:t>
      </w:r>
      <w:r w:rsidR="00B3537F">
        <w:rPr>
          <w:b w:val="0"/>
        </w:rPr>
        <w:t xml:space="preserve">which would only be subject to </w:t>
      </w:r>
      <w:r>
        <w:rPr>
          <w:b w:val="0"/>
        </w:rPr>
        <w:t>S</w:t>
      </w:r>
      <w:r w:rsidR="00B3537F">
        <w:rPr>
          <w:b w:val="0"/>
        </w:rPr>
        <w:t>106 agre</w:t>
      </w:r>
      <w:r w:rsidR="00C11A32">
        <w:rPr>
          <w:b w:val="0"/>
        </w:rPr>
        <w:t>e</w:t>
      </w:r>
      <w:r w:rsidR="00B3537F">
        <w:rPr>
          <w:b w:val="0"/>
        </w:rPr>
        <w:t xml:space="preserve">ments.  The Council is also proposing to </w:t>
      </w:r>
      <w:r w:rsidR="00C8488A">
        <w:rPr>
          <w:b w:val="0"/>
        </w:rPr>
        <w:t xml:space="preserve">revise the SPD to </w:t>
      </w:r>
      <w:r w:rsidR="00B3537F">
        <w:rPr>
          <w:b w:val="0"/>
        </w:rPr>
        <w:t xml:space="preserve">clarify the </w:t>
      </w:r>
      <w:r w:rsidR="00C8488A">
        <w:rPr>
          <w:b w:val="0"/>
        </w:rPr>
        <w:t xml:space="preserve">position with CIL contributions for what it terms “sustainable </w:t>
      </w:r>
      <w:r w:rsidR="00CD7AAD">
        <w:rPr>
          <w:b w:val="0"/>
        </w:rPr>
        <w:t>d</w:t>
      </w:r>
      <w:r w:rsidR="00C8488A">
        <w:rPr>
          <w:b w:val="0"/>
        </w:rPr>
        <w:t>evelopment”.  Specifically</w:t>
      </w:r>
      <w:r w:rsidR="00BF7ED4">
        <w:rPr>
          <w:b w:val="0"/>
        </w:rPr>
        <w:t>,</w:t>
      </w:r>
      <w:r w:rsidR="00C8488A">
        <w:rPr>
          <w:b w:val="0"/>
        </w:rPr>
        <w:t xml:space="preserve"> the Council will not seek sustainable development contributions where the CIL applies.  The SPD is not part of this examination but it is considered that the clarification now proposed by the Council should resolve the uncertainty that has been referred to in several of the representations.</w:t>
      </w:r>
      <w:r w:rsidR="00D873F8">
        <w:rPr>
          <w:b w:val="0"/>
        </w:rPr>
        <w:t xml:space="preserve">  It should also provide reassurance for those who feared that the S106 “sustainable development” contributions </w:t>
      </w:r>
      <w:r w:rsidR="00B442C0">
        <w:rPr>
          <w:b w:val="0"/>
        </w:rPr>
        <w:t>would</w:t>
      </w:r>
      <w:r w:rsidR="00D873F8">
        <w:rPr>
          <w:b w:val="0"/>
        </w:rPr>
        <w:t xml:space="preserve"> amount to a considerable burden – one estimate </w:t>
      </w:r>
      <w:r w:rsidR="00CA2FBB">
        <w:rPr>
          <w:b w:val="0"/>
        </w:rPr>
        <w:t xml:space="preserve">by a respondent </w:t>
      </w:r>
      <w:r w:rsidR="00D873F8">
        <w:rPr>
          <w:b w:val="0"/>
        </w:rPr>
        <w:t>put the figure at some £23,000 per unit on a hypothetical 50 house scheme.</w:t>
      </w:r>
      <w:r w:rsidR="00E62F84">
        <w:rPr>
          <w:b w:val="0"/>
        </w:rPr>
        <w:t xml:space="preserve"> The evidence shows that the Council has been reasonable with what it has sought through S106 agreements.  Between April 2015 and October 2016 for 1-3 dwelling schemes the average agreed was £3,320 per unit</w:t>
      </w:r>
      <w:r w:rsidR="00B442C0">
        <w:rPr>
          <w:b w:val="0"/>
        </w:rPr>
        <w:t>,</w:t>
      </w:r>
      <w:r w:rsidR="00E62F84">
        <w:rPr>
          <w:b w:val="0"/>
        </w:rPr>
        <w:t xml:space="preserve"> £3,040 for 4- 14 dwelling schemes and £2</w:t>
      </w:r>
      <w:r w:rsidR="00CA2FBB">
        <w:rPr>
          <w:b w:val="0"/>
        </w:rPr>
        <w:t>,</w:t>
      </w:r>
      <w:r w:rsidR="00E62F84">
        <w:rPr>
          <w:b w:val="0"/>
        </w:rPr>
        <w:t xml:space="preserve">500 for 15+ dwelling schemes.  </w:t>
      </w:r>
      <w:r w:rsidR="00D873F8">
        <w:rPr>
          <w:b w:val="0"/>
        </w:rPr>
        <w:t xml:space="preserve">  </w:t>
      </w:r>
    </w:p>
    <w:p w:rsidR="00121A1B" w:rsidRDefault="00C8488A" w:rsidP="004A4775">
      <w:pPr>
        <w:pStyle w:val="DPDIntro"/>
        <w:widowControl w:val="0"/>
        <w:numPr>
          <w:ilvl w:val="0"/>
          <w:numId w:val="36"/>
        </w:numPr>
        <w:rPr>
          <w:b w:val="0"/>
        </w:rPr>
      </w:pPr>
      <w:r>
        <w:rPr>
          <w:b w:val="0"/>
        </w:rPr>
        <w:t xml:space="preserve">For CIL viability assessments the establishment of a benchmark </w:t>
      </w:r>
      <w:r w:rsidR="00E62F84">
        <w:rPr>
          <w:b w:val="0"/>
        </w:rPr>
        <w:t xml:space="preserve">land value is important as it provides the basis for establishing </w:t>
      </w:r>
      <w:r w:rsidR="008247CA">
        <w:rPr>
          <w:b w:val="0"/>
        </w:rPr>
        <w:t xml:space="preserve">whether </w:t>
      </w:r>
      <w:r w:rsidR="00E62F84">
        <w:rPr>
          <w:b w:val="0"/>
        </w:rPr>
        <w:t xml:space="preserve">there is “headroom” available </w:t>
      </w:r>
      <w:r w:rsidR="00B442C0">
        <w:rPr>
          <w:b w:val="0"/>
        </w:rPr>
        <w:t>to pay</w:t>
      </w:r>
      <w:r w:rsidR="00E62F84">
        <w:rPr>
          <w:b w:val="0"/>
        </w:rPr>
        <w:t xml:space="preserve"> a levy.  </w:t>
      </w:r>
      <w:r w:rsidR="008247CA">
        <w:rPr>
          <w:b w:val="0"/>
        </w:rPr>
        <w:t>Unfortunately</w:t>
      </w:r>
      <w:r w:rsidR="00BF7ED4">
        <w:rPr>
          <w:b w:val="0"/>
        </w:rPr>
        <w:t>,</w:t>
      </w:r>
      <w:r w:rsidR="008247CA">
        <w:rPr>
          <w:b w:val="0"/>
        </w:rPr>
        <w:t xml:space="preserve"> it is generally acknowledged that establishing a benchmark land value is fraught with difficulty, not least because </w:t>
      </w:r>
      <w:r w:rsidR="0032377E">
        <w:rPr>
          <w:b w:val="0"/>
        </w:rPr>
        <w:t>landowners’</w:t>
      </w:r>
      <w:r w:rsidR="008247CA">
        <w:rPr>
          <w:b w:val="0"/>
        </w:rPr>
        <w:t xml:space="preserve"> expectations and financial circumstances can, and often do, vary greatly.  As PBA point out</w:t>
      </w:r>
      <w:r w:rsidR="00121A1B">
        <w:rPr>
          <w:b w:val="0"/>
        </w:rPr>
        <w:t>,</w:t>
      </w:r>
      <w:r w:rsidR="008247CA">
        <w:rPr>
          <w:b w:val="0"/>
        </w:rPr>
        <w:t xml:space="preserve"> benchmark land values can only be broad approximations subject to a wide margin of uncertainty.</w:t>
      </w:r>
    </w:p>
    <w:p w:rsidR="004F7C4B" w:rsidRDefault="008247CA" w:rsidP="004A4775">
      <w:pPr>
        <w:pStyle w:val="DPDIntro"/>
        <w:widowControl w:val="0"/>
        <w:numPr>
          <w:ilvl w:val="0"/>
          <w:numId w:val="36"/>
        </w:numPr>
        <w:rPr>
          <w:b w:val="0"/>
        </w:rPr>
      </w:pPr>
      <w:r>
        <w:rPr>
          <w:b w:val="0"/>
        </w:rPr>
        <w:t xml:space="preserve">In Torbay </w:t>
      </w:r>
      <w:r w:rsidR="002A0E9F">
        <w:rPr>
          <w:b w:val="0"/>
        </w:rPr>
        <w:t>PBA studied a cross section of land comp</w:t>
      </w:r>
      <w:r w:rsidR="00B442C0">
        <w:rPr>
          <w:b w:val="0"/>
        </w:rPr>
        <w:t>a</w:t>
      </w:r>
      <w:r w:rsidR="002A0E9F">
        <w:rPr>
          <w:b w:val="0"/>
        </w:rPr>
        <w:t xml:space="preserve">rables and discussed the question of benchmark values with developers and agents. After taking into account the likely policy burden, including affordable housing, PBA concluded in 2014 that benchmark values in Torbay ranged from £800,000 </w:t>
      </w:r>
      <w:r w:rsidR="00121A1B">
        <w:rPr>
          <w:b w:val="0"/>
        </w:rPr>
        <w:t xml:space="preserve">per net developable hectare to £400,000 depending on the scale of the development.  In their 2016 work PBA increased the benchmark figures by 10% in line with house price inflation and introduced a </w:t>
      </w:r>
      <w:r w:rsidR="00B442C0">
        <w:rPr>
          <w:b w:val="0"/>
        </w:rPr>
        <w:t xml:space="preserve">benchmark </w:t>
      </w:r>
      <w:r w:rsidR="00121A1B">
        <w:rPr>
          <w:b w:val="0"/>
        </w:rPr>
        <w:t xml:space="preserve">land value of £220,000 per net developable </w:t>
      </w:r>
      <w:r w:rsidR="00CA2FBB">
        <w:rPr>
          <w:b w:val="0"/>
        </w:rPr>
        <w:t>hectare</w:t>
      </w:r>
      <w:r w:rsidR="00121A1B">
        <w:rPr>
          <w:b w:val="0"/>
        </w:rPr>
        <w:t xml:space="preserve"> for strategic sites.</w:t>
      </w:r>
      <w:r w:rsidR="004F7C4B">
        <w:rPr>
          <w:b w:val="0"/>
        </w:rPr>
        <w:t xml:space="preserve"> The justification for the figure for strategic sites is not clear from the PBA report.  However</w:t>
      </w:r>
      <w:r w:rsidR="00BF7ED4">
        <w:rPr>
          <w:b w:val="0"/>
        </w:rPr>
        <w:t>,</w:t>
      </w:r>
      <w:r w:rsidR="004F7C4B">
        <w:rPr>
          <w:b w:val="0"/>
        </w:rPr>
        <w:t xml:space="preserve"> that figure is not critical for the purposes on this examination as the Council do not propose to charge CIL on strategic sites within the Future Growth Areas and are content with a recommendation that </w:t>
      </w:r>
      <w:r w:rsidR="00B44D58">
        <w:rPr>
          <w:b w:val="0"/>
        </w:rPr>
        <w:t>other</w:t>
      </w:r>
      <w:r w:rsidR="004F7C4B">
        <w:rPr>
          <w:b w:val="0"/>
        </w:rPr>
        <w:t xml:space="preserve"> strategic sites be subject to a zero CIL charge.  </w:t>
      </w:r>
    </w:p>
    <w:p w:rsidR="008247CA" w:rsidRDefault="004F7C4B" w:rsidP="004A4775">
      <w:pPr>
        <w:pStyle w:val="DPDIntro"/>
        <w:widowControl w:val="0"/>
        <w:numPr>
          <w:ilvl w:val="0"/>
          <w:numId w:val="36"/>
        </w:numPr>
        <w:rPr>
          <w:b w:val="0"/>
        </w:rPr>
      </w:pPr>
      <w:r w:rsidRPr="00F57E1E">
        <w:rPr>
          <w:b w:val="0"/>
        </w:rPr>
        <w:t xml:space="preserve">For small sites the benchmark value has been challenged </w:t>
      </w:r>
      <w:r w:rsidR="00CA2FBB" w:rsidRPr="00F57E1E">
        <w:rPr>
          <w:b w:val="0"/>
        </w:rPr>
        <w:t>o</w:t>
      </w:r>
      <w:r w:rsidRPr="00F57E1E">
        <w:rPr>
          <w:b w:val="0"/>
        </w:rPr>
        <w:t xml:space="preserve">n the grounds that it assumes a plot </w:t>
      </w:r>
      <w:r w:rsidR="00963DCD" w:rsidRPr="00F57E1E">
        <w:rPr>
          <w:b w:val="0"/>
        </w:rPr>
        <w:t xml:space="preserve">size of .11 ha of land </w:t>
      </w:r>
      <w:r w:rsidR="00434BA0" w:rsidRPr="00F57E1E">
        <w:rPr>
          <w:b w:val="0"/>
        </w:rPr>
        <w:t xml:space="preserve">for four dwellings </w:t>
      </w:r>
      <w:r w:rsidR="00CA2FBB" w:rsidRPr="00F57E1E">
        <w:rPr>
          <w:b w:val="0"/>
        </w:rPr>
        <w:t xml:space="preserve">resulting in </w:t>
      </w:r>
      <w:r w:rsidR="00963DCD" w:rsidRPr="00F57E1E">
        <w:rPr>
          <w:b w:val="0"/>
        </w:rPr>
        <w:t xml:space="preserve">plot </w:t>
      </w:r>
      <w:r w:rsidRPr="00F57E1E">
        <w:rPr>
          <w:b w:val="0"/>
        </w:rPr>
        <w:t>value of £24,200 assum</w:t>
      </w:r>
      <w:r w:rsidR="007B2F16" w:rsidRPr="00F57E1E">
        <w:rPr>
          <w:b w:val="0"/>
        </w:rPr>
        <w:t>ing</w:t>
      </w:r>
      <w:r w:rsidRPr="00F57E1E">
        <w:rPr>
          <w:b w:val="0"/>
        </w:rPr>
        <w:t xml:space="preserve"> 35 dwellings to the hectare</w:t>
      </w:r>
      <w:r w:rsidR="00963DCD" w:rsidRPr="00F57E1E">
        <w:rPr>
          <w:b w:val="0"/>
        </w:rPr>
        <w:t>.  This it is argued is unreasonably low compared with the asking prices for single plots in Torbay as at April 2016 which averaged £242,857.  This</w:t>
      </w:r>
      <w:r w:rsidR="00963DCD">
        <w:rPr>
          <w:b w:val="0"/>
        </w:rPr>
        <w:t xml:space="preserve"> comparison is not helpful as the sizes of the plots for which there are asking prices </w:t>
      </w:r>
      <w:proofErr w:type="gramStart"/>
      <w:r w:rsidR="00963DCD">
        <w:rPr>
          <w:b w:val="0"/>
        </w:rPr>
        <w:t>is</w:t>
      </w:r>
      <w:proofErr w:type="gramEnd"/>
      <w:r w:rsidR="00963DCD">
        <w:rPr>
          <w:b w:val="0"/>
        </w:rPr>
        <w:t xml:space="preserve"> not specified.  </w:t>
      </w:r>
    </w:p>
    <w:p w:rsidR="0060467B" w:rsidRDefault="00B41121" w:rsidP="004A4775">
      <w:pPr>
        <w:pStyle w:val="DPDIntro"/>
        <w:widowControl w:val="0"/>
        <w:numPr>
          <w:ilvl w:val="0"/>
          <w:numId w:val="36"/>
        </w:numPr>
        <w:rPr>
          <w:b w:val="0"/>
        </w:rPr>
      </w:pPr>
      <w:r>
        <w:rPr>
          <w:b w:val="0"/>
        </w:rPr>
        <w:t xml:space="preserve">The question of the benchmark used by PBA was discussed at the hearing session.  </w:t>
      </w:r>
      <w:r w:rsidR="0060467B">
        <w:rPr>
          <w:b w:val="0"/>
        </w:rPr>
        <w:t>Significantly a</w:t>
      </w:r>
      <w:r>
        <w:rPr>
          <w:b w:val="0"/>
        </w:rPr>
        <w:t xml:space="preserve">ll of those attending, </w:t>
      </w:r>
      <w:r w:rsidR="00CA2FBB">
        <w:rPr>
          <w:b w:val="0"/>
        </w:rPr>
        <w:t>including</w:t>
      </w:r>
      <w:r>
        <w:rPr>
          <w:b w:val="0"/>
        </w:rPr>
        <w:t xml:space="preserve"> development industry representatives</w:t>
      </w:r>
      <w:r w:rsidR="00CA2FBB">
        <w:rPr>
          <w:b w:val="0"/>
        </w:rPr>
        <w:t xml:space="preserve"> who are familiar with Torbay,</w:t>
      </w:r>
      <w:r>
        <w:rPr>
          <w:b w:val="0"/>
        </w:rPr>
        <w:t xml:space="preserve"> accepted that the PBA figures are reasonable for </w:t>
      </w:r>
      <w:r w:rsidR="00CA2FBB">
        <w:rPr>
          <w:b w:val="0"/>
        </w:rPr>
        <w:t>the area</w:t>
      </w:r>
      <w:r w:rsidR="00B442C0">
        <w:rPr>
          <w:b w:val="0"/>
        </w:rPr>
        <w:t>.</w:t>
      </w:r>
    </w:p>
    <w:p w:rsidR="00C256BE" w:rsidRPr="005D3072" w:rsidRDefault="00B90CD5" w:rsidP="004A4775">
      <w:pPr>
        <w:pStyle w:val="DPDIntro"/>
        <w:widowControl w:val="0"/>
        <w:numPr>
          <w:ilvl w:val="0"/>
          <w:numId w:val="36"/>
        </w:numPr>
        <w:rPr>
          <w:b w:val="0"/>
        </w:rPr>
      </w:pPr>
      <w:r>
        <w:rPr>
          <w:b w:val="0"/>
        </w:rPr>
        <w:t>For non-residential development</w:t>
      </w:r>
      <w:r w:rsidR="0032377E">
        <w:rPr>
          <w:b w:val="0"/>
        </w:rPr>
        <w:t>,</w:t>
      </w:r>
      <w:r>
        <w:rPr>
          <w:b w:val="0"/>
        </w:rPr>
        <w:t xml:space="preserve"> a set of hypothetical schemes for a wide variety of types of development were tested.  Again</w:t>
      </w:r>
      <w:r w:rsidR="00BF7ED4">
        <w:rPr>
          <w:b w:val="0"/>
        </w:rPr>
        <w:t>,</w:t>
      </w:r>
      <w:r>
        <w:rPr>
          <w:b w:val="0"/>
        </w:rPr>
        <w:t xml:space="preserve"> a standard residual approach was used.  To establish the gross development value PBA took into account local regional and national data relating to rents and yields and build costs were based on the RICS Build Cost Information Service.</w:t>
      </w:r>
      <w:r w:rsidR="004928AA">
        <w:rPr>
          <w:b w:val="0"/>
        </w:rPr>
        <w:t xml:space="preserve">  Establishing a benchmark figure for non-residential development proved to be difficult given that local agents told PBA in 2014 that there had been very few sales of commercial and employment land over the previous five years.  Historic evidence indicated a range of values between £500,000 and £750,000 for employment land uses.  PBA used the lower end of that range as the starting point for their </w:t>
      </w:r>
      <w:r w:rsidR="004928AA" w:rsidRPr="00F57E1E">
        <w:rPr>
          <w:b w:val="0"/>
        </w:rPr>
        <w:t>viability assessment work and then adjusted that on the basis of location and use.</w:t>
      </w:r>
      <w:r w:rsidR="000214F7" w:rsidRPr="00F57E1E">
        <w:rPr>
          <w:b w:val="0"/>
        </w:rPr>
        <w:t xml:space="preserve">  Given the weak commercial market in Torbay the PBA approach </w:t>
      </w:r>
      <w:r w:rsidR="00CA2FBB" w:rsidRPr="00F57E1E">
        <w:rPr>
          <w:b w:val="0"/>
        </w:rPr>
        <w:t>was logical and</w:t>
      </w:r>
      <w:r w:rsidR="00CA2FBB">
        <w:rPr>
          <w:b w:val="0"/>
        </w:rPr>
        <w:t xml:space="preserve"> justified</w:t>
      </w:r>
      <w:r w:rsidR="000214F7">
        <w:rPr>
          <w:b w:val="0"/>
        </w:rPr>
        <w:t>.</w:t>
      </w:r>
      <w:r w:rsidR="004928AA">
        <w:rPr>
          <w:b w:val="0"/>
        </w:rPr>
        <w:t xml:space="preserve">    </w:t>
      </w:r>
      <w:r>
        <w:rPr>
          <w:b w:val="0"/>
        </w:rPr>
        <w:t xml:space="preserve">    </w:t>
      </w:r>
      <w:r w:rsidR="00B41121">
        <w:rPr>
          <w:b w:val="0"/>
        </w:rPr>
        <w:t xml:space="preserve">    </w:t>
      </w:r>
      <w:r w:rsidR="008247CA">
        <w:rPr>
          <w:b w:val="0"/>
        </w:rPr>
        <w:t xml:space="preserve">   </w:t>
      </w:r>
      <w:r w:rsidR="00E62F84">
        <w:rPr>
          <w:b w:val="0"/>
        </w:rPr>
        <w:t xml:space="preserve"> </w:t>
      </w:r>
      <w:r w:rsidR="00D873F8">
        <w:rPr>
          <w:b w:val="0"/>
        </w:rPr>
        <w:t xml:space="preserve"> </w:t>
      </w:r>
      <w:r w:rsidR="00C8488A">
        <w:rPr>
          <w:b w:val="0"/>
        </w:rPr>
        <w:t xml:space="preserve"> </w:t>
      </w:r>
      <w:r w:rsidR="006D0D0F">
        <w:rPr>
          <w:b w:val="0"/>
        </w:rPr>
        <w:t xml:space="preserve">   </w:t>
      </w:r>
      <w:r w:rsidR="007E0C40">
        <w:rPr>
          <w:b w:val="0"/>
        </w:rPr>
        <w:t xml:space="preserve">     </w:t>
      </w:r>
      <w:r w:rsidR="00DA62E2">
        <w:rPr>
          <w:b w:val="0"/>
        </w:rPr>
        <w:t xml:space="preserve">  </w:t>
      </w:r>
      <w:r w:rsidR="002D6934">
        <w:rPr>
          <w:b w:val="0"/>
        </w:rPr>
        <w:t xml:space="preserve"> </w:t>
      </w:r>
      <w:r w:rsidR="0025612C">
        <w:rPr>
          <w:b w:val="0"/>
        </w:rPr>
        <w:t xml:space="preserve">     </w:t>
      </w:r>
      <w:r w:rsidR="00390BC3">
        <w:rPr>
          <w:b w:val="0"/>
        </w:rPr>
        <w:t xml:space="preserve"> </w:t>
      </w:r>
      <w:r w:rsidR="002A54EB">
        <w:rPr>
          <w:b w:val="0"/>
        </w:rPr>
        <w:t xml:space="preserve"> </w:t>
      </w:r>
    </w:p>
    <w:p w:rsidR="005410D3" w:rsidRPr="00AC3ABB" w:rsidRDefault="005410D3" w:rsidP="005410D3">
      <w:pPr>
        <w:pStyle w:val="Default"/>
        <w:rPr>
          <w:rFonts w:ascii="Verdana" w:eastAsia="Verdana" w:hAnsi="Verdana" w:cs="Verdana"/>
          <w:i/>
          <w:sz w:val="22"/>
          <w:szCs w:val="22"/>
        </w:rPr>
      </w:pPr>
      <w:r w:rsidRPr="00AC3ABB">
        <w:rPr>
          <w:rFonts w:ascii="Verdana" w:hAnsi="Verdana"/>
          <w:i/>
          <w:sz w:val="22"/>
          <w:szCs w:val="22"/>
        </w:rPr>
        <w:t>Conclusion</w:t>
      </w:r>
    </w:p>
    <w:p w:rsidR="005410D3" w:rsidRPr="00AC3ABB" w:rsidRDefault="005410D3" w:rsidP="005410D3">
      <w:pPr>
        <w:pStyle w:val="Default"/>
        <w:rPr>
          <w:rFonts w:ascii="Verdana" w:eastAsia="Verdana" w:hAnsi="Verdana" w:cs="Verdana"/>
          <w:sz w:val="22"/>
          <w:szCs w:val="22"/>
        </w:rPr>
      </w:pPr>
    </w:p>
    <w:p w:rsidR="005410D3" w:rsidRPr="00AC3ABB" w:rsidRDefault="005410D3" w:rsidP="005410D3">
      <w:pPr>
        <w:pStyle w:val="Default"/>
        <w:numPr>
          <w:ilvl w:val="0"/>
          <w:numId w:val="36"/>
        </w:numPr>
        <w:pBdr>
          <w:top w:val="nil"/>
          <w:left w:val="nil"/>
          <w:bottom w:val="nil"/>
          <w:right w:val="nil"/>
          <w:between w:val="nil"/>
          <w:bar w:val="nil"/>
        </w:pBdr>
        <w:autoSpaceDE/>
        <w:autoSpaceDN/>
        <w:adjustRightInd/>
        <w:rPr>
          <w:rFonts w:ascii="Verdana" w:eastAsia="Verdana" w:hAnsi="Verdana" w:cs="Verdana"/>
          <w:sz w:val="22"/>
          <w:szCs w:val="22"/>
        </w:rPr>
      </w:pPr>
      <w:r w:rsidRPr="00AC3ABB">
        <w:rPr>
          <w:rFonts w:ascii="Verdana" w:hAnsi="Verdana"/>
          <w:sz w:val="22"/>
          <w:szCs w:val="22"/>
          <w:lang w:val="en-US"/>
        </w:rPr>
        <w:t>The Draft Charging Schedule is supported by evidence of community infrastructure needs</w:t>
      </w:r>
      <w:r w:rsidR="00B41121">
        <w:rPr>
          <w:rFonts w:ascii="Verdana" w:hAnsi="Verdana"/>
          <w:sz w:val="22"/>
          <w:szCs w:val="22"/>
          <w:lang w:val="en-US"/>
        </w:rPr>
        <w:t xml:space="preserve"> and by viability assessments undertaken by two different firms, including a very recent update of the evidence</w:t>
      </w:r>
      <w:r w:rsidR="00AB7E1A">
        <w:rPr>
          <w:rFonts w:ascii="Verdana" w:hAnsi="Verdana"/>
          <w:sz w:val="22"/>
          <w:szCs w:val="22"/>
          <w:lang w:val="en-US"/>
        </w:rPr>
        <w:t xml:space="preserve"> in relation to residential development.</w:t>
      </w:r>
      <w:r w:rsidR="0060467B">
        <w:rPr>
          <w:rFonts w:ascii="Verdana" w:hAnsi="Verdana"/>
          <w:sz w:val="22"/>
          <w:szCs w:val="22"/>
          <w:lang w:val="en-US"/>
        </w:rPr>
        <w:t xml:space="preserve">  Several elements of the viability assessments for residential development have been challenged.  However</w:t>
      </w:r>
      <w:r w:rsidR="00EB4D39">
        <w:rPr>
          <w:rFonts w:ascii="Verdana" w:hAnsi="Verdana"/>
          <w:sz w:val="22"/>
          <w:szCs w:val="22"/>
          <w:lang w:val="en-US"/>
        </w:rPr>
        <w:t>,</w:t>
      </w:r>
      <w:r w:rsidR="0060467B">
        <w:rPr>
          <w:rFonts w:ascii="Verdana" w:hAnsi="Verdana"/>
          <w:sz w:val="22"/>
          <w:szCs w:val="22"/>
          <w:lang w:val="en-US"/>
        </w:rPr>
        <w:t xml:space="preserve"> viability assessments are not precise calculations that can only be done in one way.  The approach taken by the Council’s advisors and the assumptions they have made are reasonably conventional and no convincing counter evidence </w:t>
      </w:r>
      <w:r w:rsidR="00CA2FBB">
        <w:rPr>
          <w:rFonts w:ascii="Verdana" w:hAnsi="Verdana"/>
          <w:sz w:val="22"/>
          <w:szCs w:val="22"/>
          <w:lang w:val="en-US"/>
        </w:rPr>
        <w:t>h</w:t>
      </w:r>
      <w:r w:rsidR="0060467B">
        <w:rPr>
          <w:rFonts w:ascii="Verdana" w:hAnsi="Verdana"/>
          <w:sz w:val="22"/>
          <w:szCs w:val="22"/>
          <w:lang w:val="en-US"/>
        </w:rPr>
        <w:t xml:space="preserve">as been advanced.  </w:t>
      </w:r>
      <w:r w:rsidRPr="00AC3ABB">
        <w:rPr>
          <w:rFonts w:ascii="Verdana" w:hAnsi="Verdana"/>
          <w:sz w:val="22"/>
          <w:szCs w:val="22"/>
          <w:lang w:val="en-US"/>
        </w:rPr>
        <w:t xml:space="preserve">On this basis, the evidence which has been used to inform the Charging Schedule is robust, proportionate and appropriate. </w:t>
      </w:r>
    </w:p>
    <w:p w:rsidR="005410D3" w:rsidRPr="00AC3ABB" w:rsidRDefault="005410D3" w:rsidP="005410D3">
      <w:pPr>
        <w:pStyle w:val="Default"/>
        <w:rPr>
          <w:rFonts w:ascii="Verdana" w:eastAsia="Verdana" w:hAnsi="Verdana" w:cs="Verdana"/>
          <w:sz w:val="22"/>
          <w:szCs w:val="22"/>
        </w:rPr>
      </w:pPr>
    </w:p>
    <w:p w:rsidR="005410D3" w:rsidRPr="00AC3ABB" w:rsidRDefault="005410D3" w:rsidP="005410D3">
      <w:pPr>
        <w:pStyle w:val="Default"/>
        <w:rPr>
          <w:rFonts w:ascii="Verdana" w:eastAsia="Verdana" w:hAnsi="Verdana" w:cs="Verdana"/>
          <w:sz w:val="22"/>
          <w:szCs w:val="22"/>
        </w:rPr>
      </w:pPr>
    </w:p>
    <w:p w:rsidR="005410D3" w:rsidRPr="00AC3ABB" w:rsidRDefault="0012758B" w:rsidP="005410D3">
      <w:pPr>
        <w:pStyle w:val="Default"/>
        <w:rPr>
          <w:rFonts w:ascii="Verdana" w:eastAsia="Verdana" w:hAnsi="Verdana" w:cs="Verdana"/>
          <w:b/>
          <w:bCs/>
          <w:color w:val="auto"/>
          <w:sz w:val="22"/>
          <w:szCs w:val="22"/>
        </w:rPr>
      </w:pPr>
      <w:r w:rsidRPr="00AC3ABB">
        <w:rPr>
          <w:rFonts w:ascii="Verdana" w:hAnsi="Verdana" w:cs="Helvetica"/>
          <w:b/>
          <w:color w:val="auto"/>
          <w:sz w:val="22"/>
          <w:szCs w:val="22"/>
        </w:rPr>
        <w:t>Are the proposed rates informed by and consistent with the evidence on economic viability across the district</w:t>
      </w:r>
      <w:r w:rsidRPr="00AC3ABB">
        <w:rPr>
          <w:rFonts w:ascii="Verdana" w:hAnsi="Verdana"/>
          <w:b/>
          <w:bCs/>
          <w:color w:val="auto"/>
          <w:sz w:val="22"/>
          <w:szCs w:val="22"/>
          <w:lang w:val="en-US"/>
        </w:rPr>
        <w:t>?</w:t>
      </w:r>
    </w:p>
    <w:p w:rsidR="00C86FF3" w:rsidRPr="00AC3ABB" w:rsidRDefault="00C86FF3" w:rsidP="005410D3">
      <w:pPr>
        <w:pStyle w:val="Default"/>
        <w:rPr>
          <w:rFonts w:ascii="Verdana" w:hAnsi="Verdana"/>
          <w:i/>
          <w:sz w:val="22"/>
          <w:szCs w:val="22"/>
          <w:lang w:val="en-US"/>
        </w:rPr>
      </w:pPr>
    </w:p>
    <w:p w:rsidR="00C256BE" w:rsidRPr="002C268F" w:rsidRDefault="00C256BE" w:rsidP="00C256BE">
      <w:pPr>
        <w:pStyle w:val="DPDIntro"/>
        <w:widowControl w:val="0"/>
        <w:rPr>
          <w:b w:val="0"/>
          <w:i/>
        </w:rPr>
      </w:pPr>
      <w:r>
        <w:rPr>
          <w:b w:val="0"/>
          <w:i/>
        </w:rPr>
        <w:t>R</w:t>
      </w:r>
      <w:r w:rsidRPr="002C268F">
        <w:rPr>
          <w:b w:val="0"/>
          <w:i/>
        </w:rPr>
        <w:t xml:space="preserve">esidential development </w:t>
      </w:r>
    </w:p>
    <w:p w:rsidR="000843E2" w:rsidRDefault="000843E2" w:rsidP="00C256BE">
      <w:pPr>
        <w:pStyle w:val="DPDIntro"/>
        <w:widowControl w:val="0"/>
        <w:numPr>
          <w:ilvl w:val="0"/>
          <w:numId w:val="36"/>
        </w:numPr>
        <w:rPr>
          <w:b w:val="0"/>
        </w:rPr>
      </w:pPr>
      <w:r>
        <w:rPr>
          <w:b w:val="0"/>
        </w:rPr>
        <w:t>For convenience</w:t>
      </w:r>
      <w:r w:rsidR="00EB4D39">
        <w:rPr>
          <w:b w:val="0"/>
        </w:rPr>
        <w:t>,</w:t>
      </w:r>
      <w:r>
        <w:rPr>
          <w:b w:val="0"/>
        </w:rPr>
        <w:t xml:space="preserve"> this part of the report deals with the rates proposed on the basis of the scale of development.  PBA based their 2016 report on the information that the Council wished to use S106 arrangements rather than CIL for sites of 15</w:t>
      </w:r>
      <w:r w:rsidR="00503B43">
        <w:rPr>
          <w:b w:val="0"/>
        </w:rPr>
        <w:t xml:space="preserve"> or more </w:t>
      </w:r>
      <w:r>
        <w:rPr>
          <w:b w:val="0"/>
        </w:rPr>
        <w:t xml:space="preserve">dwellings.  </w:t>
      </w:r>
      <w:r w:rsidR="007C3259">
        <w:rPr>
          <w:b w:val="0"/>
        </w:rPr>
        <w:t xml:space="preserve">Taking into account overall development viability in Torbay and </w:t>
      </w:r>
      <w:r w:rsidR="00B44D58">
        <w:rPr>
          <w:b w:val="0"/>
        </w:rPr>
        <w:t xml:space="preserve">the </w:t>
      </w:r>
      <w:r w:rsidR="007C3259">
        <w:rPr>
          <w:b w:val="0"/>
        </w:rPr>
        <w:t xml:space="preserve">Council’s policies, including affordable housing, </w:t>
      </w:r>
      <w:r>
        <w:rPr>
          <w:b w:val="0"/>
        </w:rPr>
        <w:t>PBA</w:t>
      </w:r>
      <w:r w:rsidR="007C3259">
        <w:rPr>
          <w:b w:val="0"/>
        </w:rPr>
        <w:t xml:space="preserve"> recommended a single charge of £78 for all </w:t>
      </w:r>
      <w:r w:rsidR="00C74896">
        <w:rPr>
          <w:b w:val="0"/>
        </w:rPr>
        <w:t xml:space="preserve">conventional </w:t>
      </w:r>
      <w:r w:rsidR="007C3259">
        <w:rPr>
          <w:b w:val="0"/>
        </w:rPr>
        <w:t>residential development</w:t>
      </w:r>
      <w:r w:rsidR="00C74896">
        <w:rPr>
          <w:b w:val="0"/>
        </w:rPr>
        <w:t>s</w:t>
      </w:r>
      <w:r w:rsidR="007C3259">
        <w:rPr>
          <w:b w:val="0"/>
        </w:rPr>
        <w:t xml:space="preserve"> of 4 – 14 units and a zero rate for all other residential development, including </w:t>
      </w:r>
      <w:r w:rsidR="00C74896">
        <w:rPr>
          <w:b w:val="0"/>
        </w:rPr>
        <w:t xml:space="preserve">retirement </w:t>
      </w:r>
      <w:r w:rsidR="007C3259">
        <w:rPr>
          <w:b w:val="0"/>
        </w:rPr>
        <w:t xml:space="preserve">housing for older people.  B-H </w:t>
      </w:r>
      <w:r w:rsidR="00C70813">
        <w:rPr>
          <w:b w:val="0"/>
        </w:rPr>
        <w:t xml:space="preserve">concluded that the more complex rates being proposed by the Council </w:t>
      </w:r>
      <w:r w:rsidR="00B44D58">
        <w:rPr>
          <w:b w:val="0"/>
        </w:rPr>
        <w:t>are</w:t>
      </w:r>
      <w:r w:rsidR="00C70813">
        <w:rPr>
          <w:b w:val="0"/>
        </w:rPr>
        <w:t xml:space="preserve"> acceptable other than </w:t>
      </w:r>
      <w:r w:rsidR="00C74896">
        <w:rPr>
          <w:b w:val="0"/>
        </w:rPr>
        <w:t>developments for 1- 3 dwellings in Zone 2 and Extra Care Homes</w:t>
      </w:r>
      <w:r w:rsidR="00CA2FBB">
        <w:rPr>
          <w:b w:val="0"/>
        </w:rPr>
        <w:t xml:space="preserve">.  </w:t>
      </w:r>
      <w:r w:rsidR="00C74896">
        <w:rPr>
          <w:b w:val="0"/>
        </w:rPr>
        <w:t>B-H recommended</w:t>
      </w:r>
      <w:r w:rsidR="00CA2FBB">
        <w:rPr>
          <w:b w:val="0"/>
        </w:rPr>
        <w:t xml:space="preserve"> that both these categories </w:t>
      </w:r>
      <w:r w:rsidR="00C74896">
        <w:rPr>
          <w:b w:val="0"/>
        </w:rPr>
        <w:t xml:space="preserve">should be zero rated.     </w:t>
      </w:r>
      <w:r w:rsidR="00C70813">
        <w:rPr>
          <w:b w:val="0"/>
        </w:rPr>
        <w:t xml:space="preserve">  </w:t>
      </w:r>
      <w:r w:rsidR="007C3259">
        <w:rPr>
          <w:b w:val="0"/>
        </w:rPr>
        <w:t xml:space="preserve">   </w:t>
      </w:r>
      <w:r>
        <w:rPr>
          <w:b w:val="0"/>
        </w:rPr>
        <w:t xml:space="preserve">    </w:t>
      </w:r>
    </w:p>
    <w:p w:rsidR="008A59BD" w:rsidRPr="00F57E1E" w:rsidRDefault="00C74896" w:rsidP="00C256BE">
      <w:pPr>
        <w:pStyle w:val="DPDIntro"/>
        <w:widowControl w:val="0"/>
        <w:numPr>
          <w:ilvl w:val="0"/>
          <w:numId w:val="36"/>
        </w:numPr>
        <w:rPr>
          <w:b w:val="0"/>
        </w:rPr>
      </w:pPr>
      <w:r>
        <w:rPr>
          <w:b w:val="0"/>
        </w:rPr>
        <w:t>Dealing first with sites for 1- 3 dwellings the</w:t>
      </w:r>
      <w:r w:rsidR="00FB394E">
        <w:rPr>
          <w:b w:val="0"/>
        </w:rPr>
        <w:t xml:space="preserve"> principal area of dispute is the proposed charge of £30 in Zone 2.  The Council justifies this on </w:t>
      </w:r>
      <w:r w:rsidR="00B45E88">
        <w:rPr>
          <w:b w:val="0"/>
        </w:rPr>
        <w:t>five</w:t>
      </w:r>
      <w:r w:rsidR="00FB394E">
        <w:rPr>
          <w:b w:val="0"/>
        </w:rPr>
        <w:t xml:space="preserve"> grounds.  First</w:t>
      </w:r>
      <w:r w:rsidR="00AF6EE1">
        <w:rPr>
          <w:b w:val="0"/>
        </w:rPr>
        <w:t>,</w:t>
      </w:r>
      <w:r w:rsidR="00FB394E">
        <w:rPr>
          <w:b w:val="0"/>
        </w:rPr>
        <w:t xml:space="preserve"> the lowest viability is in Zone 1.  Second</w:t>
      </w:r>
      <w:r w:rsidR="00AF6EE1">
        <w:rPr>
          <w:b w:val="0"/>
        </w:rPr>
        <w:t>,</w:t>
      </w:r>
      <w:r w:rsidR="00FB394E">
        <w:rPr>
          <w:b w:val="0"/>
        </w:rPr>
        <w:t xml:space="preserve"> small sites are not subject to affordable housing or tariff style obligations.  Third</w:t>
      </w:r>
      <w:r w:rsidR="00AF6EE1">
        <w:rPr>
          <w:b w:val="0"/>
        </w:rPr>
        <w:t>,</w:t>
      </w:r>
      <w:r w:rsidR="00FB394E">
        <w:rPr>
          <w:b w:val="0"/>
        </w:rPr>
        <w:t xml:space="preserve"> exceptional circumstances relief is possible should site-acceptable S106 obligations impact on viability.  Fourth</w:t>
      </w:r>
      <w:r w:rsidR="00AF6EE1">
        <w:rPr>
          <w:b w:val="0"/>
        </w:rPr>
        <w:t>,</w:t>
      </w:r>
      <w:r w:rsidR="00FB394E">
        <w:rPr>
          <w:b w:val="0"/>
        </w:rPr>
        <w:t xml:space="preserve"> </w:t>
      </w:r>
      <w:r w:rsidR="00944D4C">
        <w:rPr>
          <w:b w:val="0"/>
        </w:rPr>
        <w:t>small sites have historically been viable with S106 obligations.</w:t>
      </w:r>
      <w:r w:rsidR="00B45E88">
        <w:rPr>
          <w:b w:val="0"/>
        </w:rPr>
        <w:t xml:space="preserve">  Fifth</w:t>
      </w:r>
      <w:r w:rsidR="00AF6EE1">
        <w:rPr>
          <w:b w:val="0"/>
        </w:rPr>
        <w:t>,</w:t>
      </w:r>
      <w:r w:rsidR="00B45E88">
        <w:rPr>
          <w:b w:val="0"/>
        </w:rPr>
        <w:t xml:space="preserve"> neighbouring authorities have not excluded small sites from CIL.  The Council’s points are challenged by a number of respondents including the Brixham Peninsula Neighbourhood Forum</w:t>
      </w:r>
      <w:r w:rsidR="008A59BD">
        <w:rPr>
          <w:b w:val="0"/>
        </w:rPr>
        <w:t xml:space="preserve"> and </w:t>
      </w:r>
      <w:r w:rsidR="00832B13">
        <w:rPr>
          <w:b w:val="0"/>
        </w:rPr>
        <w:t xml:space="preserve">the Collaton St Mary Residents Association </w:t>
      </w:r>
      <w:r w:rsidR="008A59BD">
        <w:rPr>
          <w:b w:val="0"/>
        </w:rPr>
        <w:t>who fear that the imposition of a CIL charge on small sites would potentially jeopardise regeneration projects within the urban areas.</w:t>
      </w:r>
      <w:r w:rsidR="00216520">
        <w:rPr>
          <w:b w:val="0"/>
        </w:rPr>
        <w:t xml:space="preserve">  In this regard</w:t>
      </w:r>
      <w:r w:rsidR="00EB4D39">
        <w:rPr>
          <w:b w:val="0"/>
        </w:rPr>
        <w:t>,</w:t>
      </w:r>
      <w:r w:rsidR="00216520">
        <w:rPr>
          <w:b w:val="0"/>
        </w:rPr>
        <w:t xml:space="preserve"> </w:t>
      </w:r>
      <w:r w:rsidR="00216520" w:rsidRPr="00F57E1E">
        <w:rPr>
          <w:b w:val="0"/>
        </w:rPr>
        <w:t>it is important t</w:t>
      </w:r>
      <w:r w:rsidR="00F57E1E">
        <w:rPr>
          <w:b w:val="0"/>
        </w:rPr>
        <w:t>o</w:t>
      </w:r>
      <w:r w:rsidR="00216520" w:rsidRPr="00F57E1E">
        <w:rPr>
          <w:b w:val="0"/>
        </w:rPr>
        <w:t xml:space="preserve"> remember that the NPPF states that CIL should “support and incentiv</w:t>
      </w:r>
      <w:r w:rsidR="00F57E1E">
        <w:rPr>
          <w:b w:val="0"/>
        </w:rPr>
        <w:t>ise</w:t>
      </w:r>
      <w:r w:rsidR="00216520" w:rsidRPr="00F57E1E">
        <w:rPr>
          <w:b w:val="0"/>
        </w:rPr>
        <w:t xml:space="preserve"> new development” (paragraph 175).</w:t>
      </w:r>
    </w:p>
    <w:p w:rsidR="00DB5CF6" w:rsidRPr="00DB5CF6" w:rsidRDefault="00944D4C" w:rsidP="00C256BE">
      <w:pPr>
        <w:pStyle w:val="DPDIntro"/>
        <w:widowControl w:val="0"/>
        <w:numPr>
          <w:ilvl w:val="0"/>
          <w:numId w:val="36"/>
        </w:numPr>
      </w:pPr>
      <w:r>
        <w:rPr>
          <w:b w:val="0"/>
        </w:rPr>
        <w:t xml:space="preserve">The </w:t>
      </w:r>
      <w:r w:rsidR="00530D10">
        <w:rPr>
          <w:b w:val="0"/>
        </w:rPr>
        <w:t xml:space="preserve">most up-to-date </w:t>
      </w:r>
      <w:r>
        <w:rPr>
          <w:b w:val="0"/>
        </w:rPr>
        <w:t xml:space="preserve">available viability evidence is </w:t>
      </w:r>
      <w:r w:rsidR="00530D10">
        <w:rPr>
          <w:b w:val="0"/>
        </w:rPr>
        <w:t>provided by B</w:t>
      </w:r>
      <w:r w:rsidR="00CA2FBB">
        <w:rPr>
          <w:b w:val="0"/>
        </w:rPr>
        <w:t>-</w:t>
      </w:r>
      <w:r w:rsidR="00530D10">
        <w:rPr>
          <w:b w:val="0"/>
        </w:rPr>
        <w:t>H.  This evidence shows that 2 dwelling schemes in Zone 2 would clearly be unviable if they are required to pay any CIL charge.  In both Brixham and Paignton/Torquay 2 dwelling schemes have a negative margin of some £86 to pay for CIL</w:t>
      </w:r>
      <w:r w:rsidR="00530D10" w:rsidRPr="00F57E1E">
        <w:rPr>
          <w:b w:val="0"/>
        </w:rPr>
        <w:t>.  This contrast</w:t>
      </w:r>
      <w:r w:rsidR="00F57E1E" w:rsidRPr="00F57E1E">
        <w:rPr>
          <w:b w:val="0"/>
        </w:rPr>
        <w:t>s</w:t>
      </w:r>
      <w:r w:rsidR="00530D10" w:rsidRPr="00F57E1E">
        <w:rPr>
          <w:b w:val="0"/>
        </w:rPr>
        <w:t xml:space="preserve"> with a positive margin of £353 for larger schemes for 8 dwellings.</w:t>
      </w:r>
      <w:r w:rsidR="008A59BD" w:rsidRPr="00F57E1E">
        <w:rPr>
          <w:b w:val="0"/>
        </w:rPr>
        <w:t xml:space="preserve">  The Council</w:t>
      </w:r>
      <w:r w:rsidR="008A59BD">
        <w:rPr>
          <w:b w:val="0"/>
        </w:rPr>
        <w:t xml:space="preserve"> argues that the S106 payments that it has received on small sites shows that the CIL charge </w:t>
      </w:r>
      <w:r w:rsidR="00DB5CF6">
        <w:rPr>
          <w:b w:val="0"/>
        </w:rPr>
        <w:t xml:space="preserve">of £30 </w:t>
      </w:r>
      <w:r w:rsidR="008A59BD">
        <w:rPr>
          <w:b w:val="0"/>
        </w:rPr>
        <w:t xml:space="preserve">can be afforded.  This may be true in some instances but in others small sites may </w:t>
      </w:r>
      <w:r w:rsidR="00CA2FBB">
        <w:rPr>
          <w:b w:val="0"/>
        </w:rPr>
        <w:t xml:space="preserve">also </w:t>
      </w:r>
      <w:r w:rsidR="00DB5CF6">
        <w:rPr>
          <w:b w:val="0"/>
        </w:rPr>
        <w:t xml:space="preserve">require </w:t>
      </w:r>
      <w:r w:rsidR="008A59BD">
        <w:rPr>
          <w:b w:val="0"/>
        </w:rPr>
        <w:t xml:space="preserve">S106 payments </w:t>
      </w:r>
      <w:r w:rsidR="00DB5CF6">
        <w:rPr>
          <w:b w:val="0"/>
        </w:rPr>
        <w:t>to make the developments acceptable</w:t>
      </w:r>
      <w:r w:rsidR="00CA2FBB">
        <w:rPr>
          <w:b w:val="0"/>
        </w:rPr>
        <w:t xml:space="preserve">.  No other specific </w:t>
      </w:r>
      <w:r w:rsidR="001306F9">
        <w:rPr>
          <w:b w:val="0"/>
        </w:rPr>
        <w:t xml:space="preserve">quantifiable </w:t>
      </w:r>
      <w:r w:rsidR="00CA2FBB">
        <w:rPr>
          <w:b w:val="0"/>
        </w:rPr>
        <w:t xml:space="preserve">viability evidence </w:t>
      </w:r>
      <w:r w:rsidR="004B7B75">
        <w:rPr>
          <w:b w:val="0"/>
        </w:rPr>
        <w:t xml:space="preserve">that contradicts the B-H figures </w:t>
      </w:r>
      <w:r w:rsidR="00CA2FBB">
        <w:rPr>
          <w:b w:val="0"/>
        </w:rPr>
        <w:t xml:space="preserve">has been </w:t>
      </w:r>
      <w:r w:rsidR="004B7B75">
        <w:rPr>
          <w:b w:val="0"/>
        </w:rPr>
        <w:t xml:space="preserve">provided by the Council.  </w:t>
      </w:r>
      <w:r w:rsidR="00DB5CF6">
        <w:rPr>
          <w:b w:val="0"/>
        </w:rPr>
        <w:t xml:space="preserve">Bearing in mind the important contribution small urban sites are expected to make to the provision of new housing in Torbay over the local plan period it is considered that imposing a CIL charge on small urban sites </w:t>
      </w:r>
      <w:r w:rsidR="00216520">
        <w:rPr>
          <w:b w:val="0"/>
        </w:rPr>
        <w:t>c</w:t>
      </w:r>
      <w:r w:rsidR="00DB5CF6">
        <w:rPr>
          <w:b w:val="0"/>
        </w:rPr>
        <w:t>ould threaten the delivery of the Council’s plan</w:t>
      </w:r>
      <w:r w:rsidR="00DB5CF6" w:rsidRPr="00DB5CF6">
        <w:t xml:space="preserve">.  </w:t>
      </w:r>
      <w:r w:rsidR="00DD29B2">
        <w:t>(EM1)</w:t>
      </w:r>
      <w:r w:rsidR="00DD29B2" w:rsidRPr="00E87452">
        <w:rPr>
          <w:b w:val="0"/>
        </w:rPr>
        <w:t>.</w:t>
      </w:r>
    </w:p>
    <w:p w:rsidR="00CD12E0" w:rsidRPr="00CD12E0" w:rsidRDefault="00DB5CF6" w:rsidP="00C256BE">
      <w:pPr>
        <w:pStyle w:val="DPDIntro"/>
        <w:widowControl w:val="0"/>
        <w:numPr>
          <w:ilvl w:val="0"/>
          <w:numId w:val="36"/>
        </w:numPr>
      </w:pPr>
      <w:r>
        <w:rPr>
          <w:b w:val="0"/>
        </w:rPr>
        <w:t xml:space="preserve">Turning to sites for between 4 – 14 dwellings </w:t>
      </w:r>
      <w:r w:rsidR="00CD12E0">
        <w:rPr>
          <w:b w:val="0"/>
        </w:rPr>
        <w:t xml:space="preserve">the </w:t>
      </w:r>
      <w:r w:rsidR="00BD12CB">
        <w:rPr>
          <w:b w:val="0"/>
        </w:rPr>
        <w:t xml:space="preserve">PBA </w:t>
      </w:r>
      <w:r w:rsidR="00CD12E0">
        <w:rPr>
          <w:b w:val="0"/>
        </w:rPr>
        <w:t xml:space="preserve">evidence indicates that </w:t>
      </w:r>
      <w:r w:rsidR="00BD12CB">
        <w:rPr>
          <w:b w:val="0"/>
        </w:rPr>
        <w:t xml:space="preserve">for all but one of the hypothetical schemes </w:t>
      </w:r>
      <w:r w:rsidR="00CD12E0">
        <w:rPr>
          <w:b w:val="0"/>
        </w:rPr>
        <w:t xml:space="preserve">there is a substantial buffer between the proposed charges and the point at which the viability of development would be threatened.  This applies to all of the Zones including Zone 1 which is the zone least able to pay CIL.  In recognition of this the proposed charge for Zone 1 is less than half the charge for the other zones.  </w:t>
      </w:r>
    </w:p>
    <w:p w:rsidR="00B25566" w:rsidRPr="00AC678E" w:rsidRDefault="00CD12E0" w:rsidP="00C256BE">
      <w:pPr>
        <w:pStyle w:val="DPDIntro"/>
        <w:widowControl w:val="0"/>
        <w:numPr>
          <w:ilvl w:val="0"/>
          <w:numId w:val="36"/>
        </w:numPr>
      </w:pPr>
      <w:r>
        <w:rPr>
          <w:b w:val="0"/>
        </w:rPr>
        <w:t xml:space="preserve">For 15+ dwellings the contentious </w:t>
      </w:r>
      <w:r w:rsidR="00DA1459">
        <w:rPr>
          <w:b w:val="0"/>
        </w:rPr>
        <w:t>issue</w:t>
      </w:r>
      <w:r w:rsidR="00503B43">
        <w:rPr>
          <w:b w:val="0"/>
        </w:rPr>
        <w:t>s</w:t>
      </w:r>
      <w:r w:rsidR="00DA1459">
        <w:rPr>
          <w:b w:val="0"/>
        </w:rPr>
        <w:t xml:space="preserve"> </w:t>
      </w:r>
      <w:r w:rsidR="00503B43">
        <w:rPr>
          <w:b w:val="0"/>
        </w:rPr>
        <w:t>are</w:t>
      </w:r>
      <w:r w:rsidR="00DA1459">
        <w:rPr>
          <w:b w:val="0"/>
        </w:rPr>
        <w:t xml:space="preserve"> the proposed charge of £140 for Zone 3</w:t>
      </w:r>
      <w:r w:rsidR="00503B43">
        <w:rPr>
          <w:b w:val="0"/>
        </w:rPr>
        <w:t xml:space="preserve"> and the proposal to use S106 only in Zone 4.  Dealing with the latter</w:t>
      </w:r>
      <w:r w:rsidR="00AF6EE1">
        <w:rPr>
          <w:b w:val="0"/>
        </w:rPr>
        <w:t xml:space="preserve">, </w:t>
      </w:r>
      <w:r w:rsidR="00503B43">
        <w:rPr>
          <w:b w:val="0"/>
        </w:rPr>
        <w:t>the Council accepts that the viability evidence does not rule out a CIL charge in the Future Growth Areas.  However</w:t>
      </w:r>
      <w:r w:rsidR="00EB4D39">
        <w:rPr>
          <w:b w:val="0"/>
        </w:rPr>
        <w:t>,</w:t>
      </w:r>
      <w:r w:rsidR="00503B43">
        <w:rPr>
          <w:b w:val="0"/>
        </w:rPr>
        <w:t xml:space="preserve"> the Council believes that within the growth areas S106 agreements and S278 Highways Agreements provide the most effective mechanism for providing the infrastructure needed in these areas.  </w:t>
      </w:r>
      <w:r w:rsidR="00CD7AAD">
        <w:rPr>
          <w:b w:val="0"/>
        </w:rPr>
        <w:t xml:space="preserve">This is a judgement for the Council to make.  </w:t>
      </w:r>
      <w:r w:rsidR="00503B43">
        <w:rPr>
          <w:b w:val="0"/>
        </w:rPr>
        <w:t xml:space="preserve">In the Council’s view </w:t>
      </w:r>
      <w:r w:rsidR="007A518A">
        <w:rPr>
          <w:b w:val="0"/>
        </w:rPr>
        <w:t>if a CIL charge is levied it would restrict the scale of S106 and S278 contributions that it could seek.  Moreover</w:t>
      </w:r>
      <w:r w:rsidR="0032377E">
        <w:rPr>
          <w:b w:val="0"/>
        </w:rPr>
        <w:t>,</w:t>
      </w:r>
      <w:r w:rsidR="007A518A">
        <w:rPr>
          <w:b w:val="0"/>
        </w:rPr>
        <w:t xml:space="preserve"> </w:t>
      </w:r>
      <w:r w:rsidR="00CD7AAD">
        <w:rPr>
          <w:b w:val="0"/>
        </w:rPr>
        <w:t xml:space="preserve">using S106 rather </w:t>
      </w:r>
      <w:r w:rsidR="00EB4D39">
        <w:rPr>
          <w:b w:val="0"/>
        </w:rPr>
        <w:t xml:space="preserve">than </w:t>
      </w:r>
      <w:r w:rsidR="00CD7AAD">
        <w:rPr>
          <w:b w:val="0"/>
        </w:rPr>
        <w:t xml:space="preserve">CIL for large scale strategic development </w:t>
      </w:r>
      <w:r w:rsidR="007A518A">
        <w:rPr>
          <w:b w:val="0"/>
        </w:rPr>
        <w:t>is not an unusual approach for an authority to take</w:t>
      </w:r>
      <w:r w:rsidR="00CD7AAD">
        <w:rPr>
          <w:b w:val="0"/>
        </w:rPr>
        <w:t>.  In Torbay</w:t>
      </w:r>
      <w:r w:rsidR="00EB4D39">
        <w:rPr>
          <w:b w:val="0"/>
        </w:rPr>
        <w:t>,</w:t>
      </w:r>
      <w:r w:rsidR="00CD7AAD">
        <w:rPr>
          <w:b w:val="0"/>
        </w:rPr>
        <w:t xml:space="preserve"> </w:t>
      </w:r>
      <w:r w:rsidR="007A518A">
        <w:rPr>
          <w:b w:val="0"/>
        </w:rPr>
        <w:t xml:space="preserve">it is strongly favoured by a number of developers who are promoting development in the Future Growth Areas.  Some </w:t>
      </w:r>
      <w:proofErr w:type="spellStart"/>
      <w:r w:rsidR="007A518A">
        <w:rPr>
          <w:b w:val="0"/>
        </w:rPr>
        <w:t>representors</w:t>
      </w:r>
      <w:proofErr w:type="spellEnd"/>
      <w:r w:rsidR="007A518A">
        <w:rPr>
          <w:b w:val="0"/>
        </w:rPr>
        <w:t xml:space="preserve"> doubt the Council’s ability to negotiate appropriate deals with developers </w:t>
      </w:r>
      <w:r w:rsidR="00B25566">
        <w:rPr>
          <w:b w:val="0"/>
        </w:rPr>
        <w:t>and therefore wish to see both CIL and S106 agreements in place.   However</w:t>
      </w:r>
      <w:r w:rsidR="00EB4D39">
        <w:rPr>
          <w:b w:val="0"/>
        </w:rPr>
        <w:t>,</w:t>
      </w:r>
      <w:r w:rsidR="00B25566">
        <w:rPr>
          <w:b w:val="0"/>
        </w:rPr>
        <w:t xml:space="preserve"> </w:t>
      </w:r>
      <w:r w:rsidR="007A518A">
        <w:rPr>
          <w:b w:val="0"/>
        </w:rPr>
        <w:t>there is no evidence before the examination that supports this view</w:t>
      </w:r>
      <w:r w:rsidR="00FB55A3">
        <w:rPr>
          <w:b w:val="0"/>
        </w:rPr>
        <w:t xml:space="preserve"> and it would not be appropriate to base a recommendation on an assumption about the Council</w:t>
      </w:r>
      <w:r w:rsidR="00B03F3D">
        <w:rPr>
          <w:b w:val="0"/>
        </w:rPr>
        <w:t>’s</w:t>
      </w:r>
      <w:r w:rsidR="00FB55A3">
        <w:rPr>
          <w:b w:val="0"/>
        </w:rPr>
        <w:t xml:space="preserve"> competence to negotiate with developers.</w:t>
      </w:r>
      <w:r w:rsidR="00B25566">
        <w:rPr>
          <w:b w:val="0"/>
        </w:rPr>
        <w:t xml:space="preserve">  In any event</w:t>
      </w:r>
      <w:r w:rsidR="00A836AC">
        <w:rPr>
          <w:b w:val="0"/>
        </w:rPr>
        <w:t>,</w:t>
      </w:r>
      <w:r w:rsidR="00B25566">
        <w:rPr>
          <w:b w:val="0"/>
        </w:rPr>
        <w:t xml:space="preserve"> this examination is concerned with whether the proposed CIL would threaten the viability of development in the area as a whole.  Clearly a zero charge as proposed by the Council cannot threaten the viability </w:t>
      </w:r>
      <w:r w:rsidR="00B25566" w:rsidRPr="00AC678E">
        <w:rPr>
          <w:b w:val="0"/>
        </w:rPr>
        <w:t>of development.</w:t>
      </w:r>
    </w:p>
    <w:p w:rsidR="0083384C" w:rsidRPr="0083384C" w:rsidRDefault="00B25566" w:rsidP="00C256BE">
      <w:pPr>
        <w:pStyle w:val="DPDIntro"/>
        <w:widowControl w:val="0"/>
        <w:numPr>
          <w:ilvl w:val="0"/>
          <w:numId w:val="36"/>
        </w:numPr>
      </w:pPr>
      <w:r>
        <w:rPr>
          <w:b w:val="0"/>
        </w:rPr>
        <w:t xml:space="preserve">A number of representations argue that </w:t>
      </w:r>
      <w:r w:rsidR="00FB55A3">
        <w:rPr>
          <w:b w:val="0"/>
        </w:rPr>
        <w:t xml:space="preserve">any strategic site should be dealt with in the same way as strategic sites in the Future Growth Areas because the infrastructure needs of all strategic sites are likely to best be dealt with outside of the CIL regime.  This is a logical argument </w:t>
      </w:r>
      <w:r w:rsidR="004B7B75">
        <w:rPr>
          <w:b w:val="0"/>
        </w:rPr>
        <w:t>in relation to sites outside the urban areas that would</w:t>
      </w:r>
      <w:r w:rsidR="00A836AC">
        <w:rPr>
          <w:b w:val="0"/>
        </w:rPr>
        <w:t>,</w:t>
      </w:r>
      <w:r w:rsidR="004B7B75">
        <w:rPr>
          <w:b w:val="0"/>
        </w:rPr>
        <w:t xml:space="preserve"> </w:t>
      </w:r>
      <w:r w:rsidR="00CD7AAD">
        <w:rPr>
          <w:b w:val="0"/>
        </w:rPr>
        <w:t>in all probability</w:t>
      </w:r>
      <w:r w:rsidR="00A836AC">
        <w:rPr>
          <w:b w:val="0"/>
        </w:rPr>
        <w:t>,</w:t>
      </w:r>
      <w:r w:rsidR="00CD7AAD">
        <w:rPr>
          <w:b w:val="0"/>
        </w:rPr>
        <w:t xml:space="preserve"> </w:t>
      </w:r>
      <w:r w:rsidR="004B7B75">
        <w:rPr>
          <w:b w:val="0"/>
        </w:rPr>
        <w:t xml:space="preserve">have similar infrastructure needs to strategic sites in the Future Growth Areas.  The point is </w:t>
      </w:r>
      <w:r w:rsidR="00FB55A3">
        <w:rPr>
          <w:b w:val="0"/>
        </w:rPr>
        <w:t>accepted by the Council</w:t>
      </w:r>
      <w:r w:rsidR="0083384C">
        <w:rPr>
          <w:b w:val="0"/>
        </w:rPr>
        <w:t xml:space="preserve"> who are content for a recommendation to this effect </w:t>
      </w:r>
      <w:proofErr w:type="gramStart"/>
      <w:r w:rsidR="0083384C">
        <w:rPr>
          <w:b w:val="0"/>
        </w:rPr>
        <w:t>be</w:t>
      </w:r>
      <w:proofErr w:type="gramEnd"/>
      <w:r w:rsidR="0083384C">
        <w:rPr>
          <w:b w:val="0"/>
        </w:rPr>
        <w:t xml:space="preserve"> made.</w:t>
      </w:r>
      <w:r w:rsidR="00DD29B2">
        <w:rPr>
          <w:b w:val="0"/>
        </w:rPr>
        <w:t xml:space="preserve">  </w:t>
      </w:r>
      <w:r w:rsidR="00DD29B2" w:rsidRPr="00DD29B2">
        <w:t>(EM2)</w:t>
      </w:r>
      <w:r w:rsidR="00DD29B2">
        <w:rPr>
          <w:b w:val="0"/>
        </w:rPr>
        <w:t>.</w:t>
      </w:r>
      <w:r w:rsidR="00FB55A3">
        <w:rPr>
          <w:b w:val="0"/>
        </w:rPr>
        <w:t xml:space="preserve">  However</w:t>
      </w:r>
      <w:r w:rsidR="00A836AC">
        <w:rPr>
          <w:b w:val="0"/>
        </w:rPr>
        <w:t>,</w:t>
      </w:r>
      <w:r w:rsidR="00FB55A3">
        <w:rPr>
          <w:b w:val="0"/>
        </w:rPr>
        <w:t xml:space="preserve"> the Council in accepting this point notes that in accordance with the local plan strategic sites </w:t>
      </w:r>
      <w:r w:rsidR="0083384C">
        <w:rPr>
          <w:b w:val="0"/>
        </w:rPr>
        <w:t>are defined as sites for 30 or more dwellings.  On this basis</w:t>
      </w:r>
      <w:r w:rsidR="00A836AC">
        <w:rPr>
          <w:b w:val="0"/>
        </w:rPr>
        <w:t>,</w:t>
      </w:r>
      <w:r w:rsidR="0083384C">
        <w:rPr>
          <w:b w:val="0"/>
        </w:rPr>
        <w:t xml:space="preserve"> the question arises of what to do with sites for between 15 and 29 dwellings</w:t>
      </w:r>
      <w:r w:rsidR="004B7B75">
        <w:rPr>
          <w:b w:val="0"/>
        </w:rPr>
        <w:t>.</w:t>
      </w:r>
      <w:r w:rsidR="0083384C">
        <w:rPr>
          <w:b w:val="0"/>
        </w:rPr>
        <w:t xml:space="preserve">  Under the current proposals such sites would be charged at a rate of £30 in Zone 1, £70 in Zone 2, £140 in Zone 3 and zero in Zone 4.</w:t>
      </w:r>
    </w:p>
    <w:p w:rsidR="00BD12CB" w:rsidRPr="00BD12CB" w:rsidRDefault="0083384C" w:rsidP="00C256BE">
      <w:pPr>
        <w:pStyle w:val="DPDIntro"/>
        <w:widowControl w:val="0"/>
        <w:numPr>
          <w:ilvl w:val="0"/>
          <w:numId w:val="36"/>
        </w:numPr>
      </w:pPr>
      <w:r>
        <w:rPr>
          <w:b w:val="0"/>
        </w:rPr>
        <w:t xml:space="preserve">The PBA evidence supports the Zone 1 and Zone 2 charge but it is argued by some that </w:t>
      </w:r>
      <w:r w:rsidR="00DA1459">
        <w:rPr>
          <w:b w:val="0"/>
        </w:rPr>
        <w:t xml:space="preserve">the evidence does not support a charge </w:t>
      </w:r>
      <w:r>
        <w:rPr>
          <w:b w:val="0"/>
        </w:rPr>
        <w:t>of £140 in Zone 3</w:t>
      </w:r>
      <w:r w:rsidR="00DA1459">
        <w:rPr>
          <w:b w:val="0"/>
        </w:rPr>
        <w:t xml:space="preserve">.  PBA </w:t>
      </w:r>
      <w:r w:rsidR="00EA183D">
        <w:rPr>
          <w:b w:val="0"/>
        </w:rPr>
        <w:t xml:space="preserve">did not </w:t>
      </w:r>
      <w:r w:rsidR="00730A57">
        <w:rPr>
          <w:b w:val="0"/>
        </w:rPr>
        <w:t xml:space="preserve">make any recommendation for 15+ schemes as their brief was that for developments of 15 </w:t>
      </w:r>
      <w:r w:rsidR="00CD7AAD">
        <w:rPr>
          <w:b w:val="0"/>
        </w:rPr>
        <w:t xml:space="preserve">dwellings </w:t>
      </w:r>
      <w:r w:rsidR="00730A57">
        <w:rPr>
          <w:b w:val="0"/>
        </w:rPr>
        <w:t xml:space="preserve">and above S106 agreements would be relied on.  Looking at their evidence it is noted that the </w:t>
      </w:r>
      <w:r w:rsidR="00B03F3D">
        <w:rPr>
          <w:b w:val="0"/>
        </w:rPr>
        <w:t xml:space="preserve">headroom </w:t>
      </w:r>
      <w:r w:rsidR="00730A57">
        <w:rPr>
          <w:b w:val="0"/>
        </w:rPr>
        <w:t xml:space="preserve">situation with 15+ schemes outside the </w:t>
      </w:r>
      <w:r w:rsidR="0032377E">
        <w:rPr>
          <w:b w:val="0"/>
        </w:rPr>
        <w:t>built-up</w:t>
      </w:r>
      <w:r w:rsidR="00730A57">
        <w:rPr>
          <w:b w:val="0"/>
        </w:rPr>
        <w:t xml:space="preserve"> area is unclear.  Their assessment </w:t>
      </w:r>
      <w:r w:rsidR="00EA183D">
        <w:rPr>
          <w:b w:val="0"/>
        </w:rPr>
        <w:t xml:space="preserve">for a 15 dwelling scheme outside Brixham </w:t>
      </w:r>
      <w:r w:rsidR="00B03F3D">
        <w:rPr>
          <w:b w:val="0"/>
        </w:rPr>
        <w:t>put</w:t>
      </w:r>
      <w:r w:rsidR="00EA183D">
        <w:rPr>
          <w:b w:val="0"/>
        </w:rPr>
        <w:t xml:space="preserve"> the available headroom at £311</w:t>
      </w:r>
      <w:r w:rsidR="00730A57">
        <w:rPr>
          <w:b w:val="0"/>
        </w:rPr>
        <w:t xml:space="preserve">, for </w:t>
      </w:r>
      <w:r w:rsidR="00912C47">
        <w:rPr>
          <w:b w:val="0"/>
        </w:rPr>
        <w:t>a 100 dwelling scheme</w:t>
      </w:r>
      <w:r w:rsidR="00825CF7">
        <w:rPr>
          <w:b w:val="0"/>
        </w:rPr>
        <w:t>,</w:t>
      </w:r>
      <w:r w:rsidR="00912C47">
        <w:rPr>
          <w:b w:val="0"/>
        </w:rPr>
        <w:t xml:space="preserve"> outside Paignton/Torquay </w:t>
      </w:r>
      <w:r w:rsidR="00730A57">
        <w:rPr>
          <w:b w:val="0"/>
        </w:rPr>
        <w:t>it</w:t>
      </w:r>
      <w:r w:rsidR="00912C47">
        <w:rPr>
          <w:b w:val="0"/>
        </w:rPr>
        <w:t xml:space="preserve"> was assessed </w:t>
      </w:r>
      <w:r w:rsidR="00730A57">
        <w:rPr>
          <w:b w:val="0"/>
        </w:rPr>
        <w:t>at</w:t>
      </w:r>
      <w:r w:rsidR="00912C47">
        <w:rPr>
          <w:b w:val="0"/>
        </w:rPr>
        <w:t xml:space="preserve"> £262</w:t>
      </w:r>
      <w:r w:rsidR="00730A57">
        <w:rPr>
          <w:b w:val="0"/>
        </w:rPr>
        <w:t xml:space="preserve"> and for a mixed scheme outside Paignton/Torquay at £192.</w:t>
      </w:r>
      <w:r w:rsidR="00EA183D">
        <w:rPr>
          <w:b w:val="0"/>
        </w:rPr>
        <w:t xml:space="preserve">  On the other hand</w:t>
      </w:r>
      <w:r w:rsidR="00A836AC">
        <w:rPr>
          <w:b w:val="0"/>
        </w:rPr>
        <w:t>,</w:t>
      </w:r>
      <w:r w:rsidR="00EA183D">
        <w:rPr>
          <w:b w:val="0"/>
        </w:rPr>
        <w:t xml:space="preserve"> a 15 dwelling scheme outside Paignton/Torquay was assessed to have headroom of £148 while one for 25 dwellings in the same location was assessed at £150.</w:t>
      </w:r>
      <w:r w:rsidR="00912C47">
        <w:rPr>
          <w:b w:val="0"/>
        </w:rPr>
        <w:t xml:space="preserve">  </w:t>
      </w:r>
      <w:r w:rsidR="0032377E">
        <w:rPr>
          <w:b w:val="0"/>
        </w:rPr>
        <w:t xml:space="preserve"> </w:t>
      </w:r>
      <w:r w:rsidR="00EA183D">
        <w:rPr>
          <w:b w:val="0"/>
        </w:rPr>
        <w:t>Given the</w:t>
      </w:r>
      <w:r w:rsidR="00912C47">
        <w:rPr>
          <w:b w:val="0"/>
        </w:rPr>
        <w:t xml:space="preserve"> variation in these </w:t>
      </w:r>
      <w:r w:rsidR="00EA183D">
        <w:rPr>
          <w:b w:val="0"/>
        </w:rPr>
        <w:t xml:space="preserve">figures </w:t>
      </w:r>
      <w:r w:rsidR="00BD12CB">
        <w:rPr>
          <w:b w:val="0"/>
        </w:rPr>
        <w:t xml:space="preserve">and the need for a viability buffer </w:t>
      </w:r>
      <w:r w:rsidR="004B7B75">
        <w:rPr>
          <w:b w:val="0"/>
        </w:rPr>
        <w:t xml:space="preserve">a degree of </w:t>
      </w:r>
      <w:r w:rsidR="00032104">
        <w:rPr>
          <w:b w:val="0"/>
        </w:rPr>
        <w:t>caution is needed in recommending a figure for CIL as high as £140.</w:t>
      </w:r>
      <w:r w:rsidR="00912C47">
        <w:rPr>
          <w:b w:val="0"/>
        </w:rPr>
        <w:t xml:space="preserve">  </w:t>
      </w:r>
    </w:p>
    <w:p w:rsidR="000D28D9" w:rsidRPr="000D28D9" w:rsidRDefault="00BD12CB" w:rsidP="00C256BE">
      <w:pPr>
        <w:pStyle w:val="DPDIntro"/>
        <w:widowControl w:val="0"/>
        <w:numPr>
          <w:ilvl w:val="0"/>
          <w:numId w:val="36"/>
        </w:numPr>
      </w:pPr>
      <w:r>
        <w:rPr>
          <w:b w:val="0"/>
        </w:rPr>
        <w:t xml:space="preserve">Another factor </w:t>
      </w:r>
      <w:r w:rsidR="00CD7AAD">
        <w:rPr>
          <w:b w:val="0"/>
        </w:rPr>
        <w:t xml:space="preserve">possibly </w:t>
      </w:r>
      <w:r w:rsidR="004B7B75">
        <w:rPr>
          <w:b w:val="0"/>
        </w:rPr>
        <w:t xml:space="preserve">pointing to the need for </w:t>
      </w:r>
      <w:r w:rsidR="00CD7AAD">
        <w:rPr>
          <w:b w:val="0"/>
        </w:rPr>
        <w:t xml:space="preserve">some </w:t>
      </w:r>
      <w:r w:rsidR="004B7B75">
        <w:rPr>
          <w:b w:val="0"/>
        </w:rPr>
        <w:t xml:space="preserve">caution </w:t>
      </w:r>
      <w:r>
        <w:rPr>
          <w:b w:val="0"/>
        </w:rPr>
        <w:t xml:space="preserve">is the fact that PBA’s modelled average open market floorspace sales value </w:t>
      </w:r>
      <w:r w:rsidR="005C214D">
        <w:rPr>
          <w:b w:val="0"/>
        </w:rPr>
        <w:t xml:space="preserve">for new build properties (paragraph 4.4.2) is not very different whether one is inside or outside the </w:t>
      </w:r>
      <w:r w:rsidR="0032377E">
        <w:rPr>
          <w:b w:val="0"/>
        </w:rPr>
        <w:t>built-up</w:t>
      </w:r>
      <w:r w:rsidR="005C214D">
        <w:rPr>
          <w:b w:val="0"/>
        </w:rPr>
        <w:t xml:space="preserve"> areas of Torbay.</w:t>
      </w:r>
      <w:r w:rsidR="00C51AA6">
        <w:rPr>
          <w:b w:val="0"/>
        </w:rPr>
        <w:t xml:space="preserve">  </w:t>
      </w:r>
      <w:r w:rsidR="000D28D9">
        <w:rPr>
          <w:b w:val="0"/>
        </w:rPr>
        <w:t xml:space="preserve">Against this </w:t>
      </w:r>
      <w:r w:rsidR="00C51AA6">
        <w:rPr>
          <w:b w:val="0"/>
        </w:rPr>
        <w:t xml:space="preserve">B-H have sought to update the PBA work and their addendum report at Appendix A shows that for Brixham the average new build value </w:t>
      </w:r>
      <w:r w:rsidR="00825CF7">
        <w:rPr>
          <w:b w:val="0"/>
        </w:rPr>
        <w:t>for houses is</w:t>
      </w:r>
      <w:r w:rsidR="00C51AA6">
        <w:rPr>
          <w:b w:val="0"/>
        </w:rPr>
        <w:t xml:space="preserve"> </w:t>
      </w:r>
      <w:r w:rsidR="000D28D9">
        <w:rPr>
          <w:b w:val="0"/>
        </w:rPr>
        <w:t xml:space="preserve">now </w:t>
      </w:r>
      <w:r w:rsidR="00C51AA6">
        <w:rPr>
          <w:b w:val="0"/>
        </w:rPr>
        <w:t xml:space="preserve">significantly higher in Zone 3 compared to Zone 2.  </w:t>
      </w:r>
      <w:r w:rsidR="000E4F81">
        <w:rPr>
          <w:b w:val="0"/>
        </w:rPr>
        <w:t>Unfortunately</w:t>
      </w:r>
      <w:r w:rsidR="00A836AC">
        <w:rPr>
          <w:b w:val="0"/>
        </w:rPr>
        <w:t>,</w:t>
      </w:r>
      <w:r w:rsidR="000E4F81">
        <w:rPr>
          <w:b w:val="0"/>
        </w:rPr>
        <w:t xml:space="preserve"> n</w:t>
      </w:r>
      <w:r w:rsidR="00C51AA6">
        <w:rPr>
          <w:b w:val="0"/>
        </w:rPr>
        <w:t>o data is supplied for up-dated new build values for Zone 3 in Torquay or Paignton.</w:t>
      </w:r>
      <w:r w:rsidR="00912C47">
        <w:rPr>
          <w:b w:val="0"/>
        </w:rPr>
        <w:t xml:space="preserve">  </w:t>
      </w:r>
      <w:r w:rsidR="00825CF7">
        <w:rPr>
          <w:b w:val="0"/>
        </w:rPr>
        <w:t>The up-dated viability appraisal done by B</w:t>
      </w:r>
      <w:r w:rsidR="004B7B75">
        <w:rPr>
          <w:b w:val="0"/>
        </w:rPr>
        <w:t>-</w:t>
      </w:r>
      <w:r w:rsidR="00825CF7">
        <w:rPr>
          <w:b w:val="0"/>
        </w:rPr>
        <w:t xml:space="preserve">H </w:t>
      </w:r>
      <w:r w:rsidR="000D28D9">
        <w:rPr>
          <w:b w:val="0"/>
        </w:rPr>
        <w:t xml:space="preserve">(Appendix C) based </w:t>
      </w:r>
      <w:r w:rsidR="000D28D9" w:rsidRPr="00F57E1E">
        <w:rPr>
          <w:b w:val="0"/>
        </w:rPr>
        <w:t xml:space="preserve">on up-dated market </w:t>
      </w:r>
      <w:r w:rsidR="000D28D9">
        <w:rPr>
          <w:b w:val="0"/>
        </w:rPr>
        <w:t xml:space="preserve">values shows a substantial amount of headroom for schemes of 15 or more dwellings outside the </w:t>
      </w:r>
      <w:r w:rsidR="0032377E">
        <w:rPr>
          <w:b w:val="0"/>
        </w:rPr>
        <w:t>built-up</w:t>
      </w:r>
      <w:r w:rsidR="000D28D9">
        <w:rPr>
          <w:b w:val="0"/>
        </w:rPr>
        <w:t xml:space="preserve"> areas of Torbay.  For these areas for 15+ </w:t>
      </w:r>
      <w:r w:rsidR="00CD7AAD">
        <w:rPr>
          <w:b w:val="0"/>
        </w:rPr>
        <w:t xml:space="preserve">dwelling </w:t>
      </w:r>
      <w:r w:rsidR="000D28D9">
        <w:rPr>
          <w:b w:val="0"/>
        </w:rPr>
        <w:t xml:space="preserve">schemes PBA put the headroom at </w:t>
      </w:r>
      <w:r w:rsidR="00E27907">
        <w:rPr>
          <w:b w:val="0"/>
        </w:rPr>
        <w:t>a little o</w:t>
      </w:r>
      <w:r w:rsidR="000D28D9">
        <w:rPr>
          <w:b w:val="0"/>
        </w:rPr>
        <w:t xml:space="preserve">ver </w:t>
      </w:r>
      <w:r w:rsidR="00E27907">
        <w:rPr>
          <w:b w:val="0"/>
        </w:rPr>
        <w:t>£</w:t>
      </w:r>
      <w:r w:rsidR="000D28D9">
        <w:rPr>
          <w:b w:val="0"/>
        </w:rPr>
        <w:t>200</w:t>
      </w:r>
      <w:r w:rsidR="00E27907">
        <w:rPr>
          <w:b w:val="0"/>
        </w:rPr>
        <w:t xml:space="preserve"> whereas the updated assessment from B-H shows it to be just over £500.  A weakness of the B-H work is that it is based on an increase in market values but no increase in costs.  For this reason</w:t>
      </w:r>
      <w:r w:rsidR="00A836AC">
        <w:rPr>
          <w:b w:val="0"/>
        </w:rPr>
        <w:t>,</w:t>
      </w:r>
      <w:r w:rsidR="00E27907">
        <w:rPr>
          <w:b w:val="0"/>
        </w:rPr>
        <w:t xml:space="preserve"> it is considered that the headroom for 15+ schemes in Zone 3 is likely to be </w:t>
      </w:r>
      <w:r w:rsidR="00B6736E">
        <w:rPr>
          <w:b w:val="0"/>
        </w:rPr>
        <w:t xml:space="preserve">a little </w:t>
      </w:r>
      <w:r w:rsidR="00E27907">
        <w:rPr>
          <w:b w:val="0"/>
        </w:rPr>
        <w:t xml:space="preserve">lower than the B-H </w:t>
      </w:r>
      <w:proofErr w:type="gramStart"/>
      <w:r w:rsidR="00E27907">
        <w:rPr>
          <w:b w:val="0"/>
        </w:rPr>
        <w:t>figure</w:t>
      </w:r>
      <w:proofErr w:type="gramEnd"/>
      <w:r w:rsidR="00E27907">
        <w:rPr>
          <w:b w:val="0"/>
        </w:rPr>
        <w:t>.  Nevertheless</w:t>
      </w:r>
      <w:r w:rsidR="00B6736E">
        <w:rPr>
          <w:b w:val="0"/>
        </w:rPr>
        <w:t>,</w:t>
      </w:r>
      <w:r w:rsidR="00E27907">
        <w:rPr>
          <w:b w:val="0"/>
        </w:rPr>
        <w:t xml:space="preserve"> </w:t>
      </w:r>
      <w:r w:rsidR="004B7B75">
        <w:rPr>
          <w:b w:val="0"/>
        </w:rPr>
        <w:t xml:space="preserve">based on the </w:t>
      </w:r>
      <w:r w:rsidR="00E27907">
        <w:rPr>
          <w:b w:val="0"/>
        </w:rPr>
        <w:t>B-H evidence</w:t>
      </w:r>
      <w:r w:rsidR="006A3994">
        <w:rPr>
          <w:b w:val="0"/>
        </w:rPr>
        <w:t>,</w:t>
      </w:r>
      <w:r w:rsidR="00E27907">
        <w:rPr>
          <w:b w:val="0"/>
        </w:rPr>
        <w:t xml:space="preserve"> even with a </w:t>
      </w:r>
      <w:r w:rsidR="00B6736E">
        <w:rPr>
          <w:b w:val="0"/>
        </w:rPr>
        <w:t xml:space="preserve">slightly smaller headroom figure </w:t>
      </w:r>
      <w:r w:rsidR="00E27907">
        <w:rPr>
          <w:b w:val="0"/>
        </w:rPr>
        <w:t xml:space="preserve">there would be a very substantial buffer and the viability of development for such schemes would not be seriously threatened.  </w:t>
      </w:r>
    </w:p>
    <w:p w:rsidR="00AB485D" w:rsidRPr="00AB485D" w:rsidRDefault="00425C52" w:rsidP="00C256BE">
      <w:pPr>
        <w:pStyle w:val="DPDIntro"/>
        <w:widowControl w:val="0"/>
        <w:numPr>
          <w:ilvl w:val="0"/>
          <w:numId w:val="36"/>
        </w:numPr>
      </w:pPr>
      <w:r>
        <w:rPr>
          <w:b w:val="0"/>
        </w:rPr>
        <w:t>Some respondents challenge the viability work for 15+ dwellings on the basis that the evidence is not robust or comprehensive enough.  However</w:t>
      </w:r>
      <w:r w:rsidR="00A836AC">
        <w:rPr>
          <w:b w:val="0"/>
        </w:rPr>
        <w:t>,</w:t>
      </w:r>
      <w:r>
        <w:rPr>
          <w:b w:val="0"/>
        </w:rPr>
        <w:t xml:space="preserve"> no convincing alternative evidence has been produced.  Furthermore</w:t>
      </w:r>
      <w:r w:rsidR="00A836AC">
        <w:rPr>
          <w:b w:val="0"/>
        </w:rPr>
        <w:t>,</w:t>
      </w:r>
      <w:r>
        <w:rPr>
          <w:b w:val="0"/>
        </w:rPr>
        <w:t xml:space="preserve"> the Government’s expectation is that authorities will take a proportionate approach and will largely use available evidence rather than </w:t>
      </w:r>
      <w:r w:rsidR="00AB485D">
        <w:rPr>
          <w:b w:val="0"/>
        </w:rPr>
        <w:t xml:space="preserve">undertake extensive and time consuming </w:t>
      </w:r>
      <w:r w:rsidR="00CD7AAD">
        <w:rPr>
          <w:b w:val="0"/>
        </w:rPr>
        <w:t>survey work.</w:t>
      </w:r>
      <w:r>
        <w:rPr>
          <w:b w:val="0"/>
        </w:rPr>
        <w:t xml:space="preserve">  One attempt to </w:t>
      </w:r>
      <w:r w:rsidR="00AB485D">
        <w:rPr>
          <w:b w:val="0"/>
        </w:rPr>
        <w:t xml:space="preserve">challenge the Council’s work </w:t>
      </w:r>
      <w:r>
        <w:rPr>
          <w:b w:val="0"/>
        </w:rPr>
        <w:t>assess</w:t>
      </w:r>
      <w:r w:rsidR="00AB485D">
        <w:rPr>
          <w:b w:val="0"/>
        </w:rPr>
        <w:t>ed</w:t>
      </w:r>
      <w:r>
        <w:rPr>
          <w:b w:val="0"/>
        </w:rPr>
        <w:t xml:space="preserve"> a hypothetical 50 dwelling scheme based largely on the PBA assumptions</w:t>
      </w:r>
      <w:r w:rsidR="00AB485D">
        <w:rPr>
          <w:b w:val="0"/>
        </w:rPr>
        <w:t xml:space="preserve">.  This </w:t>
      </w:r>
      <w:r>
        <w:rPr>
          <w:b w:val="0"/>
        </w:rPr>
        <w:t xml:space="preserve">failed to provide a credible assessment not least because it </w:t>
      </w:r>
      <w:r w:rsidR="006A3994">
        <w:rPr>
          <w:b w:val="0"/>
        </w:rPr>
        <w:t>include</w:t>
      </w:r>
      <w:r w:rsidR="00A836AC">
        <w:rPr>
          <w:b w:val="0"/>
        </w:rPr>
        <w:t>s</w:t>
      </w:r>
      <w:r w:rsidR="006A3994">
        <w:rPr>
          <w:b w:val="0"/>
        </w:rPr>
        <w:t xml:space="preserve"> an unusually high figure for S106 costs and </w:t>
      </w:r>
      <w:r w:rsidR="00CD7AAD">
        <w:rPr>
          <w:b w:val="0"/>
        </w:rPr>
        <w:t xml:space="preserve">erroneously </w:t>
      </w:r>
      <w:r>
        <w:rPr>
          <w:b w:val="0"/>
        </w:rPr>
        <w:t xml:space="preserve">put finance costs at 100% of net costs rather than 6.5% as was intended.   </w:t>
      </w:r>
      <w:r w:rsidR="00CD7AAD">
        <w:rPr>
          <w:b w:val="0"/>
        </w:rPr>
        <w:t>Even taking into account the need for caution i</w:t>
      </w:r>
      <w:r w:rsidR="00912C47">
        <w:rPr>
          <w:b w:val="0"/>
        </w:rPr>
        <w:t xml:space="preserve">t is considered that </w:t>
      </w:r>
      <w:r w:rsidR="00AB485D">
        <w:rPr>
          <w:b w:val="0"/>
        </w:rPr>
        <w:t xml:space="preserve">a charge of £140 should not seriously threaten the general viability of development for </w:t>
      </w:r>
      <w:r w:rsidR="006A3994">
        <w:rPr>
          <w:b w:val="0"/>
        </w:rPr>
        <w:t xml:space="preserve">above </w:t>
      </w:r>
      <w:r w:rsidR="00AB485D">
        <w:rPr>
          <w:b w:val="0"/>
        </w:rPr>
        <w:t>15</w:t>
      </w:r>
      <w:r w:rsidR="006A3994">
        <w:rPr>
          <w:b w:val="0"/>
        </w:rPr>
        <w:t xml:space="preserve"> but below 30 dwellings </w:t>
      </w:r>
      <w:r w:rsidR="00AB485D">
        <w:rPr>
          <w:b w:val="0"/>
        </w:rPr>
        <w:t>in Zone 3.</w:t>
      </w:r>
      <w:r w:rsidR="00DD29B2">
        <w:rPr>
          <w:b w:val="0"/>
        </w:rPr>
        <w:t xml:space="preserve">  </w:t>
      </w:r>
      <w:r w:rsidR="00DD29B2" w:rsidRPr="00DD29B2">
        <w:t>(EM3)</w:t>
      </w:r>
      <w:r w:rsidR="00E87452" w:rsidRPr="00E87452">
        <w:rPr>
          <w:b w:val="0"/>
        </w:rPr>
        <w:t>.</w:t>
      </w:r>
    </w:p>
    <w:p w:rsidR="0050662C" w:rsidRPr="0050662C" w:rsidRDefault="00AB485D" w:rsidP="00C256BE">
      <w:pPr>
        <w:pStyle w:val="DPDIntro"/>
        <w:widowControl w:val="0"/>
        <w:numPr>
          <w:ilvl w:val="0"/>
          <w:numId w:val="36"/>
        </w:numPr>
      </w:pPr>
      <w:r>
        <w:rPr>
          <w:b w:val="0"/>
        </w:rPr>
        <w:t xml:space="preserve">In the light of this conclusion it is worth noting that the Council’s proposed schedule is relatively complicated and there is merit in the Council considering whether it would be more logical to treat strategic sites </w:t>
      </w:r>
      <w:r w:rsidR="0050662C">
        <w:rPr>
          <w:b w:val="0"/>
        </w:rPr>
        <w:t xml:space="preserve">in Zones 3 and 4 as being sites for </w:t>
      </w:r>
      <w:r>
        <w:rPr>
          <w:b w:val="0"/>
        </w:rPr>
        <w:t>15 dwellings and above.</w:t>
      </w:r>
      <w:r w:rsidR="0050662C">
        <w:rPr>
          <w:b w:val="0"/>
        </w:rPr>
        <w:t xml:space="preserve">  This</w:t>
      </w:r>
      <w:r w:rsidR="000E4F81">
        <w:rPr>
          <w:b w:val="0"/>
        </w:rPr>
        <w:t xml:space="preserve"> </w:t>
      </w:r>
      <w:r w:rsidR="0050662C">
        <w:rPr>
          <w:b w:val="0"/>
        </w:rPr>
        <w:t xml:space="preserve">would be justified on the grounds that the provision of infrastructure in the Future Growth Areas (Zone 4) and the parts of Torbay that lie outside the </w:t>
      </w:r>
      <w:r w:rsidR="0032377E">
        <w:rPr>
          <w:b w:val="0"/>
        </w:rPr>
        <w:t>built-up</w:t>
      </w:r>
      <w:r w:rsidR="0050662C">
        <w:rPr>
          <w:b w:val="0"/>
        </w:rPr>
        <w:t xml:space="preserve"> areas (Zone 3) is very likely to be based on similar considerations in both zones.  However</w:t>
      </w:r>
      <w:r w:rsidR="00A836AC">
        <w:rPr>
          <w:b w:val="0"/>
        </w:rPr>
        <w:t>,</w:t>
      </w:r>
      <w:r w:rsidR="0050662C">
        <w:rPr>
          <w:b w:val="0"/>
        </w:rPr>
        <w:t xml:space="preserve"> because a charge of £140 for schemes of 15+ dwellings in </w:t>
      </w:r>
      <w:r w:rsidR="006A3994">
        <w:rPr>
          <w:b w:val="0"/>
        </w:rPr>
        <w:t>Zo</w:t>
      </w:r>
      <w:r w:rsidR="0050662C">
        <w:rPr>
          <w:b w:val="0"/>
        </w:rPr>
        <w:t xml:space="preserve">ne 3 can be justified this suggestion is not being made as a formal recommendation.  </w:t>
      </w:r>
    </w:p>
    <w:p w:rsidR="00A836AC" w:rsidRPr="008644AF" w:rsidRDefault="0050662C" w:rsidP="00C256BE">
      <w:pPr>
        <w:pStyle w:val="DPDIntro"/>
        <w:widowControl w:val="0"/>
        <w:numPr>
          <w:ilvl w:val="0"/>
          <w:numId w:val="36"/>
        </w:numPr>
      </w:pPr>
      <w:r>
        <w:rPr>
          <w:b w:val="0"/>
        </w:rPr>
        <w:t xml:space="preserve">In relation to retirement housing </w:t>
      </w:r>
      <w:r w:rsidR="00890A27">
        <w:rPr>
          <w:b w:val="0"/>
        </w:rPr>
        <w:t>PBA concluded that it was not viable with CIL in place.  However</w:t>
      </w:r>
      <w:r w:rsidR="00A836AC">
        <w:rPr>
          <w:b w:val="0"/>
        </w:rPr>
        <w:t>,</w:t>
      </w:r>
      <w:r w:rsidR="00890A27">
        <w:rPr>
          <w:b w:val="0"/>
        </w:rPr>
        <w:t xml:space="preserve"> </w:t>
      </w:r>
      <w:r>
        <w:rPr>
          <w:b w:val="0"/>
        </w:rPr>
        <w:t xml:space="preserve">the up-dated assessment by B-H </w:t>
      </w:r>
      <w:r w:rsidR="00890A27">
        <w:rPr>
          <w:b w:val="0"/>
        </w:rPr>
        <w:t xml:space="preserve">shows that there is a margin available for a CIL charge of just under £190 for retirement housing.  No convincing counter evidence was produced.  Retirement housing can therefore be included with the general housing category.  This category does not however include “Extra Care Homes” which are not viable with a CIL charge in place.  </w:t>
      </w:r>
      <w:r w:rsidR="00DD29B2" w:rsidRPr="00DD29B2">
        <w:t>(EM4)</w:t>
      </w:r>
      <w:r w:rsidR="00DD29B2">
        <w:rPr>
          <w:b w:val="0"/>
        </w:rPr>
        <w:t xml:space="preserve">.  </w:t>
      </w:r>
      <w:r w:rsidR="00890A27">
        <w:rPr>
          <w:b w:val="0"/>
        </w:rPr>
        <w:t>An area of concern related to defining what is meant by extra care housing but this has now been clarified by the Council following discussions with one of the respondents.</w:t>
      </w:r>
      <w:r w:rsidR="00C11A32">
        <w:rPr>
          <w:b w:val="0"/>
        </w:rPr>
        <w:t xml:space="preserve">  It is assumed that the Council will include this clarification in the SPD that it is currently producing</w:t>
      </w:r>
      <w:r w:rsidR="00E44FB7">
        <w:rPr>
          <w:b w:val="0"/>
        </w:rPr>
        <w:t xml:space="preserve">, </w:t>
      </w:r>
      <w:r w:rsidR="00E44FB7" w:rsidRPr="008644AF">
        <w:rPr>
          <w:b w:val="0"/>
        </w:rPr>
        <w:t xml:space="preserve">and inclusion of this definition within the Charging Schedule will add clarity. </w:t>
      </w:r>
    </w:p>
    <w:p w:rsidR="00890A27" w:rsidRPr="00890A27" w:rsidRDefault="00890A27" w:rsidP="00A836AC">
      <w:pPr>
        <w:pStyle w:val="DPDIntro"/>
        <w:widowControl w:val="0"/>
        <w:ind w:left="570"/>
      </w:pPr>
      <w:r>
        <w:rPr>
          <w:b w:val="0"/>
        </w:rPr>
        <w:t xml:space="preserve"> </w:t>
      </w:r>
    </w:p>
    <w:p w:rsidR="00C256BE" w:rsidRDefault="00C256BE" w:rsidP="00C256BE">
      <w:pPr>
        <w:pStyle w:val="DPDIntro"/>
        <w:widowControl w:val="0"/>
        <w:rPr>
          <w:b w:val="0"/>
          <w:i/>
        </w:rPr>
      </w:pPr>
      <w:r w:rsidRPr="00E8448C">
        <w:rPr>
          <w:b w:val="0"/>
          <w:i/>
        </w:rPr>
        <w:t>Commercial rate</w:t>
      </w:r>
    </w:p>
    <w:p w:rsidR="00C256BE" w:rsidRPr="00C256BE" w:rsidRDefault="00237F49" w:rsidP="00C256BE">
      <w:pPr>
        <w:pStyle w:val="DPDIntro"/>
        <w:widowControl w:val="0"/>
        <w:numPr>
          <w:ilvl w:val="0"/>
          <w:numId w:val="36"/>
        </w:numPr>
        <w:rPr>
          <w:b w:val="0"/>
          <w:color w:val="0000FF"/>
        </w:rPr>
      </w:pPr>
      <w:r>
        <w:rPr>
          <w:b w:val="0"/>
        </w:rPr>
        <w:t xml:space="preserve">None of the B-class commercial uses generate sufficient value to </w:t>
      </w:r>
      <w:r w:rsidR="00C17BE5">
        <w:rPr>
          <w:b w:val="0"/>
        </w:rPr>
        <w:t xml:space="preserve">justify a CIL charge.  This may not apply to a development designed to cater for a specific user but CIL needs to be based on the general local situation rather than one particular development.  For retail uses </w:t>
      </w:r>
      <w:r w:rsidR="00E22C72">
        <w:rPr>
          <w:b w:val="0"/>
        </w:rPr>
        <w:t xml:space="preserve">there is a challenge to the distinction drawn between </w:t>
      </w:r>
      <w:r w:rsidR="00B44D58">
        <w:rPr>
          <w:b w:val="0"/>
        </w:rPr>
        <w:t>t</w:t>
      </w:r>
      <w:r w:rsidR="00E22C72">
        <w:rPr>
          <w:b w:val="0"/>
        </w:rPr>
        <w:t xml:space="preserve">he </w:t>
      </w:r>
      <w:r w:rsidR="00F46C3B">
        <w:rPr>
          <w:b w:val="0"/>
        </w:rPr>
        <w:t>Willows Centre and other district centres.  However</w:t>
      </w:r>
      <w:r w:rsidR="00A836AC">
        <w:rPr>
          <w:b w:val="0"/>
        </w:rPr>
        <w:t>,</w:t>
      </w:r>
      <w:r w:rsidR="00F46C3B">
        <w:rPr>
          <w:b w:val="0"/>
        </w:rPr>
        <w:t xml:space="preserve"> as the 2014 PBA viability report notes the Willows Centre operates as an out-of-centre retail park.</w:t>
      </w:r>
      <w:r w:rsidR="00B27044">
        <w:rPr>
          <w:b w:val="0"/>
        </w:rPr>
        <w:t xml:space="preserve">  The evidence showed that for out-of-centre </w:t>
      </w:r>
      <w:r w:rsidR="00B37049">
        <w:rPr>
          <w:b w:val="0"/>
        </w:rPr>
        <w:t>c</w:t>
      </w:r>
      <w:r w:rsidR="00B27044">
        <w:rPr>
          <w:b w:val="0"/>
        </w:rPr>
        <w:t>omparison retail a charge of £123 would be acceptable without jeopardising the viability of such development.  The 2016 PBA viability work endorsed the view that a CIL charge of £120 for re</w:t>
      </w:r>
      <w:r w:rsidR="00A836AC">
        <w:rPr>
          <w:b w:val="0"/>
        </w:rPr>
        <w:t xml:space="preserve">tail development of over 300 </w:t>
      </w:r>
      <w:proofErr w:type="spellStart"/>
      <w:r w:rsidR="00A836AC">
        <w:rPr>
          <w:b w:val="0"/>
        </w:rPr>
        <w:t>sqm</w:t>
      </w:r>
      <w:proofErr w:type="spellEnd"/>
      <w:r w:rsidR="00B27044">
        <w:rPr>
          <w:b w:val="0"/>
        </w:rPr>
        <w:t xml:space="preserve"> </w:t>
      </w:r>
      <w:r w:rsidR="00DE2D89">
        <w:rPr>
          <w:b w:val="0"/>
        </w:rPr>
        <w:t xml:space="preserve">in </w:t>
      </w:r>
      <w:r w:rsidR="00B27044">
        <w:rPr>
          <w:b w:val="0"/>
        </w:rPr>
        <w:t>out</w:t>
      </w:r>
      <w:r w:rsidR="00DE2D89">
        <w:rPr>
          <w:b w:val="0"/>
        </w:rPr>
        <w:t>-</w:t>
      </w:r>
      <w:r w:rsidR="00B27044">
        <w:rPr>
          <w:b w:val="0"/>
        </w:rPr>
        <w:t>of</w:t>
      </w:r>
      <w:r w:rsidR="00DE2D89">
        <w:rPr>
          <w:b w:val="0"/>
        </w:rPr>
        <w:t>-</w:t>
      </w:r>
      <w:r w:rsidR="00B27044">
        <w:rPr>
          <w:b w:val="0"/>
        </w:rPr>
        <w:t xml:space="preserve">town centres would be acceptable.    </w:t>
      </w:r>
      <w:r w:rsidR="00F46C3B">
        <w:rPr>
          <w:b w:val="0"/>
        </w:rPr>
        <w:t xml:space="preserve">  </w:t>
      </w:r>
      <w:r>
        <w:rPr>
          <w:b w:val="0"/>
          <w:color w:val="0000FF"/>
        </w:rPr>
        <w:t xml:space="preserve"> </w:t>
      </w:r>
    </w:p>
    <w:p w:rsidR="005410D3" w:rsidRPr="00520373" w:rsidRDefault="005237F9" w:rsidP="005410D3">
      <w:pPr>
        <w:pStyle w:val="Default"/>
        <w:rPr>
          <w:rFonts w:ascii="Verdana" w:eastAsia="Verdana" w:hAnsi="Verdana" w:cs="Verdana"/>
          <w:i/>
          <w:sz w:val="22"/>
          <w:szCs w:val="22"/>
        </w:rPr>
      </w:pPr>
      <w:r w:rsidRPr="00520373">
        <w:rPr>
          <w:rFonts w:ascii="Verdana" w:eastAsia="Verdana" w:hAnsi="Verdana" w:cs="Verdana"/>
          <w:i/>
          <w:sz w:val="22"/>
          <w:szCs w:val="22"/>
        </w:rPr>
        <w:t>Conclusion</w:t>
      </w:r>
    </w:p>
    <w:p w:rsidR="005237F9" w:rsidRDefault="005237F9" w:rsidP="005410D3">
      <w:pPr>
        <w:pStyle w:val="Default"/>
        <w:rPr>
          <w:rFonts w:ascii="Verdana" w:eastAsia="Verdana" w:hAnsi="Verdana" w:cs="Verdana"/>
          <w:sz w:val="22"/>
          <w:szCs w:val="22"/>
        </w:rPr>
      </w:pPr>
    </w:p>
    <w:p w:rsidR="005237F9" w:rsidRDefault="00B27044" w:rsidP="005237F9">
      <w:pPr>
        <w:pStyle w:val="Default"/>
        <w:numPr>
          <w:ilvl w:val="0"/>
          <w:numId w:val="36"/>
        </w:numPr>
        <w:rPr>
          <w:rFonts w:ascii="Verdana" w:eastAsia="Verdana" w:hAnsi="Verdana" w:cs="Verdana"/>
          <w:sz w:val="22"/>
          <w:szCs w:val="22"/>
        </w:rPr>
      </w:pPr>
      <w:r>
        <w:rPr>
          <w:rFonts w:ascii="Verdana" w:eastAsia="Verdana" w:hAnsi="Verdana" w:cs="Verdana"/>
          <w:sz w:val="22"/>
          <w:szCs w:val="22"/>
        </w:rPr>
        <w:t xml:space="preserve">A realistic view has been taken of the prospects for non-residential development in Torbay.  The limited proposals for charging a CIL on commercial development do not threaten the viability of </w:t>
      </w:r>
      <w:r w:rsidR="00B37049">
        <w:rPr>
          <w:rFonts w:ascii="Verdana" w:eastAsia="Verdana" w:hAnsi="Verdana" w:cs="Verdana"/>
          <w:sz w:val="22"/>
          <w:szCs w:val="22"/>
        </w:rPr>
        <w:t>non-residential development in the plan area as a whole.</w:t>
      </w:r>
      <w:r>
        <w:rPr>
          <w:rFonts w:ascii="Verdana" w:eastAsia="Verdana" w:hAnsi="Verdana" w:cs="Verdana"/>
          <w:sz w:val="22"/>
          <w:szCs w:val="22"/>
        </w:rPr>
        <w:t xml:space="preserve">  </w:t>
      </w:r>
    </w:p>
    <w:p w:rsidR="005237F9" w:rsidRDefault="005237F9" w:rsidP="005410D3">
      <w:pPr>
        <w:pStyle w:val="Default"/>
        <w:rPr>
          <w:rFonts w:ascii="Verdana" w:eastAsia="Verdana" w:hAnsi="Verdana" w:cs="Verdana"/>
          <w:sz w:val="22"/>
          <w:szCs w:val="22"/>
        </w:rPr>
      </w:pPr>
    </w:p>
    <w:p w:rsidR="005237F9" w:rsidRPr="00AC3ABB" w:rsidRDefault="005237F9" w:rsidP="005410D3">
      <w:pPr>
        <w:pStyle w:val="Default"/>
        <w:rPr>
          <w:rFonts w:ascii="Verdana" w:eastAsia="Verdana" w:hAnsi="Verdana" w:cs="Verdana"/>
          <w:sz w:val="22"/>
          <w:szCs w:val="22"/>
        </w:rPr>
      </w:pPr>
    </w:p>
    <w:p w:rsidR="005410D3" w:rsidRDefault="004E364F" w:rsidP="00A01B1C">
      <w:pPr>
        <w:pStyle w:val="Default"/>
        <w:rPr>
          <w:rFonts w:ascii="Verdana" w:hAnsi="Verdana" w:cs="Helvetica"/>
          <w:b/>
          <w:color w:val="auto"/>
          <w:sz w:val="22"/>
          <w:szCs w:val="22"/>
        </w:rPr>
      </w:pPr>
      <w:r w:rsidRPr="00AC3ABB">
        <w:rPr>
          <w:rFonts w:ascii="Verdana" w:hAnsi="Verdana" w:cs="Helvetica"/>
          <w:b/>
          <w:color w:val="auto"/>
          <w:sz w:val="22"/>
          <w:szCs w:val="22"/>
        </w:rPr>
        <w:t xml:space="preserve">Has evidence been provided that shows the proposed rates would not threaten delivery of the </w:t>
      </w:r>
      <w:r w:rsidR="00A01B1C">
        <w:rPr>
          <w:rFonts w:ascii="Verdana" w:hAnsi="Verdana" w:cs="Helvetica"/>
          <w:b/>
          <w:color w:val="auto"/>
          <w:sz w:val="22"/>
          <w:szCs w:val="22"/>
        </w:rPr>
        <w:t>Local Plan as a whole?</w:t>
      </w:r>
    </w:p>
    <w:p w:rsidR="00A01B1C" w:rsidRDefault="00A01B1C" w:rsidP="00A01B1C">
      <w:pPr>
        <w:pStyle w:val="Default"/>
        <w:rPr>
          <w:rFonts w:ascii="Verdana" w:eastAsia="Verdana" w:hAnsi="Verdana" w:cs="Verdana"/>
          <w:sz w:val="22"/>
          <w:szCs w:val="22"/>
        </w:rPr>
      </w:pPr>
    </w:p>
    <w:p w:rsidR="005237F9" w:rsidRPr="00520373" w:rsidRDefault="00761989" w:rsidP="00874443">
      <w:pPr>
        <w:pStyle w:val="DPDIntro"/>
        <w:widowControl w:val="0"/>
        <w:numPr>
          <w:ilvl w:val="0"/>
          <w:numId w:val="36"/>
        </w:numPr>
        <w:rPr>
          <w:b w:val="0"/>
        </w:rPr>
      </w:pPr>
      <w:r w:rsidRPr="00520373">
        <w:rPr>
          <w:b w:val="0"/>
        </w:rPr>
        <w:t xml:space="preserve">The Council’s decision to </w:t>
      </w:r>
      <w:r w:rsidR="00C11A32">
        <w:rPr>
          <w:b w:val="0"/>
        </w:rPr>
        <w:t>use a matrix approach is</w:t>
      </w:r>
      <w:r w:rsidRPr="00520373">
        <w:rPr>
          <w:b w:val="0"/>
        </w:rPr>
        <w:t xml:space="preserve"> based on reasonable assumptions about development values and likely costs.  </w:t>
      </w:r>
    </w:p>
    <w:p w:rsidR="00C11A32" w:rsidRPr="00C11A32" w:rsidRDefault="00761989" w:rsidP="00957D96">
      <w:pPr>
        <w:pStyle w:val="DPDIntro"/>
        <w:widowControl w:val="0"/>
        <w:numPr>
          <w:ilvl w:val="0"/>
          <w:numId w:val="36"/>
        </w:numPr>
        <w:rPr>
          <w:rFonts w:eastAsia="Verdana" w:cs="Verdana"/>
          <w:szCs w:val="22"/>
        </w:rPr>
      </w:pPr>
      <w:r w:rsidRPr="00520373">
        <w:rPr>
          <w:b w:val="0"/>
        </w:rPr>
        <w:t>In setting the CIL charging rate the Council has had regard to detailed evidence</w:t>
      </w:r>
      <w:r w:rsidRPr="000919F4">
        <w:rPr>
          <w:b w:val="0"/>
        </w:rPr>
        <w:t xml:space="preserve"> on infrastructure planning and the economic viability evidence of the </w:t>
      </w:r>
      <w:r>
        <w:rPr>
          <w:b w:val="0"/>
        </w:rPr>
        <w:t>development market in</w:t>
      </w:r>
      <w:r w:rsidRPr="00C11A32">
        <w:rPr>
          <w:color w:val="0000FF"/>
        </w:rPr>
        <w:t xml:space="preserve"> </w:t>
      </w:r>
      <w:r w:rsidR="00C11A32" w:rsidRPr="00C11A32">
        <w:rPr>
          <w:b w:val="0"/>
        </w:rPr>
        <w:t>Torbay</w:t>
      </w:r>
      <w:r w:rsidRPr="00C11A32">
        <w:rPr>
          <w:b w:val="0"/>
        </w:rPr>
        <w:t>.</w:t>
      </w:r>
      <w:r w:rsidRPr="00C11A32">
        <w:rPr>
          <w:b w:val="0"/>
          <w:color w:val="0000FF"/>
        </w:rPr>
        <w:t xml:space="preserve"> </w:t>
      </w:r>
      <w:r>
        <w:rPr>
          <w:b w:val="0"/>
        </w:rPr>
        <w:t>T</w:t>
      </w:r>
      <w:r w:rsidRPr="00C557D3">
        <w:rPr>
          <w:b w:val="0"/>
        </w:rPr>
        <w:t xml:space="preserve">he Council has </w:t>
      </w:r>
      <w:r>
        <w:rPr>
          <w:b w:val="0"/>
        </w:rPr>
        <w:t xml:space="preserve">tried to be realistic in terms of achieving a reasonable level of income to address an acknowledged gap in infrastructure funding, while ensuring that a range of development remains viable across </w:t>
      </w:r>
      <w:r w:rsidR="00C11A32" w:rsidRPr="00C11A32">
        <w:rPr>
          <w:b w:val="0"/>
        </w:rPr>
        <w:t>Torbay</w:t>
      </w:r>
      <w:r w:rsidRPr="00C11A32">
        <w:rPr>
          <w:b w:val="0"/>
        </w:rPr>
        <w:t>.</w:t>
      </w:r>
      <w:r>
        <w:rPr>
          <w:b w:val="0"/>
        </w:rPr>
        <w:t xml:space="preserve"> </w:t>
      </w:r>
    </w:p>
    <w:p w:rsidR="005410D3" w:rsidRPr="00AC3ABB" w:rsidRDefault="005410D3" w:rsidP="005410D3">
      <w:pPr>
        <w:pStyle w:val="Default"/>
        <w:rPr>
          <w:rFonts w:ascii="Verdana" w:eastAsia="Verdana" w:hAnsi="Verdana" w:cs="Verdana"/>
          <w:color w:val="auto"/>
          <w:sz w:val="22"/>
          <w:szCs w:val="22"/>
        </w:rPr>
      </w:pPr>
    </w:p>
    <w:p w:rsidR="005410D3" w:rsidRPr="00AC3ABB" w:rsidRDefault="005410D3" w:rsidP="005410D3">
      <w:pPr>
        <w:pStyle w:val="Default"/>
        <w:rPr>
          <w:rFonts w:ascii="Verdana" w:eastAsia="Verdana" w:hAnsi="Verdana" w:cs="Verdana"/>
          <w:b/>
          <w:bCs/>
          <w:sz w:val="22"/>
          <w:szCs w:val="22"/>
        </w:rPr>
      </w:pPr>
      <w:r w:rsidRPr="00AC3ABB">
        <w:rPr>
          <w:rFonts w:ascii="Verdana" w:hAnsi="Verdana"/>
          <w:b/>
          <w:bCs/>
          <w:sz w:val="22"/>
          <w:szCs w:val="22"/>
          <w:lang w:val="en-US"/>
        </w:rPr>
        <w:t>Overall Conclusion</w:t>
      </w:r>
    </w:p>
    <w:p w:rsidR="005410D3" w:rsidRPr="00AC3ABB" w:rsidRDefault="005410D3" w:rsidP="005410D3">
      <w:pPr>
        <w:pStyle w:val="Default"/>
        <w:rPr>
          <w:rFonts w:ascii="Verdana" w:eastAsia="Verdana" w:hAnsi="Verdana" w:cs="Verdana"/>
          <w:sz w:val="22"/>
          <w:szCs w:val="22"/>
        </w:rPr>
      </w:pPr>
    </w:p>
    <w:p w:rsidR="005410D3" w:rsidRPr="00AC3ABB" w:rsidRDefault="005410D3" w:rsidP="00C11A32">
      <w:pPr>
        <w:pStyle w:val="Default"/>
        <w:numPr>
          <w:ilvl w:val="0"/>
          <w:numId w:val="36"/>
        </w:numPr>
        <w:pBdr>
          <w:top w:val="nil"/>
          <w:left w:val="nil"/>
          <w:bottom w:val="nil"/>
          <w:right w:val="nil"/>
          <w:between w:val="nil"/>
          <w:bar w:val="nil"/>
        </w:pBdr>
        <w:autoSpaceDE/>
        <w:autoSpaceDN/>
        <w:adjustRightInd/>
        <w:rPr>
          <w:rFonts w:ascii="Verdana" w:eastAsia="Verdana" w:hAnsi="Verdana" w:cs="Verdana"/>
          <w:sz w:val="22"/>
          <w:szCs w:val="22"/>
        </w:rPr>
      </w:pPr>
      <w:r w:rsidRPr="00AC3ABB">
        <w:rPr>
          <w:rFonts w:ascii="Verdana" w:hAnsi="Verdana"/>
          <w:sz w:val="22"/>
          <w:szCs w:val="22"/>
          <w:lang w:val="en-US"/>
        </w:rPr>
        <w:t xml:space="preserve">I conclude that the </w:t>
      </w:r>
      <w:r w:rsidR="00CD537B">
        <w:rPr>
          <w:rFonts w:ascii="Verdana" w:hAnsi="Verdana"/>
          <w:sz w:val="22"/>
          <w:szCs w:val="22"/>
          <w:lang w:val="en-US"/>
        </w:rPr>
        <w:t xml:space="preserve">draft </w:t>
      </w:r>
      <w:r w:rsidR="00C11A32">
        <w:rPr>
          <w:rFonts w:ascii="Verdana" w:hAnsi="Verdana"/>
          <w:sz w:val="22"/>
          <w:szCs w:val="22"/>
          <w:lang w:val="en-US"/>
        </w:rPr>
        <w:t>Torbay</w:t>
      </w:r>
      <w:r w:rsidR="00631EB3">
        <w:rPr>
          <w:rFonts w:ascii="Verdana" w:hAnsi="Verdana"/>
          <w:sz w:val="22"/>
          <w:szCs w:val="22"/>
          <w:lang w:val="en-US"/>
        </w:rPr>
        <w:t xml:space="preserve"> </w:t>
      </w:r>
      <w:r w:rsidRPr="00AC3ABB">
        <w:rPr>
          <w:rFonts w:ascii="Verdana" w:hAnsi="Verdana"/>
          <w:sz w:val="22"/>
          <w:szCs w:val="22"/>
          <w:lang w:val="en-US"/>
        </w:rPr>
        <w:t xml:space="preserve">Community Infrastructure </w:t>
      </w:r>
      <w:r w:rsidR="006B7B61" w:rsidRPr="00AC3ABB">
        <w:rPr>
          <w:rFonts w:ascii="Verdana" w:hAnsi="Verdana"/>
          <w:sz w:val="22"/>
          <w:szCs w:val="22"/>
          <w:lang w:val="en-US"/>
        </w:rPr>
        <w:t>Levy Charging</w:t>
      </w:r>
      <w:r w:rsidRPr="00AC3ABB">
        <w:rPr>
          <w:rFonts w:ascii="Verdana" w:hAnsi="Verdana"/>
          <w:sz w:val="22"/>
          <w:szCs w:val="22"/>
          <w:lang w:val="en-US"/>
        </w:rPr>
        <w:t xml:space="preserve"> Schedule</w:t>
      </w:r>
      <w:r w:rsidR="00631EB3">
        <w:rPr>
          <w:rFonts w:ascii="Verdana" w:hAnsi="Verdana"/>
          <w:sz w:val="22"/>
          <w:szCs w:val="22"/>
          <w:lang w:val="en-US"/>
        </w:rPr>
        <w:t>, subject to the making of the modification</w:t>
      </w:r>
      <w:r w:rsidR="00761989">
        <w:rPr>
          <w:rFonts w:ascii="Verdana" w:hAnsi="Verdana"/>
          <w:sz w:val="22"/>
          <w:szCs w:val="22"/>
          <w:lang w:val="en-US"/>
        </w:rPr>
        <w:t>s</w:t>
      </w:r>
      <w:r w:rsidR="00631EB3">
        <w:rPr>
          <w:rFonts w:ascii="Verdana" w:hAnsi="Verdana"/>
          <w:sz w:val="22"/>
          <w:szCs w:val="22"/>
          <w:lang w:val="en-US"/>
        </w:rPr>
        <w:t xml:space="preserve"> set out in </w:t>
      </w:r>
      <w:r w:rsidR="004F7AFD">
        <w:rPr>
          <w:rFonts w:ascii="Verdana" w:hAnsi="Verdana"/>
          <w:sz w:val="22"/>
          <w:szCs w:val="22"/>
          <w:lang w:val="en-US"/>
        </w:rPr>
        <w:t xml:space="preserve">Appendix A, </w:t>
      </w:r>
      <w:r w:rsidRPr="00DE2D89">
        <w:rPr>
          <w:rFonts w:ascii="Verdana" w:hAnsi="Verdana"/>
          <w:sz w:val="22"/>
          <w:szCs w:val="22"/>
          <w:lang w:val="en-US"/>
        </w:rPr>
        <w:t>satisf</w:t>
      </w:r>
      <w:r w:rsidR="005237F9" w:rsidRPr="00DE2D89">
        <w:rPr>
          <w:rFonts w:ascii="Verdana" w:hAnsi="Verdana"/>
          <w:sz w:val="22"/>
          <w:szCs w:val="22"/>
          <w:lang w:val="en-US"/>
        </w:rPr>
        <w:t>ies</w:t>
      </w:r>
      <w:r w:rsidRPr="00AC3ABB">
        <w:rPr>
          <w:rFonts w:ascii="Verdana" w:hAnsi="Verdana"/>
          <w:sz w:val="22"/>
          <w:szCs w:val="22"/>
          <w:lang w:val="en-US"/>
        </w:rPr>
        <w:t xml:space="preserve"> the </w:t>
      </w:r>
      <w:r w:rsidR="002943C3" w:rsidRPr="00AC3ABB">
        <w:rPr>
          <w:rFonts w:ascii="Verdana" w:hAnsi="Verdana"/>
          <w:sz w:val="22"/>
          <w:szCs w:val="22"/>
          <w:lang w:val="en-US"/>
        </w:rPr>
        <w:t xml:space="preserve">drafting </w:t>
      </w:r>
      <w:r w:rsidR="00FA06A0" w:rsidRPr="00AC3ABB">
        <w:rPr>
          <w:rFonts w:ascii="Verdana" w:hAnsi="Verdana"/>
          <w:sz w:val="22"/>
          <w:szCs w:val="22"/>
          <w:lang w:val="en-US"/>
        </w:rPr>
        <w:t>requirements and</w:t>
      </w:r>
      <w:r w:rsidR="002943C3" w:rsidRPr="00AC3ABB">
        <w:rPr>
          <w:rFonts w:ascii="Verdana" w:hAnsi="Verdana"/>
          <w:sz w:val="22"/>
          <w:szCs w:val="22"/>
          <w:lang w:val="en-US"/>
        </w:rPr>
        <w:t xml:space="preserve"> </w:t>
      </w:r>
      <w:r w:rsidRPr="00AC3ABB">
        <w:rPr>
          <w:rFonts w:ascii="Verdana" w:hAnsi="Verdana"/>
          <w:sz w:val="22"/>
          <w:szCs w:val="22"/>
          <w:lang w:val="en-US"/>
        </w:rPr>
        <w:t xml:space="preserve">I therefore recommend that the </w:t>
      </w:r>
      <w:r w:rsidR="00CD537B">
        <w:rPr>
          <w:rFonts w:ascii="Verdana" w:hAnsi="Verdana"/>
          <w:sz w:val="22"/>
          <w:szCs w:val="22"/>
          <w:lang w:val="en-US"/>
        </w:rPr>
        <w:t>d</w:t>
      </w:r>
      <w:r w:rsidRPr="00AC3ABB">
        <w:rPr>
          <w:rFonts w:ascii="Verdana" w:hAnsi="Verdana"/>
          <w:sz w:val="22"/>
          <w:szCs w:val="22"/>
          <w:lang w:val="en-US"/>
        </w:rPr>
        <w:t>raft Charging Schedule be approved.</w:t>
      </w:r>
    </w:p>
    <w:p w:rsidR="005410D3" w:rsidRPr="00AC3ABB" w:rsidRDefault="005410D3" w:rsidP="005410D3">
      <w:pPr>
        <w:pStyle w:val="Default"/>
        <w:rPr>
          <w:rFonts w:ascii="Verdana" w:eastAsia="Verdana" w:hAnsi="Verdana" w:cs="Verdana"/>
          <w:sz w:val="22"/>
          <w:szCs w:val="22"/>
        </w:rPr>
      </w:pPr>
    </w:p>
    <w:p w:rsidR="007303B6" w:rsidRDefault="007303B6" w:rsidP="005410D3">
      <w:pPr>
        <w:pStyle w:val="Default"/>
        <w:rPr>
          <w:rFonts w:ascii="Monotype Corsiva" w:eastAsia="Verdana" w:hAnsi="Monotype Corsiva" w:cs="Verdana"/>
          <w:sz w:val="36"/>
          <w:szCs w:val="36"/>
        </w:rPr>
      </w:pPr>
    </w:p>
    <w:p w:rsidR="007303B6" w:rsidRDefault="00DE2D89" w:rsidP="005410D3">
      <w:pPr>
        <w:pStyle w:val="Default"/>
        <w:rPr>
          <w:rFonts w:ascii="Monotype Corsiva" w:eastAsia="Verdana" w:hAnsi="Monotype Corsiva" w:cs="Verdana"/>
          <w:sz w:val="36"/>
          <w:szCs w:val="36"/>
        </w:rPr>
      </w:pPr>
      <w:r>
        <w:rPr>
          <w:rFonts w:ascii="Monotype Corsiva" w:eastAsia="Verdana" w:hAnsi="Monotype Corsiva" w:cs="Verdana"/>
          <w:sz w:val="36"/>
          <w:szCs w:val="36"/>
        </w:rPr>
        <w:t>Keith Holland</w:t>
      </w:r>
    </w:p>
    <w:p w:rsidR="004F7AFD" w:rsidRDefault="004F7AFD" w:rsidP="005410D3">
      <w:pPr>
        <w:pStyle w:val="Default"/>
        <w:rPr>
          <w:rFonts w:ascii="Verdana" w:eastAsia="Verdana" w:hAnsi="Verdana" w:cs="Verdana"/>
          <w:sz w:val="22"/>
          <w:szCs w:val="22"/>
        </w:rPr>
      </w:pPr>
    </w:p>
    <w:p w:rsidR="007303B6" w:rsidRPr="00C86FF3" w:rsidRDefault="007303B6" w:rsidP="005410D3">
      <w:pPr>
        <w:pStyle w:val="Default"/>
        <w:rPr>
          <w:rFonts w:ascii="Verdana" w:eastAsia="Verdana" w:hAnsi="Verdana" w:cs="Verdana"/>
          <w:sz w:val="22"/>
          <w:szCs w:val="22"/>
        </w:rPr>
      </w:pPr>
      <w:r w:rsidRPr="00C86FF3">
        <w:rPr>
          <w:rFonts w:ascii="Verdana" w:eastAsia="Verdana" w:hAnsi="Verdana" w:cs="Verdana"/>
          <w:sz w:val="22"/>
          <w:szCs w:val="22"/>
        </w:rPr>
        <w:t>Examiner</w:t>
      </w:r>
    </w:p>
    <w:p w:rsidR="005410D3" w:rsidRDefault="005410D3" w:rsidP="005410D3">
      <w:pPr>
        <w:pStyle w:val="Default"/>
        <w:rPr>
          <w:rFonts w:ascii="SignPainter" w:eastAsia="SignPainter" w:hAnsi="SignPainter" w:cs="SignPainter"/>
        </w:rPr>
      </w:pPr>
    </w:p>
    <w:p w:rsidR="005410D3" w:rsidRDefault="005410D3" w:rsidP="005410D3">
      <w:pPr>
        <w:pStyle w:val="Default"/>
        <w:rPr>
          <w:rFonts w:ascii="SignPainter" w:eastAsia="SignPainter" w:hAnsi="SignPainter" w:cs="SignPainter"/>
        </w:rPr>
      </w:pPr>
    </w:p>
    <w:p w:rsidR="005410D3" w:rsidRDefault="005410D3" w:rsidP="00896FAC">
      <w:pPr>
        <w:pStyle w:val="DPDIntro"/>
        <w:widowControl w:val="0"/>
      </w:pPr>
    </w:p>
    <w:p w:rsidR="00E126E4" w:rsidRPr="00A836AC" w:rsidRDefault="00E126E4" w:rsidP="00A836AC">
      <w:pPr>
        <w:spacing w:after="160" w:line="259" w:lineRule="auto"/>
        <w:ind w:left="0" w:firstLine="0"/>
        <w:jc w:val="left"/>
      </w:pPr>
      <w:r w:rsidRPr="00AC3ABB">
        <w:rPr>
          <w:b/>
          <w:szCs w:val="22"/>
          <w:lang w:val="en-US"/>
        </w:rPr>
        <w:t>Appendix A</w:t>
      </w:r>
    </w:p>
    <w:p w:rsidR="00E126E4" w:rsidRPr="00AC3ABB" w:rsidRDefault="00E126E4" w:rsidP="00E126E4">
      <w:pPr>
        <w:pStyle w:val="Default"/>
        <w:rPr>
          <w:rFonts w:ascii="Verdana" w:eastAsia="Verdana" w:hAnsi="Verdana" w:cs="Verdana"/>
          <w:sz w:val="22"/>
          <w:szCs w:val="22"/>
        </w:rPr>
      </w:pPr>
    </w:p>
    <w:p w:rsidR="00E126E4" w:rsidRPr="00AC3ABB" w:rsidRDefault="00AC3ABB" w:rsidP="00E126E4">
      <w:pPr>
        <w:pStyle w:val="Default"/>
        <w:rPr>
          <w:rFonts w:ascii="Verdana" w:eastAsia="Verdana" w:hAnsi="Verdana" w:cs="Verdana"/>
          <w:sz w:val="22"/>
          <w:szCs w:val="22"/>
        </w:rPr>
      </w:pPr>
      <w:r>
        <w:rPr>
          <w:rFonts w:ascii="Verdana" w:hAnsi="Verdana"/>
          <w:sz w:val="22"/>
          <w:szCs w:val="22"/>
          <w:lang w:val="en-US"/>
        </w:rPr>
        <w:t xml:space="preserve">Examiner </w:t>
      </w:r>
      <w:r w:rsidR="00E126E4" w:rsidRPr="00AC3ABB">
        <w:rPr>
          <w:rFonts w:ascii="Verdana" w:hAnsi="Verdana"/>
          <w:sz w:val="22"/>
          <w:szCs w:val="22"/>
          <w:lang w:val="en-US"/>
        </w:rPr>
        <w:t>Modification</w:t>
      </w:r>
      <w:r w:rsidR="00761989">
        <w:rPr>
          <w:rFonts w:ascii="Verdana" w:hAnsi="Verdana"/>
          <w:sz w:val="22"/>
          <w:szCs w:val="22"/>
          <w:lang w:val="en-US"/>
        </w:rPr>
        <w:t>s</w:t>
      </w:r>
      <w:r w:rsidR="00E126E4" w:rsidRPr="00AC3ABB">
        <w:rPr>
          <w:rFonts w:ascii="Verdana" w:hAnsi="Verdana"/>
          <w:sz w:val="22"/>
          <w:szCs w:val="22"/>
          <w:lang w:val="en-US"/>
        </w:rPr>
        <w:t xml:space="preserve"> </w:t>
      </w:r>
      <w:r>
        <w:rPr>
          <w:rFonts w:ascii="Verdana" w:hAnsi="Verdana"/>
          <w:sz w:val="22"/>
          <w:szCs w:val="22"/>
          <w:lang w:val="en-US"/>
        </w:rPr>
        <w:t xml:space="preserve">(EM) </w:t>
      </w:r>
      <w:r w:rsidR="00E126E4" w:rsidRPr="00AC3ABB">
        <w:rPr>
          <w:rFonts w:ascii="Verdana" w:hAnsi="Verdana"/>
          <w:sz w:val="22"/>
          <w:szCs w:val="22"/>
          <w:lang w:val="en-US"/>
        </w:rPr>
        <w:t xml:space="preserve">recommended </w:t>
      </w:r>
      <w:r>
        <w:rPr>
          <w:rFonts w:ascii="Verdana" w:hAnsi="Verdana"/>
          <w:sz w:val="22"/>
          <w:szCs w:val="22"/>
          <w:lang w:val="en-US"/>
        </w:rPr>
        <w:t>i</w:t>
      </w:r>
      <w:r w:rsidR="00E126E4" w:rsidRPr="00AC3ABB">
        <w:rPr>
          <w:rFonts w:ascii="Verdana" w:hAnsi="Verdana"/>
          <w:sz w:val="22"/>
          <w:szCs w:val="22"/>
          <w:lang w:val="en-US"/>
        </w:rPr>
        <w:t>n order that the charging schedule may be approved.</w:t>
      </w:r>
    </w:p>
    <w:p w:rsidR="00E126E4" w:rsidRPr="00AC3ABB" w:rsidRDefault="00E126E4" w:rsidP="00E126E4">
      <w:pPr>
        <w:pStyle w:val="Default"/>
        <w:rPr>
          <w:rFonts w:ascii="Verdana" w:eastAsia="Verdana" w:hAnsi="Verdana" w:cs="Verdana"/>
          <w:sz w:val="22"/>
          <w:szCs w:val="22"/>
        </w:rPr>
      </w:pPr>
    </w:p>
    <w:tbl>
      <w:tblPr>
        <w:tblStyle w:val="TableGrid"/>
        <w:tblW w:w="0" w:type="auto"/>
        <w:tblInd w:w="432" w:type="dxa"/>
        <w:tblLook w:val="04A0"/>
      </w:tblPr>
      <w:tblGrid>
        <w:gridCol w:w="2545"/>
        <w:gridCol w:w="1868"/>
        <w:gridCol w:w="4397"/>
      </w:tblGrid>
      <w:tr w:rsidR="00E44FB7" w:rsidRPr="003C5B31" w:rsidTr="009C7474">
        <w:tc>
          <w:tcPr>
            <w:tcW w:w="0" w:type="auto"/>
          </w:tcPr>
          <w:p w:rsidR="005D3072" w:rsidRPr="003C5B31" w:rsidRDefault="005D3072" w:rsidP="009C7474">
            <w:pPr>
              <w:spacing w:after="160" w:line="259" w:lineRule="auto"/>
              <w:ind w:left="0" w:firstLine="0"/>
              <w:jc w:val="left"/>
              <w:rPr>
                <w:b/>
              </w:rPr>
            </w:pPr>
            <w:r>
              <w:rPr>
                <w:b/>
              </w:rPr>
              <w:t>Examiner Modificat</w:t>
            </w:r>
            <w:r w:rsidR="00893601">
              <w:rPr>
                <w:b/>
              </w:rPr>
              <w:t>i</w:t>
            </w:r>
            <w:r>
              <w:rPr>
                <w:b/>
              </w:rPr>
              <w:t>on</w:t>
            </w:r>
            <w:r w:rsidRPr="003C5B31">
              <w:rPr>
                <w:b/>
              </w:rPr>
              <w:t xml:space="preserve"> (</w:t>
            </w:r>
            <w:r>
              <w:rPr>
                <w:b/>
              </w:rPr>
              <w:t>EM</w:t>
            </w:r>
            <w:r w:rsidRPr="003C5B31">
              <w:rPr>
                <w:b/>
              </w:rPr>
              <w:t>)</w:t>
            </w:r>
          </w:p>
        </w:tc>
        <w:tc>
          <w:tcPr>
            <w:tcW w:w="0" w:type="auto"/>
          </w:tcPr>
          <w:p w:rsidR="005D3072" w:rsidRPr="003C5B31" w:rsidRDefault="005D3072" w:rsidP="009C7474">
            <w:pPr>
              <w:spacing w:after="160" w:line="259" w:lineRule="auto"/>
              <w:ind w:left="0" w:firstLine="0"/>
              <w:jc w:val="left"/>
              <w:rPr>
                <w:b/>
              </w:rPr>
            </w:pPr>
            <w:r w:rsidRPr="003C5B31">
              <w:rPr>
                <w:b/>
              </w:rPr>
              <w:t>Page no./ other reference</w:t>
            </w:r>
          </w:p>
        </w:tc>
        <w:tc>
          <w:tcPr>
            <w:tcW w:w="0" w:type="auto"/>
          </w:tcPr>
          <w:p w:rsidR="005D3072" w:rsidRPr="003C5B31" w:rsidRDefault="005D3072" w:rsidP="009C7474">
            <w:pPr>
              <w:spacing w:after="160" w:line="259" w:lineRule="auto"/>
              <w:ind w:left="0" w:firstLine="0"/>
              <w:jc w:val="left"/>
              <w:rPr>
                <w:b/>
              </w:rPr>
            </w:pPr>
            <w:r w:rsidRPr="003C5B31">
              <w:rPr>
                <w:b/>
              </w:rPr>
              <w:t>Modification</w:t>
            </w:r>
          </w:p>
        </w:tc>
      </w:tr>
      <w:tr w:rsidR="00E44FB7" w:rsidTr="009C7474">
        <w:tc>
          <w:tcPr>
            <w:tcW w:w="0" w:type="auto"/>
          </w:tcPr>
          <w:p w:rsidR="005D3072" w:rsidRDefault="005D3072" w:rsidP="009C7474">
            <w:pPr>
              <w:spacing w:after="160" w:line="259" w:lineRule="auto"/>
              <w:ind w:left="0" w:firstLine="0"/>
              <w:jc w:val="left"/>
            </w:pPr>
            <w:r>
              <w:t>EM1</w:t>
            </w:r>
          </w:p>
        </w:tc>
        <w:tc>
          <w:tcPr>
            <w:tcW w:w="0" w:type="auto"/>
          </w:tcPr>
          <w:p w:rsidR="005D3072" w:rsidRDefault="005D3072" w:rsidP="007A7443">
            <w:pPr>
              <w:spacing w:after="160" w:line="259" w:lineRule="auto"/>
              <w:ind w:left="0" w:firstLine="0"/>
              <w:jc w:val="left"/>
            </w:pPr>
            <w:r>
              <w:t xml:space="preserve">Page </w:t>
            </w:r>
            <w:r w:rsidR="007A7443">
              <w:t>9 paragraph 26</w:t>
            </w:r>
          </w:p>
        </w:tc>
        <w:tc>
          <w:tcPr>
            <w:tcW w:w="0" w:type="auto"/>
          </w:tcPr>
          <w:p w:rsidR="005D3072" w:rsidRDefault="007A7443" w:rsidP="00D62796">
            <w:pPr>
              <w:spacing w:after="160" w:line="259" w:lineRule="auto"/>
              <w:ind w:left="0" w:firstLine="0"/>
              <w:jc w:val="left"/>
            </w:pPr>
            <w:r>
              <w:t>Amend the Schedule to a charge of zero for schemes of 1-3 dwellings in Zone 2</w:t>
            </w:r>
            <w:r w:rsidR="002F0AC2">
              <w:t>.</w:t>
            </w:r>
          </w:p>
        </w:tc>
      </w:tr>
      <w:tr w:rsidR="00E44FB7" w:rsidTr="009C7474">
        <w:tc>
          <w:tcPr>
            <w:tcW w:w="0" w:type="auto"/>
          </w:tcPr>
          <w:p w:rsidR="005D3072" w:rsidRDefault="007A7443" w:rsidP="009C7474">
            <w:pPr>
              <w:spacing w:after="160" w:line="259" w:lineRule="auto"/>
              <w:ind w:left="0" w:firstLine="0"/>
              <w:jc w:val="left"/>
            </w:pPr>
            <w:r>
              <w:t>E</w:t>
            </w:r>
            <w:r w:rsidR="005D3072">
              <w:t>M2</w:t>
            </w:r>
          </w:p>
        </w:tc>
        <w:tc>
          <w:tcPr>
            <w:tcW w:w="0" w:type="auto"/>
          </w:tcPr>
          <w:p w:rsidR="005D3072" w:rsidRDefault="005D3072" w:rsidP="007A7443">
            <w:pPr>
              <w:spacing w:after="160" w:line="259" w:lineRule="auto"/>
              <w:ind w:left="0" w:firstLine="0"/>
              <w:jc w:val="left"/>
            </w:pPr>
            <w:r>
              <w:t xml:space="preserve">Page </w:t>
            </w:r>
            <w:r w:rsidR="007A7443">
              <w:t>10 paragraph 29</w:t>
            </w:r>
          </w:p>
        </w:tc>
        <w:tc>
          <w:tcPr>
            <w:tcW w:w="0" w:type="auto"/>
          </w:tcPr>
          <w:p w:rsidR="005D3072" w:rsidRDefault="007A7443" w:rsidP="00E87452">
            <w:pPr>
              <w:spacing w:after="160" w:line="259" w:lineRule="auto"/>
              <w:ind w:left="-9" w:firstLine="9"/>
              <w:jc w:val="left"/>
            </w:pPr>
            <w:r>
              <w:t xml:space="preserve">Amend the Schedule </w:t>
            </w:r>
            <w:r w:rsidR="00E87452">
              <w:t xml:space="preserve">to a charge of </w:t>
            </w:r>
            <w:r>
              <w:t>zero for all sites of 30 or more dwellings in Zone 3</w:t>
            </w:r>
            <w:r w:rsidR="002F0AC2">
              <w:t>.</w:t>
            </w:r>
          </w:p>
        </w:tc>
      </w:tr>
      <w:tr w:rsidR="00E44FB7" w:rsidRPr="003C5B31" w:rsidTr="009C7474">
        <w:tc>
          <w:tcPr>
            <w:tcW w:w="0" w:type="auto"/>
          </w:tcPr>
          <w:p w:rsidR="005D3072" w:rsidRDefault="007A7443" w:rsidP="009C7474">
            <w:pPr>
              <w:spacing w:after="160" w:line="259" w:lineRule="auto"/>
              <w:ind w:left="0" w:firstLine="0"/>
              <w:jc w:val="left"/>
            </w:pPr>
            <w:r>
              <w:t>E</w:t>
            </w:r>
            <w:r w:rsidR="005D3072">
              <w:t>M3</w:t>
            </w:r>
          </w:p>
        </w:tc>
        <w:tc>
          <w:tcPr>
            <w:tcW w:w="0" w:type="auto"/>
          </w:tcPr>
          <w:p w:rsidR="005D3072" w:rsidRDefault="005D3072" w:rsidP="009C7474">
            <w:pPr>
              <w:spacing w:after="160" w:line="259" w:lineRule="auto"/>
              <w:ind w:left="0" w:firstLine="0"/>
              <w:jc w:val="left"/>
            </w:pPr>
            <w:r>
              <w:t xml:space="preserve">Page </w:t>
            </w:r>
            <w:r w:rsidR="007A7443">
              <w:t>11 paragraph 32</w:t>
            </w:r>
          </w:p>
          <w:p w:rsidR="005D3072" w:rsidRDefault="005D3072" w:rsidP="009C7474">
            <w:pPr>
              <w:spacing w:after="160" w:line="259" w:lineRule="auto"/>
              <w:ind w:left="0" w:firstLine="0"/>
              <w:jc w:val="left"/>
            </w:pPr>
          </w:p>
        </w:tc>
        <w:tc>
          <w:tcPr>
            <w:tcW w:w="0" w:type="auto"/>
          </w:tcPr>
          <w:p w:rsidR="005D3072" w:rsidRPr="00D62796" w:rsidRDefault="007A7443" w:rsidP="00D62796">
            <w:pPr>
              <w:spacing w:after="160" w:line="259" w:lineRule="auto"/>
              <w:ind w:left="62" w:hanging="7"/>
              <w:jc w:val="left"/>
            </w:pPr>
            <w:r w:rsidRPr="00D62796">
              <w:t xml:space="preserve">Amend the Schedule to include a charge of £140 for schemes of </w:t>
            </w:r>
            <w:r w:rsidR="00D62796" w:rsidRPr="00D62796">
              <w:t>15 – 29 dwellings in Zone 3</w:t>
            </w:r>
            <w:r w:rsidR="002F0AC2">
              <w:t>.</w:t>
            </w:r>
          </w:p>
        </w:tc>
      </w:tr>
      <w:tr w:rsidR="00E44FB7" w:rsidRPr="003C5B31" w:rsidTr="00D62796">
        <w:trPr>
          <w:trHeight w:val="1006"/>
        </w:trPr>
        <w:tc>
          <w:tcPr>
            <w:tcW w:w="0" w:type="auto"/>
          </w:tcPr>
          <w:p w:rsidR="00D62796" w:rsidRDefault="00D62796" w:rsidP="009C7474">
            <w:pPr>
              <w:spacing w:after="160" w:line="259" w:lineRule="auto"/>
              <w:ind w:left="0" w:firstLine="0"/>
              <w:jc w:val="left"/>
            </w:pPr>
            <w:r>
              <w:t>EM4</w:t>
            </w:r>
          </w:p>
        </w:tc>
        <w:tc>
          <w:tcPr>
            <w:tcW w:w="0" w:type="auto"/>
          </w:tcPr>
          <w:p w:rsidR="00D62796" w:rsidRDefault="00D62796" w:rsidP="009C7474">
            <w:pPr>
              <w:spacing w:after="160" w:line="259" w:lineRule="auto"/>
              <w:ind w:left="0" w:firstLine="0"/>
              <w:jc w:val="left"/>
            </w:pPr>
            <w:r>
              <w:t>Page 11 paragraph 34</w:t>
            </w:r>
          </w:p>
        </w:tc>
        <w:tc>
          <w:tcPr>
            <w:tcW w:w="0" w:type="auto"/>
          </w:tcPr>
          <w:p w:rsidR="00D62796" w:rsidRPr="00D62796" w:rsidRDefault="00D62796" w:rsidP="00E44FB7">
            <w:pPr>
              <w:spacing w:after="160" w:line="259" w:lineRule="auto"/>
              <w:ind w:left="62" w:hanging="7"/>
              <w:jc w:val="left"/>
            </w:pPr>
            <w:r>
              <w:t>Amend the Schedule to include a charge of zero for Extra Care Homes</w:t>
            </w:r>
            <w:r w:rsidR="00E44FB7" w:rsidRPr="008644AF">
              <w:t>, and provide a definition of Extra Care Homes.</w:t>
            </w:r>
            <w:r w:rsidR="00E44FB7">
              <w:t xml:space="preserve"> </w:t>
            </w:r>
          </w:p>
        </w:tc>
      </w:tr>
      <w:tr w:rsidR="00E44FB7" w:rsidRPr="003C5B31" w:rsidTr="00D62796">
        <w:trPr>
          <w:trHeight w:val="1006"/>
        </w:trPr>
        <w:tc>
          <w:tcPr>
            <w:tcW w:w="0" w:type="auto"/>
          </w:tcPr>
          <w:p w:rsidR="00E44FB7" w:rsidRPr="008644AF" w:rsidRDefault="00E44FB7" w:rsidP="009C7474">
            <w:pPr>
              <w:spacing w:after="160" w:line="259" w:lineRule="auto"/>
              <w:ind w:left="0" w:firstLine="0"/>
              <w:jc w:val="left"/>
            </w:pPr>
            <w:r w:rsidRPr="008644AF">
              <w:t xml:space="preserve">Informal suggestion/advice </w:t>
            </w:r>
          </w:p>
        </w:tc>
        <w:tc>
          <w:tcPr>
            <w:tcW w:w="0" w:type="auto"/>
          </w:tcPr>
          <w:p w:rsidR="00E44FB7" w:rsidRPr="008644AF" w:rsidRDefault="00DB7994" w:rsidP="009C7474">
            <w:pPr>
              <w:spacing w:after="160" w:line="259" w:lineRule="auto"/>
              <w:ind w:left="0" w:firstLine="0"/>
              <w:jc w:val="left"/>
            </w:pPr>
            <w:r>
              <w:t>Page 11 paragraph 33</w:t>
            </w:r>
            <w:bookmarkStart w:id="0" w:name="_GoBack"/>
            <w:bookmarkEnd w:id="0"/>
            <w:r w:rsidR="00E44FB7" w:rsidRPr="008644AF">
              <w:t xml:space="preserve"> </w:t>
            </w:r>
          </w:p>
        </w:tc>
        <w:tc>
          <w:tcPr>
            <w:tcW w:w="0" w:type="auto"/>
          </w:tcPr>
          <w:p w:rsidR="00E44FB7" w:rsidRPr="008644AF" w:rsidRDefault="00E44FB7" w:rsidP="00E44FB7">
            <w:pPr>
              <w:spacing w:after="160" w:line="259" w:lineRule="auto"/>
              <w:ind w:left="62" w:hanging="7"/>
              <w:jc w:val="left"/>
            </w:pPr>
            <w:r w:rsidRPr="008644AF">
              <w:t xml:space="preserve">The Council should consider the merit of treating strategic sites in Zones 3 and 4 as being for 15 sites and above. </w:t>
            </w:r>
          </w:p>
        </w:tc>
      </w:tr>
    </w:tbl>
    <w:p w:rsidR="00761989" w:rsidRDefault="00761989" w:rsidP="00E126E4">
      <w:pPr>
        <w:pStyle w:val="Default"/>
        <w:rPr>
          <w:rFonts w:ascii="Verdana" w:eastAsia="Verdana" w:hAnsi="Verdana" w:cs="Verdana"/>
          <w:b/>
          <w:sz w:val="22"/>
          <w:szCs w:val="22"/>
        </w:rPr>
      </w:pPr>
    </w:p>
    <w:p w:rsidR="00761989" w:rsidRDefault="00761989" w:rsidP="00E126E4">
      <w:pPr>
        <w:pStyle w:val="Default"/>
        <w:rPr>
          <w:rFonts w:ascii="Verdana" w:eastAsia="Verdana" w:hAnsi="Verdana" w:cs="Verdana"/>
          <w:b/>
          <w:sz w:val="22"/>
          <w:szCs w:val="22"/>
        </w:rPr>
      </w:pPr>
    </w:p>
    <w:p w:rsidR="00761989" w:rsidRPr="00761989" w:rsidRDefault="00761989" w:rsidP="00E126E4">
      <w:pPr>
        <w:pStyle w:val="Default"/>
        <w:rPr>
          <w:rFonts w:ascii="Verdana" w:eastAsia="Verdana" w:hAnsi="Verdana" w:cs="Verdana"/>
          <w:sz w:val="22"/>
          <w:szCs w:val="22"/>
        </w:rPr>
      </w:pPr>
    </w:p>
    <w:sectPr w:rsidR="00761989" w:rsidRPr="00761989" w:rsidSect="00166ADC">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19E" w:rsidRDefault="0089719E" w:rsidP="00F82C24">
      <w:r>
        <w:separator/>
      </w:r>
    </w:p>
  </w:endnote>
  <w:endnote w:type="continuationSeparator" w:id="0">
    <w:p w:rsidR="0089719E" w:rsidRDefault="0089719E" w:rsidP="00F82C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nsport Light">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SignPainter">
    <w:altName w:val="Times New Roman"/>
    <w:charset w:val="00"/>
    <w:family w:val="roman"/>
    <w:pitch w:val="default"/>
    <w:sig w:usb0="00000000" w:usb1="00000000" w:usb2="00000000" w:usb3="00000000" w:csb0="00000000" w:csb1="00000000"/>
  </w:font>
  <w:font w:name="Microsoft JhengHei UI">
    <w:altName w:val="Microsoft JhengHei"/>
    <w:charset w:val="88"/>
    <w:family w:val="swiss"/>
    <w:pitch w:val="variable"/>
    <w:sig w:usb0="000002A7" w:usb1="28CF44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227398"/>
      <w:docPartObj>
        <w:docPartGallery w:val="Page Numbers (Bottom of Page)"/>
        <w:docPartUnique/>
      </w:docPartObj>
    </w:sdtPr>
    <w:sdtEndPr>
      <w:rPr>
        <w:noProof/>
      </w:rPr>
    </w:sdtEndPr>
    <w:sdtContent>
      <w:p w:rsidR="00E82D45" w:rsidRPr="00D20769" w:rsidRDefault="00E82D45" w:rsidP="00E82D45">
        <w:pPr>
          <w:pStyle w:val="Footer"/>
          <w:jc w:val="center"/>
          <w:rPr>
            <w:rFonts w:ascii="Microsoft JhengHei UI" w:eastAsia="Microsoft JhengHei UI" w:hAnsi="Microsoft JhengHei UI"/>
            <w:color w:val="002060"/>
            <w:sz w:val="20"/>
          </w:rPr>
        </w:pPr>
        <w:r w:rsidRPr="00CB17B1">
          <w:rPr>
            <w:rFonts w:ascii="Microsoft JhengHei UI" w:eastAsia="Microsoft JhengHei UI" w:hAnsi="Microsoft JhengHei UI"/>
            <w:color w:val="002060"/>
            <w:sz w:val="20"/>
          </w:rPr>
          <w:t xml:space="preserve">Intelligent Plans and Examinations (IPE) Ltd, Regency Offices, </w:t>
        </w:r>
        <w:r>
          <w:rPr>
            <w:rFonts w:ascii="Microsoft JhengHei UI" w:eastAsia="Microsoft JhengHei UI" w:hAnsi="Microsoft JhengHei UI"/>
            <w:color w:val="002060"/>
            <w:sz w:val="20"/>
          </w:rPr>
          <w:t xml:space="preserve">3 </w:t>
        </w:r>
        <w:proofErr w:type="spellStart"/>
        <w:r>
          <w:rPr>
            <w:rFonts w:ascii="Microsoft JhengHei UI" w:eastAsia="Microsoft JhengHei UI" w:hAnsi="Microsoft JhengHei UI"/>
            <w:color w:val="002060"/>
            <w:sz w:val="20"/>
          </w:rPr>
          <w:t>Portwall</w:t>
        </w:r>
        <w:proofErr w:type="spellEnd"/>
        <w:r>
          <w:rPr>
            <w:rFonts w:ascii="Microsoft JhengHei UI" w:eastAsia="Microsoft JhengHei UI" w:hAnsi="Microsoft JhengHei UI"/>
            <w:color w:val="002060"/>
            <w:sz w:val="20"/>
          </w:rPr>
          <w:t xml:space="preserve"> Lane, Bristol BS1 6NB </w:t>
        </w:r>
        <w:r w:rsidRPr="00CB17B1">
          <w:rPr>
            <w:rFonts w:ascii="Microsoft JhengHei UI" w:eastAsia="Microsoft JhengHei UI" w:hAnsi="Microsoft JhengHei UI"/>
            <w:color w:val="92D050"/>
            <w:sz w:val="16"/>
            <w:szCs w:val="16"/>
          </w:rPr>
          <w:t xml:space="preserve">Registered in England and Wales. Company Reg. No. </w:t>
        </w:r>
        <w:r w:rsidR="00C86FF3">
          <w:rPr>
            <w:rFonts w:ascii="Microsoft JhengHei UI" w:eastAsia="Microsoft JhengHei UI" w:hAnsi="Microsoft JhengHei UI"/>
            <w:color w:val="92D050"/>
            <w:sz w:val="16"/>
            <w:szCs w:val="16"/>
          </w:rPr>
          <w:t>1</w:t>
        </w:r>
        <w:r w:rsidRPr="00CB17B1">
          <w:rPr>
            <w:rFonts w:ascii="Microsoft JhengHei UI" w:eastAsia="Microsoft JhengHei UI" w:hAnsi="Microsoft JhengHei UI"/>
            <w:color w:val="92D050"/>
            <w:sz w:val="16"/>
            <w:szCs w:val="16"/>
          </w:rPr>
          <w:t>0100118</w:t>
        </w:r>
        <w:r>
          <w:rPr>
            <w:rFonts w:ascii="Microsoft JhengHei UI" w:eastAsia="Microsoft JhengHei UI" w:hAnsi="Microsoft JhengHei UI"/>
            <w:color w:val="92D050"/>
            <w:sz w:val="16"/>
            <w:szCs w:val="16"/>
          </w:rPr>
          <w:t xml:space="preserve">. VAT Reg. No. </w:t>
        </w:r>
        <w:r w:rsidRPr="00D20769">
          <w:rPr>
            <w:rFonts w:ascii="Microsoft JhengHei UI" w:eastAsia="Microsoft JhengHei UI" w:hAnsi="Microsoft JhengHei UI"/>
            <w:color w:val="92D050"/>
            <w:sz w:val="16"/>
            <w:szCs w:val="16"/>
          </w:rPr>
          <w:t>237 7641 84</w:t>
        </w:r>
      </w:p>
      <w:p w:rsidR="00E82D45" w:rsidRDefault="00C2360E" w:rsidP="00E82D45">
        <w:pPr>
          <w:pStyle w:val="Footer"/>
          <w:jc w:val="center"/>
        </w:pPr>
        <w:r>
          <w:fldChar w:fldCharType="begin"/>
        </w:r>
        <w:r w:rsidR="00E82D45">
          <w:instrText xml:space="preserve"> PAGE   \* MERGEFORMAT </w:instrText>
        </w:r>
        <w:r>
          <w:fldChar w:fldCharType="separate"/>
        </w:r>
        <w:r w:rsidR="006E2B1F">
          <w:rPr>
            <w:noProof/>
          </w:rPr>
          <w:t>1</w:t>
        </w:r>
        <w:r>
          <w:rPr>
            <w:noProof/>
          </w:rPr>
          <w:fldChar w:fldCharType="end"/>
        </w:r>
      </w:p>
    </w:sdtContent>
  </w:sdt>
  <w:p w:rsidR="00F82C24" w:rsidRDefault="00F82C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19E" w:rsidRDefault="0089719E" w:rsidP="00F82C24">
      <w:r>
        <w:separator/>
      </w:r>
    </w:p>
  </w:footnote>
  <w:footnote w:type="continuationSeparator" w:id="0">
    <w:p w:rsidR="0089719E" w:rsidRDefault="0089719E" w:rsidP="00F82C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3856"/>
    <w:multiLevelType w:val="hybridMultilevel"/>
    <w:tmpl w:val="4E26709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192B7F"/>
    <w:multiLevelType w:val="multilevel"/>
    <w:tmpl w:val="C18E1F9C"/>
    <w:lvl w:ilvl="0">
      <w:start w:val="1"/>
      <w:numFmt w:val="decimal"/>
      <w:lvlText w:val="%1."/>
      <w:lvlJc w:val="left"/>
      <w:pPr>
        <w:tabs>
          <w:tab w:val="num" w:pos="720"/>
        </w:tabs>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095078AC"/>
    <w:multiLevelType w:val="hybridMultilevel"/>
    <w:tmpl w:val="6F80111C"/>
    <w:lvl w:ilvl="0" w:tplc="B7748110">
      <w:start w:val="1"/>
      <w:numFmt w:val="bullet"/>
      <w:lvlText w:val=""/>
      <w:lvlJc w:val="left"/>
      <w:pPr>
        <w:tabs>
          <w:tab w:val="num" w:pos="1440"/>
        </w:tabs>
        <w:ind w:left="1440" w:hanging="360"/>
      </w:pPr>
      <w:rPr>
        <w:rFonts w:ascii="Symbol" w:hAnsi="Symbol"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nsid w:val="18912236"/>
    <w:multiLevelType w:val="multilevel"/>
    <w:tmpl w:val="5DE0ECA6"/>
    <w:lvl w:ilvl="0">
      <w:start w:val="1"/>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4">
    <w:nsid w:val="1BC765F9"/>
    <w:multiLevelType w:val="hybridMultilevel"/>
    <w:tmpl w:val="9E20C06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DA3762"/>
    <w:multiLevelType w:val="hybridMultilevel"/>
    <w:tmpl w:val="AC469AD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5B2C91"/>
    <w:multiLevelType w:val="hybridMultilevel"/>
    <w:tmpl w:val="119E2A6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1A3FFC"/>
    <w:multiLevelType w:val="hybridMultilevel"/>
    <w:tmpl w:val="F204248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AA38A9"/>
    <w:multiLevelType w:val="hybridMultilevel"/>
    <w:tmpl w:val="B6045AFA"/>
    <w:lvl w:ilvl="0" w:tplc="99664E3A">
      <w:start w:val="1"/>
      <w:numFmt w:val="decimal"/>
      <w:lvlText w:val="%1."/>
      <w:lvlJc w:val="left"/>
      <w:pPr>
        <w:tabs>
          <w:tab w:val="num" w:pos="510"/>
        </w:tabs>
        <w:ind w:left="510" w:hanging="510"/>
      </w:pPr>
      <w:rPr>
        <w:rFonts w:hint="default"/>
        <w:color w:val="auto"/>
      </w:rPr>
    </w:lvl>
    <w:lvl w:ilvl="1" w:tplc="BB9E4366">
      <w:start w:val="1"/>
      <w:numFmt w:val="bullet"/>
      <w:lvlText w:val=""/>
      <w:lvlJc w:val="left"/>
      <w:pPr>
        <w:tabs>
          <w:tab w:val="num" w:pos="1534"/>
        </w:tabs>
        <w:ind w:left="1534" w:hanging="454"/>
      </w:pPr>
      <w:rPr>
        <w:rFonts w:ascii="Wingdings" w:hAnsi="Wingding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BB50A8B"/>
    <w:multiLevelType w:val="hybridMultilevel"/>
    <w:tmpl w:val="33968384"/>
    <w:numStyleLink w:val="Numbered"/>
  </w:abstractNum>
  <w:abstractNum w:abstractNumId="10">
    <w:nsid w:val="2E0F2B0A"/>
    <w:multiLevelType w:val="hybridMultilevel"/>
    <w:tmpl w:val="BDEC9DB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921E88"/>
    <w:multiLevelType w:val="hybridMultilevel"/>
    <w:tmpl w:val="F96090C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7073A9"/>
    <w:multiLevelType w:val="hybridMultilevel"/>
    <w:tmpl w:val="ED18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C21FFA"/>
    <w:multiLevelType w:val="hybridMultilevel"/>
    <w:tmpl w:val="E3420C2E"/>
    <w:lvl w:ilvl="0" w:tplc="2D242E0A">
      <w:start w:val="4"/>
      <w:numFmt w:val="bullet"/>
      <w:lvlText w:val="-"/>
      <w:lvlJc w:val="left"/>
      <w:pPr>
        <w:ind w:left="1211" w:hanging="360"/>
      </w:pPr>
      <w:rPr>
        <w:rFonts w:ascii="Transport Light" w:eastAsia="Times New Roman" w:hAnsi="Transport Light" w:cs="Helvetica"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nsid w:val="3F4D3922"/>
    <w:multiLevelType w:val="hybridMultilevel"/>
    <w:tmpl w:val="3DDA49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2A908B2"/>
    <w:multiLevelType w:val="hybridMultilevel"/>
    <w:tmpl w:val="F1724A4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443981"/>
    <w:multiLevelType w:val="hybridMultilevel"/>
    <w:tmpl w:val="8F263966"/>
    <w:lvl w:ilvl="0" w:tplc="5436EF06">
      <w:start w:val="1"/>
      <w:numFmt w:val="bullet"/>
      <w:lvlText w:val=""/>
      <w:lvlJc w:val="left"/>
      <w:pPr>
        <w:tabs>
          <w:tab w:val="num" w:pos="1260"/>
        </w:tabs>
        <w:ind w:left="1260" w:hanging="360"/>
      </w:pPr>
      <w:rPr>
        <w:rFonts w:ascii="Symbol" w:hAnsi="Symbol"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7">
    <w:nsid w:val="43637F6A"/>
    <w:multiLevelType w:val="hybridMultilevel"/>
    <w:tmpl w:val="7C16CEA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47A45D2"/>
    <w:multiLevelType w:val="multilevel"/>
    <w:tmpl w:val="7B6C76AC"/>
    <w:lvl w:ilvl="0">
      <w:start w:val="1"/>
      <w:numFmt w:val="decimal"/>
      <w:lvlText w:val="%1."/>
      <w:lvlJc w:val="left"/>
      <w:pPr>
        <w:ind w:left="764"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1973" w:hanging="108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3019" w:hanging="1800"/>
      </w:pPr>
      <w:rPr>
        <w:rFonts w:hint="default"/>
      </w:rPr>
    </w:lvl>
    <w:lvl w:ilvl="6">
      <w:start w:val="1"/>
      <w:numFmt w:val="decimal"/>
      <w:isLgl/>
      <w:lvlText w:val="%1.%2.%3.%4.%5.%6.%7"/>
      <w:lvlJc w:val="left"/>
      <w:pPr>
        <w:ind w:left="3182" w:hanging="1800"/>
      </w:pPr>
      <w:rPr>
        <w:rFonts w:hint="default"/>
      </w:rPr>
    </w:lvl>
    <w:lvl w:ilvl="7">
      <w:start w:val="1"/>
      <w:numFmt w:val="decimal"/>
      <w:isLgl/>
      <w:lvlText w:val="%1.%2.%3.%4.%5.%6.%7.%8"/>
      <w:lvlJc w:val="left"/>
      <w:pPr>
        <w:ind w:left="3705" w:hanging="2160"/>
      </w:pPr>
      <w:rPr>
        <w:rFonts w:hint="default"/>
      </w:rPr>
    </w:lvl>
    <w:lvl w:ilvl="8">
      <w:start w:val="1"/>
      <w:numFmt w:val="decimal"/>
      <w:isLgl/>
      <w:lvlText w:val="%1.%2.%3.%4.%5.%6.%7.%8.%9"/>
      <w:lvlJc w:val="left"/>
      <w:pPr>
        <w:ind w:left="4228" w:hanging="2520"/>
      </w:pPr>
      <w:rPr>
        <w:rFonts w:hint="default"/>
      </w:rPr>
    </w:lvl>
  </w:abstractNum>
  <w:abstractNum w:abstractNumId="19">
    <w:nsid w:val="4AFF66E4"/>
    <w:multiLevelType w:val="multilevel"/>
    <w:tmpl w:val="111C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5D595F"/>
    <w:multiLevelType w:val="hybridMultilevel"/>
    <w:tmpl w:val="76EEF698"/>
    <w:lvl w:ilvl="0" w:tplc="1582725A">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6219D4"/>
    <w:multiLevelType w:val="hybridMultilevel"/>
    <w:tmpl w:val="DF30CB5C"/>
    <w:lvl w:ilvl="0" w:tplc="08E20BD8">
      <w:start w:val="1"/>
      <w:numFmt w:val="bullet"/>
      <w:lvlText w:val=""/>
      <w:lvlJc w:val="left"/>
      <w:pPr>
        <w:tabs>
          <w:tab w:val="num" w:pos="1440"/>
        </w:tabs>
        <w:ind w:left="1440" w:hanging="360"/>
      </w:pPr>
      <w:rPr>
        <w:rFonts w:ascii="Symbol" w:hAnsi="Symbol" w:hint="default"/>
      </w:rPr>
    </w:lvl>
    <w:lvl w:ilvl="1" w:tplc="C8C23B46" w:tentative="1">
      <w:start w:val="1"/>
      <w:numFmt w:val="lowerLetter"/>
      <w:lvlText w:val="%2."/>
      <w:lvlJc w:val="left"/>
      <w:pPr>
        <w:tabs>
          <w:tab w:val="num" w:pos="2160"/>
        </w:tabs>
        <w:ind w:left="2160" w:hanging="360"/>
      </w:pPr>
    </w:lvl>
    <w:lvl w:ilvl="2" w:tplc="6DD06838" w:tentative="1">
      <w:start w:val="1"/>
      <w:numFmt w:val="lowerRoman"/>
      <w:lvlText w:val="%3."/>
      <w:lvlJc w:val="right"/>
      <w:pPr>
        <w:tabs>
          <w:tab w:val="num" w:pos="2880"/>
        </w:tabs>
        <w:ind w:left="2880" w:hanging="180"/>
      </w:pPr>
    </w:lvl>
    <w:lvl w:ilvl="3" w:tplc="A24E1086" w:tentative="1">
      <w:start w:val="1"/>
      <w:numFmt w:val="decimal"/>
      <w:lvlText w:val="%4."/>
      <w:lvlJc w:val="left"/>
      <w:pPr>
        <w:tabs>
          <w:tab w:val="num" w:pos="3600"/>
        </w:tabs>
        <w:ind w:left="3600" w:hanging="360"/>
      </w:pPr>
    </w:lvl>
    <w:lvl w:ilvl="4" w:tplc="4CB05D2A" w:tentative="1">
      <w:start w:val="1"/>
      <w:numFmt w:val="lowerLetter"/>
      <w:lvlText w:val="%5."/>
      <w:lvlJc w:val="left"/>
      <w:pPr>
        <w:tabs>
          <w:tab w:val="num" w:pos="4320"/>
        </w:tabs>
        <w:ind w:left="4320" w:hanging="360"/>
      </w:pPr>
    </w:lvl>
    <w:lvl w:ilvl="5" w:tplc="8C4EF32A" w:tentative="1">
      <w:start w:val="1"/>
      <w:numFmt w:val="lowerRoman"/>
      <w:lvlText w:val="%6."/>
      <w:lvlJc w:val="right"/>
      <w:pPr>
        <w:tabs>
          <w:tab w:val="num" w:pos="5040"/>
        </w:tabs>
        <w:ind w:left="5040" w:hanging="180"/>
      </w:pPr>
    </w:lvl>
    <w:lvl w:ilvl="6" w:tplc="163EAAF6" w:tentative="1">
      <w:start w:val="1"/>
      <w:numFmt w:val="decimal"/>
      <w:lvlText w:val="%7."/>
      <w:lvlJc w:val="left"/>
      <w:pPr>
        <w:tabs>
          <w:tab w:val="num" w:pos="5760"/>
        </w:tabs>
        <w:ind w:left="5760" w:hanging="360"/>
      </w:pPr>
    </w:lvl>
    <w:lvl w:ilvl="7" w:tplc="4BDA4100" w:tentative="1">
      <w:start w:val="1"/>
      <w:numFmt w:val="lowerLetter"/>
      <w:lvlText w:val="%8."/>
      <w:lvlJc w:val="left"/>
      <w:pPr>
        <w:tabs>
          <w:tab w:val="num" w:pos="6480"/>
        </w:tabs>
        <w:ind w:left="6480" w:hanging="360"/>
      </w:pPr>
    </w:lvl>
    <w:lvl w:ilvl="8" w:tplc="1F72986A" w:tentative="1">
      <w:start w:val="1"/>
      <w:numFmt w:val="lowerRoman"/>
      <w:lvlText w:val="%9."/>
      <w:lvlJc w:val="right"/>
      <w:pPr>
        <w:tabs>
          <w:tab w:val="num" w:pos="7200"/>
        </w:tabs>
        <w:ind w:left="7200" w:hanging="180"/>
      </w:pPr>
    </w:lvl>
  </w:abstractNum>
  <w:abstractNum w:abstractNumId="22">
    <w:nsid w:val="4CDD00FC"/>
    <w:multiLevelType w:val="hybridMultilevel"/>
    <w:tmpl w:val="D5B29D2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ED92766"/>
    <w:multiLevelType w:val="hybridMultilevel"/>
    <w:tmpl w:val="A4B07072"/>
    <w:lvl w:ilvl="0" w:tplc="298C41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17C3C4B"/>
    <w:multiLevelType w:val="hybridMultilevel"/>
    <w:tmpl w:val="B366CC1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5">
    <w:nsid w:val="53147567"/>
    <w:multiLevelType w:val="hybridMultilevel"/>
    <w:tmpl w:val="D9A2B1E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2056ECC0">
      <w:start w:val="1"/>
      <w:numFmt w:val="decimal"/>
      <w:lvlText w:val="%3."/>
      <w:lvlJc w:val="left"/>
      <w:pPr>
        <w:ind w:left="2340" w:hanging="360"/>
      </w:pPr>
      <w:rPr>
        <w:rFonts w:hint="default"/>
      </w:rPr>
    </w:lvl>
    <w:lvl w:ilvl="3" w:tplc="ACC0C718">
      <w:start w:val="1"/>
      <w:numFmt w:val="bullet"/>
      <w:lvlText w:val="-"/>
      <w:lvlJc w:val="left"/>
      <w:pPr>
        <w:ind w:left="2880" w:hanging="360"/>
      </w:pPr>
      <w:rPr>
        <w:rFonts w:ascii="Verdana" w:eastAsia="Times New Roman" w:hAnsi="Verdana"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5C52BEC"/>
    <w:multiLevelType w:val="hybridMultilevel"/>
    <w:tmpl w:val="82848BE0"/>
    <w:lvl w:ilvl="0" w:tplc="0809001B">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9926E43"/>
    <w:multiLevelType w:val="hybridMultilevel"/>
    <w:tmpl w:val="A292572C"/>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8">
    <w:nsid w:val="59DD32D7"/>
    <w:multiLevelType w:val="hybridMultilevel"/>
    <w:tmpl w:val="51FCC3C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9">
    <w:nsid w:val="60C66056"/>
    <w:multiLevelType w:val="hybridMultilevel"/>
    <w:tmpl w:val="C25A955A"/>
    <w:lvl w:ilvl="0" w:tplc="2D242E0A">
      <w:start w:val="4"/>
      <w:numFmt w:val="bullet"/>
      <w:lvlText w:val="-"/>
      <w:lvlJc w:val="left"/>
      <w:pPr>
        <w:ind w:left="753" w:hanging="360"/>
      </w:pPr>
      <w:rPr>
        <w:rFonts w:ascii="Transport Light" w:eastAsia="Times New Roman" w:hAnsi="Transport Light" w:cs="Helvetica"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30">
    <w:nsid w:val="611D6B08"/>
    <w:multiLevelType w:val="hybridMultilevel"/>
    <w:tmpl w:val="0DBEA73E"/>
    <w:numStyleLink w:val="Bullet"/>
  </w:abstractNum>
  <w:abstractNum w:abstractNumId="31">
    <w:nsid w:val="61E302B2"/>
    <w:multiLevelType w:val="hybridMultilevel"/>
    <w:tmpl w:val="0EFC5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2B3C61"/>
    <w:multiLevelType w:val="hybridMultilevel"/>
    <w:tmpl w:val="0DBEA73E"/>
    <w:styleLink w:val="Bullet"/>
    <w:lvl w:ilvl="0" w:tplc="9258CEE2">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3482A970">
      <w:start w:val="1"/>
      <w:numFmt w:val="bullet"/>
      <w:lvlText w:val="•"/>
      <w:lvlJc w:val="left"/>
      <w:pPr>
        <w:ind w:left="491" w:hanging="311"/>
      </w:pPr>
      <w:rPr>
        <w:rFonts w:hAnsi="Arial Unicode MS"/>
        <w:caps w:val="0"/>
        <w:smallCaps w:val="0"/>
        <w:strike w:val="0"/>
        <w:dstrike w:val="0"/>
        <w:outline w:val="0"/>
        <w:emboss w:val="0"/>
        <w:imprint w:val="0"/>
        <w:spacing w:val="0"/>
        <w:w w:val="100"/>
        <w:kern w:val="0"/>
        <w:position w:val="-2"/>
        <w:highlight w:val="none"/>
        <w:vertAlign w:val="baseline"/>
      </w:rPr>
    </w:lvl>
    <w:lvl w:ilvl="2" w:tplc="A488872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D4762BEA">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078826E4">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5B8472D0">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00DE80A8">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2290645A">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529ED2D2">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3">
    <w:nsid w:val="63371254"/>
    <w:multiLevelType w:val="hybridMultilevel"/>
    <w:tmpl w:val="3880D92E"/>
    <w:lvl w:ilvl="0" w:tplc="752A2CDC">
      <w:start w:val="5"/>
      <w:numFmt w:val="bullet"/>
      <w:lvlText w:val="-"/>
      <w:lvlJc w:val="left"/>
      <w:pPr>
        <w:ind w:left="792" w:hanging="360"/>
      </w:pPr>
      <w:rPr>
        <w:rFonts w:ascii="Verdana" w:eastAsia="Times New Roman" w:hAnsi="Verdana" w:cs="Times New Roman"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4">
    <w:nsid w:val="660758F1"/>
    <w:multiLevelType w:val="hybridMultilevel"/>
    <w:tmpl w:val="8BD84694"/>
    <w:lvl w:ilvl="0" w:tplc="04E2C6DC">
      <w:start w:val="1"/>
      <w:numFmt w:val="decimal"/>
      <w:pStyle w:val="DPDReportNumberedParaIntro"/>
      <w:lvlText w:val="%1."/>
      <w:lvlJc w:val="left"/>
      <w:pPr>
        <w:tabs>
          <w:tab w:val="num" w:pos="567"/>
        </w:tabs>
        <w:ind w:left="567" w:hanging="567"/>
      </w:pPr>
      <w:rPr>
        <w:rFonts w:hint="default"/>
        <w:b w:val="0"/>
        <w:i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C1D661D"/>
    <w:multiLevelType w:val="hybridMultilevel"/>
    <w:tmpl w:val="EEBAE34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5A58C4"/>
    <w:multiLevelType w:val="hybridMultilevel"/>
    <w:tmpl w:val="C31A4FC2"/>
    <w:lvl w:ilvl="0" w:tplc="0809000F">
      <w:start w:val="5"/>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9A6C5E"/>
    <w:multiLevelType w:val="hybridMultilevel"/>
    <w:tmpl w:val="33968384"/>
    <w:styleLink w:val="Numbered"/>
    <w:lvl w:ilvl="0" w:tplc="DD5EF62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FEA6C9F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48D54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AA591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511C090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93E0A9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96D4E6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86DFC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910105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6F4C16BF"/>
    <w:multiLevelType w:val="multilevel"/>
    <w:tmpl w:val="88F0F4B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nsid w:val="770F3A18"/>
    <w:multiLevelType w:val="hybridMultilevel"/>
    <w:tmpl w:val="E2962CD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0">
    <w:nsid w:val="787B61AE"/>
    <w:multiLevelType w:val="hybridMultilevel"/>
    <w:tmpl w:val="34A4E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6"/>
  </w:num>
  <w:num w:numId="3">
    <w:abstractNumId w:val="16"/>
  </w:num>
  <w:num w:numId="4">
    <w:abstractNumId w:val="21"/>
  </w:num>
  <w:num w:numId="5">
    <w:abstractNumId w:val="2"/>
  </w:num>
  <w:num w:numId="6">
    <w:abstractNumId w:val="25"/>
  </w:num>
  <w:num w:numId="7">
    <w:abstractNumId w:val="38"/>
  </w:num>
  <w:num w:numId="8">
    <w:abstractNumId w:val="12"/>
  </w:num>
  <w:num w:numId="9">
    <w:abstractNumId w:val="11"/>
  </w:num>
  <w:num w:numId="10">
    <w:abstractNumId w:val="35"/>
  </w:num>
  <w:num w:numId="11">
    <w:abstractNumId w:val="0"/>
  </w:num>
  <w:num w:numId="12">
    <w:abstractNumId w:val="7"/>
  </w:num>
  <w:num w:numId="13">
    <w:abstractNumId w:val="17"/>
  </w:num>
  <w:num w:numId="14">
    <w:abstractNumId w:val="3"/>
  </w:num>
  <w:num w:numId="15">
    <w:abstractNumId w:val="24"/>
  </w:num>
  <w:num w:numId="16">
    <w:abstractNumId w:val="6"/>
  </w:num>
  <w:num w:numId="17">
    <w:abstractNumId w:val="4"/>
  </w:num>
  <w:num w:numId="18">
    <w:abstractNumId w:val="22"/>
  </w:num>
  <w:num w:numId="19">
    <w:abstractNumId w:val="20"/>
  </w:num>
  <w:num w:numId="20">
    <w:abstractNumId w:val="33"/>
  </w:num>
  <w:num w:numId="21">
    <w:abstractNumId w:val="36"/>
  </w:num>
  <w:num w:numId="22">
    <w:abstractNumId w:val="39"/>
  </w:num>
  <w:num w:numId="23">
    <w:abstractNumId w:val="14"/>
  </w:num>
  <w:num w:numId="24">
    <w:abstractNumId w:val="31"/>
  </w:num>
  <w:num w:numId="25">
    <w:abstractNumId w:val="5"/>
  </w:num>
  <w:num w:numId="26">
    <w:abstractNumId w:val="10"/>
  </w:num>
  <w:num w:numId="27">
    <w:abstractNumId w:val="23"/>
  </w:num>
  <w:num w:numId="28">
    <w:abstractNumId w:val="15"/>
  </w:num>
  <w:num w:numId="29">
    <w:abstractNumId w:val="40"/>
  </w:num>
  <w:num w:numId="30">
    <w:abstractNumId w:val="34"/>
  </w:num>
  <w:num w:numId="31">
    <w:abstractNumId w:val="8"/>
  </w:num>
  <w:num w:numId="32">
    <w:abstractNumId w:val="27"/>
  </w:num>
  <w:num w:numId="33">
    <w:abstractNumId w:val="32"/>
  </w:num>
  <w:num w:numId="34">
    <w:abstractNumId w:val="30"/>
  </w:num>
  <w:num w:numId="35">
    <w:abstractNumId w:val="37"/>
  </w:num>
  <w:num w:numId="36">
    <w:abstractNumId w:val="9"/>
    <w:lvlOverride w:ilvl="0">
      <w:lvl w:ilvl="0" w:tplc="D4D0BC12">
        <w:start w:val="1"/>
        <w:numFmt w:val="decimal"/>
        <w:lvlText w:val="%1."/>
        <w:lvlJc w:val="left"/>
        <w:pPr>
          <w:ind w:left="570" w:hanging="393"/>
        </w:pPr>
        <w:rPr>
          <w:rFonts w:hAnsi="Arial Unicode MS"/>
          <w:b w:val="0"/>
          <w:i w:val="0"/>
          <w:caps w:val="0"/>
          <w:smallCaps w:val="0"/>
          <w:strike w:val="0"/>
          <w:dstrike w:val="0"/>
          <w:outline w:val="0"/>
          <w:emboss w:val="0"/>
          <w:imprint w:val="0"/>
          <w:color w:val="auto"/>
          <w:spacing w:val="0"/>
          <w:w w:val="100"/>
          <w:kern w:val="0"/>
          <w:position w:val="0"/>
          <w:highlight w:val="none"/>
          <w:vertAlign w:val="baseline"/>
        </w:rPr>
      </w:lvl>
    </w:lvlOverride>
  </w:num>
  <w:num w:numId="37">
    <w:abstractNumId w:val="19"/>
  </w:num>
  <w:num w:numId="38">
    <w:abstractNumId w:val="29"/>
  </w:num>
  <w:num w:numId="39">
    <w:abstractNumId w:val="28"/>
  </w:num>
  <w:num w:numId="40">
    <w:abstractNumId w:val="13"/>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223AD"/>
    <w:rsid w:val="00017FFE"/>
    <w:rsid w:val="000214F7"/>
    <w:rsid w:val="00032104"/>
    <w:rsid w:val="00040EE8"/>
    <w:rsid w:val="000813EF"/>
    <w:rsid w:val="000843E2"/>
    <w:rsid w:val="00084933"/>
    <w:rsid w:val="000A6791"/>
    <w:rsid w:val="000A722B"/>
    <w:rsid w:val="000C2DC3"/>
    <w:rsid w:val="000D28D9"/>
    <w:rsid w:val="000D40E2"/>
    <w:rsid w:val="000E464F"/>
    <w:rsid w:val="000E4BD7"/>
    <w:rsid w:val="000E4F81"/>
    <w:rsid w:val="001126DB"/>
    <w:rsid w:val="00116BEC"/>
    <w:rsid w:val="00121A1B"/>
    <w:rsid w:val="00124721"/>
    <w:rsid w:val="001251F3"/>
    <w:rsid w:val="0012758B"/>
    <w:rsid w:val="00127C49"/>
    <w:rsid w:val="001306F9"/>
    <w:rsid w:val="00152550"/>
    <w:rsid w:val="00166ADC"/>
    <w:rsid w:val="00177371"/>
    <w:rsid w:val="00187255"/>
    <w:rsid w:val="001C104F"/>
    <w:rsid w:val="001D32D9"/>
    <w:rsid w:val="001E7466"/>
    <w:rsid w:val="001F6AA2"/>
    <w:rsid w:val="002030A4"/>
    <w:rsid w:val="0020441F"/>
    <w:rsid w:val="002050DE"/>
    <w:rsid w:val="00216520"/>
    <w:rsid w:val="0023667C"/>
    <w:rsid w:val="00237F49"/>
    <w:rsid w:val="00253132"/>
    <w:rsid w:val="0025612C"/>
    <w:rsid w:val="00262021"/>
    <w:rsid w:val="002770BC"/>
    <w:rsid w:val="00282B2D"/>
    <w:rsid w:val="00291F77"/>
    <w:rsid w:val="002940CE"/>
    <w:rsid w:val="002943C3"/>
    <w:rsid w:val="002A0E9F"/>
    <w:rsid w:val="002A54EB"/>
    <w:rsid w:val="002B0246"/>
    <w:rsid w:val="002B328A"/>
    <w:rsid w:val="002D6934"/>
    <w:rsid w:val="002F0AC2"/>
    <w:rsid w:val="002F1C07"/>
    <w:rsid w:val="0030729F"/>
    <w:rsid w:val="0032187F"/>
    <w:rsid w:val="0032377E"/>
    <w:rsid w:val="00323DC0"/>
    <w:rsid w:val="00332207"/>
    <w:rsid w:val="00333A9D"/>
    <w:rsid w:val="00333B68"/>
    <w:rsid w:val="0034231C"/>
    <w:rsid w:val="003558E9"/>
    <w:rsid w:val="00390505"/>
    <w:rsid w:val="00390BC3"/>
    <w:rsid w:val="0039471A"/>
    <w:rsid w:val="003962D9"/>
    <w:rsid w:val="0039759A"/>
    <w:rsid w:val="003B4AF1"/>
    <w:rsid w:val="003E0584"/>
    <w:rsid w:val="004003BB"/>
    <w:rsid w:val="004127FA"/>
    <w:rsid w:val="00413C57"/>
    <w:rsid w:val="00425C52"/>
    <w:rsid w:val="00434BA0"/>
    <w:rsid w:val="00441F7E"/>
    <w:rsid w:val="00476FC6"/>
    <w:rsid w:val="004928AA"/>
    <w:rsid w:val="004A4775"/>
    <w:rsid w:val="004B17F5"/>
    <w:rsid w:val="004B7B75"/>
    <w:rsid w:val="004D4725"/>
    <w:rsid w:val="004E364F"/>
    <w:rsid w:val="004E36F5"/>
    <w:rsid w:val="004F0541"/>
    <w:rsid w:val="004F4901"/>
    <w:rsid w:val="004F7AFD"/>
    <w:rsid w:val="004F7C4B"/>
    <w:rsid w:val="00503B43"/>
    <w:rsid w:val="0050469C"/>
    <w:rsid w:val="0050662C"/>
    <w:rsid w:val="00514D35"/>
    <w:rsid w:val="00520373"/>
    <w:rsid w:val="005237F9"/>
    <w:rsid w:val="00530D10"/>
    <w:rsid w:val="005410D3"/>
    <w:rsid w:val="00546841"/>
    <w:rsid w:val="0056421B"/>
    <w:rsid w:val="00582728"/>
    <w:rsid w:val="00582BD2"/>
    <w:rsid w:val="005A277D"/>
    <w:rsid w:val="005C214D"/>
    <w:rsid w:val="005C46B1"/>
    <w:rsid w:val="005D3072"/>
    <w:rsid w:val="005E21DB"/>
    <w:rsid w:val="005F275D"/>
    <w:rsid w:val="005F4B5D"/>
    <w:rsid w:val="0060467B"/>
    <w:rsid w:val="00621AF6"/>
    <w:rsid w:val="0062282D"/>
    <w:rsid w:val="00631EB3"/>
    <w:rsid w:val="00637318"/>
    <w:rsid w:val="0064086C"/>
    <w:rsid w:val="00674CCF"/>
    <w:rsid w:val="00691538"/>
    <w:rsid w:val="00697D43"/>
    <w:rsid w:val="006A3994"/>
    <w:rsid w:val="006B570E"/>
    <w:rsid w:val="006B7B61"/>
    <w:rsid w:val="006D0D0F"/>
    <w:rsid w:val="006E2B1F"/>
    <w:rsid w:val="006E6B21"/>
    <w:rsid w:val="007024F0"/>
    <w:rsid w:val="007303B6"/>
    <w:rsid w:val="00730A57"/>
    <w:rsid w:val="00761989"/>
    <w:rsid w:val="00763B54"/>
    <w:rsid w:val="007655E6"/>
    <w:rsid w:val="007A518A"/>
    <w:rsid w:val="007A7443"/>
    <w:rsid w:val="007B2F16"/>
    <w:rsid w:val="007C2D78"/>
    <w:rsid w:val="007C3259"/>
    <w:rsid w:val="007E0C40"/>
    <w:rsid w:val="007E3978"/>
    <w:rsid w:val="007E70BC"/>
    <w:rsid w:val="00824776"/>
    <w:rsid w:val="008247CA"/>
    <w:rsid w:val="0082507D"/>
    <w:rsid w:val="00825CF7"/>
    <w:rsid w:val="00827DCE"/>
    <w:rsid w:val="00832B13"/>
    <w:rsid w:val="0083384C"/>
    <w:rsid w:val="00846A98"/>
    <w:rsid w:val="00855C44"/>
    <w:rsid w:val="008644AF"/>
    <w:rsid w:val="0088415F"/>
    <w:rsid w:val="008905DF"/>
    <w:rsid w:val="00890A27"/>
    <w:rsid w:val="00893601"/>
    <w:rsid w:val="00896FAC"/>
    <w:rsid w:val="0089719E"/>
    <w:rsid w:val="008A1406"/>
    <w:rsid w:val="008A1F02"/>
    <w:rsid w:val="008A59BD"/>
    <w:rsid w:val="00912C47"/>
    <w:rsid w:val="00935330"/>
    <w:rsid w:val="009365D7"/>
    <w:rsid w:val="00944D4C"/>
    <w:rsid w:val="00955554"/>
    <w:rsid w:val="00963696"/>
    <w:rsid w:val="00963DCD"/>
    <w:rsid w:val="009641FD"/>
    <w:rsid w:val="00991014"/>
    <w:rsid w:val="009C08CA"/>
    <w:rsid w:val="009C7AB3"/>
    <w:rsid w:val="009D0F77"/>
    <w:rsid w:val="009F685C"/>
    <w:rsid w:val="00A01B1C"/>
    <w:rsid w:val="00A529B4"/>
    <w:rsid w:val="00A66B0D"/>
    <w:rsid w:val="00A67E7B"/>
    <w:rsid w:val="00A76FB2"/>
    <w:rsid w:val="00A836AC"/>
    <w:rsid w:val="00A86E76"/>
    <w:rsid w:val="00AA469E"/>
    <w:rsid w:val="00AB485D"/>
    <w:rsid w:val="00AB7E1A"/>
    <w:rsid w:val="00AC3ABB"/>
    <w:rsid w:val="00AC678E"/>
    <w:rsid w:val="00AC6938"/>
    <w:rsid w:val="00AF6EE1"/>
    <w:rsid w:val="00B03F3D"/>
    <w:rsid w:val="00B04222"/>
    <w:rsid w:val="00B04715"/>
    <w:rsid w:val="00B23492"/>
    <w:rsid w:val="00B25566"/>
    <w:rsid w:val="00B27044"/>
    <w:rsid w:val="00B3537F"/>
    <w:rsid w:val="00B37049"/>
    <w:rsid w:val="00B41121"/>
    <w:rsid w:val="00B442C0"/>
    <w:rsid w:val="00B44D58"/>
    <w:rsid w:val="00B45E88"/>
    <w:rsid w:val="00B53D6B"/>
    <w:rsid w:val="00B6736E"/>
    <w:rsid w:val="00B80528"/>
    <w:rsid w:val="00B87641"/>
    <w:rsid w:val="00B90CD5"/>
    <w:rsid w:val="00BC3884"/>
    <w:rsid w:val="00BD12CB"/>
    <w:rsid w:val="00BD3701"/>
    <w:rsid w:val="00BD4951"/>
    <w:rsid w:val="00BF3DE2"/>
    <w:rsid w:val="00BF7ED4"/>
    <w:rsid w:val="00C11A32"/>
    <w:rsid w:val="00C177CC"/>
    <w:rsid w:val="00C17BE5"/>
    <w:rsid w:val="00C2339D"/>
    <w:rsid w:val="00C2360E"/>
    <w:rsid w:val="00C256BE"/>
    <w:rsid w:val="00C264B7"/>
    <w:rsid w:val="00C4421C"/>
    <w:rsid w:val="00C51AA6"/>
    <w:rsid w:val="00C5412E"/>
    <w:rsid w:val="00C578C0"/>
    <w:rsid w:val="00C60C18"/>
    <w:rsid w:val="00C70813"/>
    <w:rsid w:val="00C74896"/>
    <w:rsid w:val="00C803B9"/>
    <w:rsid w:val="00C842AE"/>
    <w:rsid w:val="00C8488A"/>
    <w:rsid w:val="00C86FF3"/>
    <w:rsid w:val="00C9510C"/>
    <w:rsid w:val="00CA2FBB"/>
    <w:rsid w:val="00CB5339"/>
    <w:rsid w:val="00CC1395"/>
    <w:rsid w:val="00CC61EA"/>
    <w:rsid w:val="00CD12E0"/>
    <w:rsid w:val="00CD537B"/>
    <w:rsid w:val="00CD7AAD"/>
    <w:rsid w:val="00CE5B5F"/>
    <w:rsid w:val="00D17F36"/>
    <w:rsid w:val="00D223AD"/>
    <w:rsid w:val="00D27498"/>
    <w:rsid w:val="00D51E77"/>
    <w:rsid w:val="00D61013"/>
    <w:rsid w:val="00D62796"/>
    <w:rsid w:val="00D703FE"/>
    <w:rsid w:val="00D71A1B"/>
    <w:rsid w:val="00D83E1F"/>
    <w:rsid w:val="00D85614"/>
    <w:rsid w:val="00D873F8"/>
    <w:rsid w:val="00DA1459"/>
    <w:rsid w:val="00DA62E2"/>
    <w:rsid w:val="00DB5CF6"/>
    <w:rsid w:val="00DB7994"/>
    <w:rsid w:val="00DC562F"/>
    <w:rsid w:val="00DD29B2"/>
    <w:rsid w:val="00DE2D89"/>
    <w:rsid w:val="00E014E4"/>
    <w:rsid w:val="00E126E4"/>
    <w:rsid w:val="00E22C72"/>
    <w:rsid w:val="00E27907"/>
    <w:rsid w:val="00E44FB7"/>
    <w:rsid w:val="00E575E5"/>
    <w:rsid w:val="00E62F84"/>
    <w:rsid w:val="00E752AC"/>
    <w:rsid w:val="00E82D45"/>
    <w:rsid w:val="00E87452"/>
    <w:rsid w:val="00EA183D"/>
    <w:rsid w:val="00EA269D"/>
    <w:rsid w:val="00EB312D"/>
    <w:rsid w:val="00EB4D39"/>
    <w:rsid w:val="00EC2043"/>
    <w:rsid w:val="00F34EA2"/>
    <w:rsid w:val="00F46C3B"/>
    <w:rsid w:val="00F5069C"/>
    <w:rsid w:val="00F560CE"/>
    <w:rsid w:val="00F57E1E"/>
    <w:rsid w:val="00F82C24"/>
    <w:rsid w:val="00F90792"/>
    <w:rsid w:val="00FA06A0"/>
    <w:rsid w:val="00FB394E"/>
    <w:rsid w:val="00FB55A3"/>
    <w:rsid w:val="00FC2F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3AD"/>
    <w:pPr>
      <w:spacing w:after="0" w:line="240" w:lineRule="auto"/>
      <w:ind w:left="432" w:hanging="432"/>
      <w:jc w:val="both"/>
    </w:pPr>
    <w:rPr>
      <w:rFonts w:ascii="Verdana" w:eastAsia="Times New Roman" w:hAnsi="Verdana" w:cs="Times New Roman"/>
      <w:szCs w:val="20"/>
      <w:lang w:eastAsia="en-GB"/>
    </w:rPr>
  </w:style>
  <w:style w:type="paragraph" w:styleId="Heading1">
    <w:name w:val="heading 1"/>
    <w:basedOn w:val="Normal"/>
    <w:next w:val="Normal"/>
    <w:link w:val="Heading1Char"/>
    <w:qFormat/>
    <w:rsid w:val="00D223AD"/>
    <w:pPr>
      <w:keepNext/>
      <w:widowControl w:val="0"/>
      <w:spacing w:before="480" w:after="60"/>
      <w:outlineLvl w:val="0"/>
    </w:pPr>
    <w:rPr>
      <w:color w:val="808080"/>
      <w:kern w:val="28"/>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3AD"/>
    <w:rPr>
      <w:rFonts w:ascii="Verdana" w:eastAsia="Times New Roman" w:hAnsi="Verdana" w:cs="Times New Roman"/>
      <w:color w:val="808080"/>
      <w:kern w:val="28"/>
      <w:sz w:val="72"/>
      <w:szCs w:val="20"/>
      <w:lang w:eastAsia="en-GB"/>
    </w:rPr>
  </w:style>
  <w:style w:type="paragraph" w:styleId="Header">
    <w:name w:val="header"/>
    <w:basedOn w:val="Normal"/>
    <w:link w:val="HeaderChar"/>
    <w:uiPriority w:val="99"/>
    <w:unhideWhenUsed/>
    <w:rsid w:val="00F82C24"/>
    <w:pPr>
      <w:tabs>
        <w:tab w:val="center" w:pos="4513"/>
        <w:tab w:val="right" w:pos="9026"/>
      </w:tabs>
    </w:pPr>
  </w:style>
  <w:style w:type="character" w:customStyle="1" w:styleId="HeaderChar">
    <w:name w:val="Header Char"/>
    <w:basedOn w:val="DefaultParagraphFont"/>
    <w:link w:val="Header"/>
    <w:uiPriority w:val="99"/>
    <w:rsid w:val="00F82C24"/>
    <w:rPr>
      <w:rFonts w:ascii="Verdana" w:eastAsia="Times New Roman" w:hAnsi="Verdana" w:cs="Times New Roman"/>
      <w:szCs w:val="20"/>
      <w:lang w:eastAsia="en-GB"/>
    </w:rPr>
  </w:style>
  <w:style w:type="paragraph" w:styleId="Footer">
    <w:name w:val="footer"/>
    <w:basedOn w:val="Normal"/>
    <w:link w:val="FooterChar"/>
    <w:uiPriority w:val="99"/>
    <w:unhideWhenUsed/>
    <w:rsid w:val="00F82C24"/>
    <w:pPr>
      <w:tabs>
        <w:tab w:val="center" w:pos="4513"/>
        <w:tab w:val="right" w:pos="9026"/>
      </w:tabs>
    </w:pPr>
  </w:style>
  <w:style w:type="character" w:customStyle="1" w:styleId="FooterChar">
    <w:name w:val="Footer Char"/>
    <w:basedOn w:val="DefaultParagraphFont"/>
    <w:link w:val="Footer"/>
    <w:uiPriority w:val="99"/>
    <w:rsid w:val="00F82C24"/>
    <w:rPr>
      <w:rFonts w:ascii="Verdana" w:eastAsia="Times New Roman" w:hAnsi="Verdana" w:cs="Times New Roman"/>
      <w:szCs w:val="20"/>
      <w:lang w:eastAsia="en-GB"/>
    </w:rPr>
  </w:style>
  <w:style w:type="table" w:styleId="TableGrid">
    <w:name w:val="Table Grid"/>
    <w:basedOn w:val="TableNormal"/>
    <w:uiPriority w:val="39"/>
    <w:rsid w:val="00855C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5554"/>
    <w:pPr>
      <w:ind w:left="720"/>
      <w:contextualSpacing/>
    </w:pPr>
  </w:style>
  <w:style w:type="paragraph" w:styleId="BalloonText">
    <w:name w:val="Balloon Text"/>
    <w:basedOn w:val="Normal"/>
    <w:link w:val="BalloonTextChar"/>
    <w:uiPriority w:val="99"/>
    <w:semiHidden/>
    <w:unhideWhenUsed/>
    <w:rsid w:val="009555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554"/>
    <w:rPr>
      <w:rFonts w:ascii="Segoe UI" w:eastAsia="Times New Roman" w:hAnsi="Segoe UI" w:cs="Segoe UI"/>
      <w:sz w:val="18"/>
      <w:szCs w:val="18"/>
      <w:lang w:eastAsia="en-GB"/>
    </w:rPr>
  </w:style>
  <w:style w:type="paragraph" w:customStyle="1" w:styleId="Default">
    <w:name w:val="Default"/>
    <w:rsid w:val="002F1C07"/>
    <w:pPr>
      <w:autoSpaceDE w:val="0"/>
      <w:autoSpaceDN w:val="0"/>
      <w:adjustRightInd w:val="0"/>
      <w:spacing w:after="0" w:line="240" w:lineRule="auto"/>
    </w:pPr>
    <w:rPr>
      <w:rFonts w:ascii="Calibri" w:hAnsi="Calibri" w:cs="Calibri"/>
      <w:color w:val="000000"/>
      <w:sz w:val="24"/>
      <w:szCs w:val="24"/>
    </w:rPr>
  </w:style>
  <w:style w:type="paragraph" w:customStyle="1" w:styleId="Noindent">
    <w:name w:val="No indent"/>
    <w:basedOn w:val="Normal"/>
    <w:rsid w:val="00C5412E"/>
    <w:pPr>
      <w:tabs>
        <w:tab w:val="left" w:pos="426"/>
      </w:tabs>
      <w:ind w:left="0" w:firstLine="0"/>
    </w:pPr>
  </w:style>
  <w:style w:type="paragraph" w:customStyle="1" w:styleId="DPDReportNumberedParaIntro">
    <w:name w:val="DPD Report Numbered Para Intro"/>
    <w:basedOn w:val="Normal"/>
    <w:rsid w:val="00896FAC"/>
    <w:pPr>
      <w:numPr>
        <w:numId w:val="30"/>
      </w:numPr>
      <w:spacing w:after="240"/>
      <w:jc w:val="left"/>
    </w:pPr>
    <w:rPr>
      <w:rFonts w:eastAsia="MS Mincho"/>
      <w:bCs/>
    </w:rPr>
  </w:style>
  <w:style w:type="paragraph" w:customStyle="1" w:styleId="DPDIntro">
    <w:name w:val="DPD Intro"/>
    <w:basedOn w:val="DPDReportNumberedParaIntro"/>
    <w:rsid w:val="00896FAC"/>
    <w:pPr>
      <w:numPr>
        <w:numId w:val="0"/>
      </w:numPr>
    </w:pPr>
    <w:rPr>
      <w:b/>
    </w:rPr>
  </w:style>
  <w:style w:type="numbering" w:customStyle="1" w:styleId="Bullet">
    <w:name w:val="Bullet"/>
    <w:rsid w:val="005410D3"/>
    <w:pPr>
      <w:numPr>
        <w:numId w:val="33"/>
      </w:numPr>
    </w:pPr>
  </w:style>
  <w:style w:type="numbering" w:customStyle="1" w:styleId="Numbered">
    <w:name w:val="Numbered"/>
    <w:rsid w:val="005410D3"/>
    <w:pPr>
      <w:numPr>
        <w:numId w:val="35"/>
      </w:numPr>
    </w:pPr>
  </w:style>
  <w:style w:type="character" w:styleId="CommentReference">
    <w:name w:val="annotation reference"/>
    <w:basedOn w:val="DefaultParagraphFont"/>
    <w:uiPriority w:val="99"/>
    <w:semiHidden/>
    <w:unhideWhenUsed/>
    <w:rsid w:val="004E364F"/>
    <w:rPr>
      <w:sz w:val="16"/>
      <w:szCs w:val="16"/>
    </w:rPr>
  </w:style>
  <w:style w:type="paragraph" w:styleId="CommentText">
    <w:name w:val="annotation text"/>
    <w:basedOn w:val="Normal"/>
    <w:link w:val="CommentTextChar"/>
    <w:uiPriority w:val="99"/>
    <w:semiHidden/>
    <w:unhideWhenUsed/>
    <w:rsid w:val="004E364F"/>
    <w:rPr>
      <w:sz w:val="20"/>
    </w:rPr>
  </w:style>
  <w:style w:type="character" w:customStyle="1" w:styleId="CommentTextChar">
    <w:name w:val="Comment Text Char"/>
    <w:basedOn w:val="DefaultParagraphFont"/>
    <w:link w:val="CommentText"/>
    <w:uiPriority w:val="99"/>
    <w:semiHidden/>
    <w:rsid w:val="004E364F"/>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E364F"/>
    <w:rPr>
      <w:b/>
      <w:bCs/>
    </w:rPr>
  </w:style>
  <w:style w:type="character" w:customStyle="1" w:styleId="CommentSubjectChar">
    <w:name w:val="Comment Subject Char"/>
    <w:basedOn w:val="CommentTextChar"/>
    <w:link w:val="CommentSubject"/>
    <w:uiPriority w:val="99"/>
    <w:semiHidden/>
    <w:rsid w:val="004E364F"/>
    <w:rPr>
      <w:rFonts w:ascii="Verdana" w:eastAsia="Times New Roman" w:hAnsi="Verdana" w:cs="Times New Roman"/>
      <w:b/>
      <w:bCs/>
      <w:sz w:val="20"/>
      <w:szCs w:val="20"/>
      <w:lang w:eastAsia="en-GB"/>
    </w:rPr>
  </w:style>
  <w:style w:type="character" w:styleId="Hyperlink">
    <w:name w:val="Hyperlink"/>
    <w:basedOn w:val="DefaultParagraphFont"/>
    <w:uiPriority w:val="99"/>
    <w:semiHidden/>
    <w:unhideWhenUsed/>
    <w:rsid w:val="007303B6"/>
    <w:rPr>
      <w:strike w:val="0"/>
      <w:dstrike w:val="0"/>
      <w:color w:val="2B8FA1"/>
      <w:u w:val="none"/>
      <w:effect w:val="none"/>
    </w:rPr>
  </w:style>
  <w:style w:type="character" w:customStyle="1" w:styleId="legds2">
    <w:name w:val="legds2"/>
    <w:basedOn w:val="DefaultParagraphFont"/>
    <w:rsid w:val="003962D9"/>
    <w:rPr>
      <w:vanish w:val="0"/>
      <w:webHidden w:val="0"/>
      <w:specVanish w:val="0"/>
    </w:rPr>
  </w:style>
  <w:style w:type="paragraph" w:styleId="NormalWeb">
    <w:name w:val="Normal (Web)"/>
    <w:basedOn w:val="Normal"/>
    <w:uiPriority w:val="99"/>
    <w:semiHidden/>
    <w:unhideWhenUsed/>
    <w:rsid w:val="0012758B"/>
    <w:pPr>
      <w:spacing w:before="180" w:after="180"/>
      <w:ind w:left="0" w:firstLine="0"/>
      <w:jc w:val="left"/>
    </w:pPr>
    <w:rPr>
      <w:rFonts w:ascii="Times New Roman" w:hAnsi="Times New Roman"/>
      <w:sz w:val="24"/>
      <w:szCs w:val="24"/>
    </w:rPr>
  </w:style>
  <w:style w:type="paragraph" w:styleId="Revision">
    <w:name w:val="Revision"/>
    <w:hidden/>
    <w:uiPriority w:val="99"/>
    <w:semiHidden/>
    <w:rsid w:val="00FA06A0"/>
    <w:pPr>
      <w:spacing w:after="0" w:line="240" w:lineRule="auto"/>
    </w:pPr>
    <w:rPr>
      <w:rFonts w:ascii="Verdana" w:eastAsia="Times New Roman" w:hAnsi="Verdana" w:cs="Times New Roman"/>
      <w:szCs w:val="20"/>
      <w:lang w:eastAsia="en-GB"/>
    </w:rPr>
  </w:style>
</w:styles>
</file>

<file path=word/webSettings.xml><?xml version="1.0" encoding="utf-8"?>
<w:webSettings xmlns:r="http://schemas.openxmlformats.org/officeDocument/2006/relationships" xmlns:w="http://schemas.openxmlformats.org/wordprocessingml/2006/main">
  <w:divs>
    <w:div w:id="2015834143">
      <w:bodyDiv w:val="1"/>
      <w:marLeft w:val="0"/>
      <w:marRight w:val="0"/>
      <w:marTop w:val="0"/>
      <w:marBottom w:val="0"/>
      <w:divBdr>
        <w:top w:val="none" w:sz="0" w:space="0" w:color="auto"/>
        <w:left w:val="none" w:sz="0" w:space="0" w:color="auto"/>
        <w:bottom w:val="none" w:sz="0" w:space="0" w:color="auto"/>
        <w:right w:val="none" w:sz="0" w:space="0" w:color="auto"/>
      </w:divBdr>
      <w:divsChild>
        <w:div w:id="1236354426">
          <w:marLeft w:val="0"/>
          <w:marRight w:val="0"/>
          <w:marTop w:val="0"/>
          <w:marBottom w:val="0"/>
          <w:divBdr>
            <w:top w:val="none" w:sz="0" w:space="0" w:color="auto"/>
            <w:left w:val="none" w:sz="0" w:space="0" w:color="auto"/>
            <w:bottom w:val="none" w:sz="0" w:space="0" w:color="auto"/>
            <w:right w:val="none" w:sz="0" w:space="0" w:color="auto"/>
          </w:divBdr>
          <w:divsChild>
            <w:div w:id="1237591765">
              <w:marLeft w:val="0"/>
              <w:marRight w:val="0"/>
              <w:marTop w:val="0"/>
              <w:marBottom w:val="0"/>
              <w:divBdr>
                <w:top w:val="none" w:sz="0" w:space="0" w:color="auto"/>
                <w:left w:val="none" w:sz="0" w:space="0" w:color="auto"/>
                <w:bottom w:val="none" w:sz="0" w:space="0" w:color="auto"/>
                <w:right w:val="none" w:sz="0" w:space="0" w:color="auto"/>
              </w:divBdr>
              <w:divsChild>
                <w:div w:id="353919565">
                  <w:marLeft w:val="-300"/>
                  <w:marRight w:val="0"/>
                  <w:marTop w:val="0"/>
                  <w:marBottom w:val="0"/>
                  <w:divBdr>
                    <w:top w:val="none" w:sz="0" w:space="0" w:color="auto"/>
                    <w:left w:val="none" w:sz="0" w:space="0" w:color="auto"/>
                    <w:bottom w:val="none" w:sz="0" w:space="0" w:color="auto"/>
                    <w:right w:val="none" w:sz="0" w:space="0" w:color="auto"/>
                  </w:divBdr>
                  <w:divsChild>
                    <w:div w:id="935483542">
                      <w:marLeft w:val="0"/>
                      <w:marRight w:val="0"/>
                      <w:marTop w:val="0"/>
                      <w:marBottom w:val="0"/>
                      <w:divBdr>
                        <w:top w:val="none" w:sz="0" w:space="0" w:color="auto"/>
                        <w:left w:val="none" w:sz="0" w:space="0" w:color="auto"/>
                        <w:bottom w:val="none" w:sz="0" w:space="0" w:color="auto"/>
                        <w:right w:val="none" w:sz="0" w:space="0" w:color="auto"/>
                      </w:divBdr>
                      <w:divsChild>
                        <w:div w:id="885684851">
                          <w:marLeft w:val="0"/>
                          <w:marRight w:val="0"/>
                          <w:marTop w:val="0"/>
                          <w:marBottom w:val="0"/>
                          <w:divBdr>
                            <w:top w:val="none" w:sz="0" w:space="0" w:color="auto"/>
                            <w:left w:val="none" w:sz="0" w:space="0" w:color="auto"/>
                            <w:bottom w:val="none" w:sz="0" w:space="0" w:color="auto"/>
                            <w:right w:val="none" w:sz="0" w:space="0" w:color="auto"/>
                          </w:divBdr>
                          <w:divsChild>
                            <w:div w:id="263537803">
                              <w:marLeft w:val="0"/>
                              <w:marRight w:val="0"/>
                              <w:marTop w:val="0"/>
                              <w:marBottom w:val="0"/>
                              <w:divBdr>
                                <w:top w:val="none" w:sz="0" w:space="0" w:color="auto"/>
                                <w:left w:val="none" w:sz="0" w:space="0" w:color="auto"/>
                                <w:bottom w:val="none" w:sz="0" w:space="0" w:color="auto"/>
                                <w:right w:val="none" w:sz="0" w:space="0" w:color="auto"/>
                              </w:divBdr>
                              <w:divsChild>
                                <w:div w:id="12335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3F30F-4D41-4A5F-B937-C01746C5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4806</Words>
  <Characters>27398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Armitage</dc:creator>
  <cp:lastModifiedBy>PDPC039</cp:lastModifiedBy>
  <cp:revision>2</cp:revision>
  <cp:lastPrinted>2016-11-28T13:44:00Z</cp:lastPrinted>
  <dcterms:created xsi:type="dcterms:W3CDTF">2016-12-05T14:16:00Z</dcterms:created>
  <dcterms:modified xsi:type="dcterms:W3CDTF">2016-12-05T14:16:00Z</dcterms:modified>
</cp:coreProperties>
</file>