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A0F" w:rsidRDefault="005E6A0F" w:rsidP="005E6A0F">
      <w:pPr>
        <w:rPr>
          <w:rFonts w:ascii="Arial" w:hAnsi="Arial" w:cs="Arial"/>
          <w:b/>
          <w:bCs/>
          <w:color w:val="000000"/>
          <w:sz w:val="19"/>
          <w:szCs w:val="19"/>
        </w:rPr>
      </w:pPr>
      <w:r>
        <w:rPr>
          <w:rFonts w:ascii="Arial" w:hAnsi="Arial" w:cs="Arial"/>
          <w:b/>
          <w:bCs/>
          <w:color w:val="000000"/>
          <w:sz w:val="19"/>
          <w:szCs w:val="19"/>
        </w:rPr>
        <w:t>Torbay Retail Study Update 2013 (GVA)</w:t>
      </w:r>
    </w:p>
    <w:p w:rsidR="005E6A0F" w:rsidRDefault="005E6A0F" w:rsidP="005E6A0F">
      <w:pPr>
        <w:rPr>
          <w:rFonts w:ascii="Arial" w:hAnsi="Arial" w:cs="Arial"/>
          <w:b/>
          <w:bCs/>
          <w:color w:val="000000"/>
          <w:sz w:val="19"/>
          <w:szCs w:val="19"/>
        </w:rPr>
      </w:pPr>
    </w:p>
    <w:p w:rsidR="001659A0" w:rsidRDefault="001659A0" w:rsidP="005E6A0F">
      <w:pPr>
        <w:rPr>
          <w:rFonts w:ascii="Arial" w:hAnsi="Arial" w:cs="Arial"/>
          <w:b/>
          <w:bCs/>
          <w:color w:val="000000"/>
          <w:sz w:val="19"/>
          <w:szCs w:val="19"/>
        </w:rPr>
      </w:pPr>
      <w:r>
        <w:rPr>
          <w:rFonts w:ascii="Arial" w:hAnsi="Arial" w:cs="Arial"/>
          <w:b/>
          <w:bCs/>
          <w:color w:val="000000"/>
          <w:sz w:val="19"/>
          <w:szCs w:val="19"/>
        </w:rPr>
        <w:t>Summary</w:t>
      </w:r>
    </w:p>
    <w:p w:rsidR="001659A0" w:rsidRDefault="001659A0" w:rsidP="005E6A0F">
      <w:pPr>
        <w:rPr>
          <w:rFonts w:ascii="Arial" w:hAnsi="Arial" w:cs="Arial"/>
          <w:b/>
          <w:bCs/>
          <w:color w:val="000000"/>
          <w:sz w:val="19"/>
          <w:szCs w:val="19"/>
        </w:rPr>
      </w:pPr>
    </w:p>
    <w:p w:rsidR="005E6A0F" w:rsidRDefault="005E6A0F" w:rsidP="005E6A0F">
      <w:pPr>
        <w:rPr>
          <w:rFonts w:ascii="Arial" w:hAnsi="Arial" w:cs="Arial"/>
          <w:b/>
          <w:bCs/>
          <w:color w:val="000000"/>
          <w:sz w:val="19"/>
          <w:szCs w:val="19"/>
        </w:rPr>
      </w:pPr>
      <w:r>
        <w:rPr>
          <w:rFonts w:ascii="Arial" w:hAnsi="Arial" w:cs="Arial"/>
          <w:b/>
          <w:bCs/>
          <w:color w:val="000000"/>
          <w:sz w:val="19"/>
          <w:szCs w:val="19"/>
        </w:rPr>
        <w:t>Purpose of the Study</w:t>
      </w:r>
    </w:p>
    <w:p w:rsidR="005E6A0F" w:rsidRDefault="005E6A0F" w:rsidP="005E6A0F">
      <w:pPr>
        <w:rPr>
          <w:rFonts w:ascii="Arial" w:hAnsi="Arial" w:cs="Arial"/>
          <w:color w:val="000000"/>
          <w:sz w:val="19"/>
          <w:szCs w:val="19"/>
        </w:rPr>
      </w:pPr>
    </w:p>
    <w:p w:rsidR="005E6A0F" w:rsidRDefault="005E6A0F" w:rsidP="005E6A0F">
      <w:pPr>
        <w:rPr>
          <w:rFonts w:ascii="Arial" w:hAnsi="Arial" w:cs="Arial"/>
          <w:color w:val="000000"/>
          <w:sz w:val="20"/>
          <w:szCs w:val="20"/>
        </w:rPr>
      </w:pPr>
      <w:r>
        <w:rPr>
          <w:rFonts w:ascii="Arial" w:hAnsi="Arial" w:cs="Arial"/>
          <w:color w:val="000000"/>
          <w:sz w:val="20"/>
          <w:szCs w:val="20"/>
        </w:rPr>
        <w:t>The National Planning Policy Framework (NPPF) contains the government’s policies on planning for retail.  It requires planning policies to promote competitive town centres that provide choice and meet the need for retail, leisure, offices and other town centre uses.  Retail proposals should be subject to a “sequential test” to ensure they are located within town centres or as close to town centres as possible.  Applications for major retail proposals not within town centres should also show that there is no unacceptable impact on town, district or local centres through an “impact test”.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 xml:space="preserve">In order to plan for town centres, it is necessary to assess their health and carry out an assessment of the need (or “capacity”) for new retail floorspace.  The Retail Study Update was </w:t>
      </w:r>
      <w:r>
        <w:rPr>
          <w:rFonts w:ascii="Arial" w:hAnsi="Arial" w:cs="Arial"/>
          <w:sz w:val="20"/>
          <w:szCs w:val="20"/>
        </w:rPr>
        <w:t>commissioned by the Council and prepared by GVA to give up to date</w:t>
      </w:r>
      <w:r>
        <w:rPr>
          <w:rFonts w:ascii="Arial" w:hAnsi="Arial" w:cs="Arial"/>
          <w:color w:val="1F497D"/>
          <w:sz w:val="20"/>
          <w:szCs w:val="20"/>
        </w:rPr>
        <w:t xml:space="preserve"> </w:t>
      </w:r>
      <w:r>
        <w:rPr>
          <w:rFonts w:ascii="Arial" w:hAnsi="Arial" w:cs="Arial"/>
          <w:color w:val="000000"/>
          <w:sz w:val="20"/>
          <w:szCs w:val="20"/>
        </w:rPr>
        <w:t>advice on:  </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The health of Torbay's town centres. </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The relationship between the towns.</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Whether there are any gaps in provision (i.e. areas that are poorly served by shops).</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 xml:space="preserve">The need for new retail floor space (an important aspect of retail planning). </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 xml:space="preserve">Regeneration opportunities and suitable sites in the town centres.  </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Spatial planning policy towards out of town retail (e.g. what size proposals should trigger an impact test?).</w:t>
      </w:r>
    </w:p>
    <w:p w:rsidR="005E6A0F" w:rsidRDefault="005E6A0F" w:rsidP="005E6A0F">
      <w:pPr>
        <w:pStyle w:val="ListParagraph"/>
        <w:numPr>
          <w:ilvl w:val="0"/>
          <w:numId w:val="1"/>
        </w:numPr>
        <w:rPr>
          <w:rFonts w:ascii="Arial" w:hAnsi="Arial" w:cs="Arial"/>
          <w:color w:val="000000"/>
          <w:sz w:val="20"/>
          <w:szCs w:val="20"/>
        </w:rPr>
      </w:pPr>
      <w:r>
        <w:rPr>
          <w:rFonts w:ascii="Arial" w:hAnsi="Arial" w:cs="Arial"/>
          <w:color w:val="000000"/>
          <w:sz w:val="20"/>
          <w:szCs w:val="20"/>
        </w:rPr>
        <w:t xml:space="preserve">The role of Torbay in the Sub Region.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 xml:space="preserve">This report is an update of the 2011 Retail Update (also prepared by GVA). </w:t>
      </w:r>
    </w:p>
    <w:p w:rsidR="005E6A0F" w:rsidRDefault="005E6A0F" w:rsidP="005E6A0F">
      <w:pPr>
        <w:shd w:val="clear" w:color="auto" w:fill="FFFFFF"/>
        <w:spacing w:before="100" w:beforeAutospacing="1" w:after="100" w:afterAutospacing="1"/>
        <w:rPr>
          <w:rFonts w:ascii="Arial" w:hAnsi="Arial" w:cs="Arial"/>
          <w:b/>
          <w:bCs/>
          <w:color w:val="000000"/>
          <w:sz w:val="20"/>
          <w:szCs w:val="20"/>
        </w:rPr>
      </w:pPr>
      <w:r>
        <w:rPr>
          <w:rFonts w:ascii="Arial" w:hAnsi="Arial" w:cs="Arial"/>
          <w:b/>
          <w:bCs/>
          <w:color w:val="000000"/>
          <w:sz w:val="20"/>
          <w:szCs w:val="20"/>
        </w:rPr>
        <w:t>Torbay in the Sub Region</w:t>
      </w:r>
    </w:p>
    <w:p w:rsidR="005E6A0F" w:rsidRDefault="005E6A0F" w:rsidP="005E6A0F">
      <w:pPr>
        <w:rPr>
          <w:rFonts w:ascii="Arial" w:hAnsi="Arial" w:cs="Arial"/>
          <w:color w:val="000000"/>
          <w:sz w:val="20"/>
          <w:szCs w:val="20"/>
        </w:rPr>
      </w:pPr>
      <w:r>
        <w:rPr>
          <w:rFonts w:ascii="Arial" w:hAnsi="Arial" w:cs="Arial"/>
          <w:color w:val="000000"/>
          <w:sz w:val="20"/>
          <w:szCs w:val="20"/>
        </w:rPr>
        <w:t>Torbay lies somewhat behind Exeter and Plymouth as a retail location, due to smaller catchment area, division of retail spend into three town centres, and poor road network. The viability of town centres remains constrained by lower expenditure growth and the continued rise of internet shopping.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 xml:space="preserve">However, the completion of the South Devon Link Road in 2015 will </w:t>
      </w:r>
      <w:r>
        <w:rPr>
          <w:rFonts w:ascii="Arial" w:hAnsi="Arial" w:cs="Arial"/>
          <w:sz w:val="20"/>
          <w:szCs w:val="20"/>
        </w:rPr>
        <w:t>provide an opportunity for increased expenditure in town centres.</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Torquay is the largest town centre in the Bay, and the main focus for comparison (non food) goods stores (ranked 133rd in the UK).   Torquay is well provided for bulky retail and the Willows</w:t>
      </w:r>
      <w:r w:rsidR="00626F90">
        <w:rPr>
          <w:rFonts w:ascii="Arial" w:hAnsi="Arial" w:cs="Arial"/>
          <w:color w:val="000000"/>
          <w:sz w:val="20"/>
          <w:szCs w:val="20"/>
        </w:rPr>
        <w:t xml:space="preserve"> </w:t>
      </w:r>
      <w:proofErr w:type="gramStart"/>
      <w:r w:rsidR="00626F90">
        <w:rPr>
          <w:rFonts w:ascii="Arial" w:hAnsi="Arial" w:cs="Arial"/>
          <w:color w:val="000000"/>
          <w:sz w:val="20"/>
          <w:szCs w:val="20"/>
        </w:rPr>
        <w:t>is</w:t>
      </w:r>
      <w:proofErr w:type="gramEnd"/>
      <w:r>
        <w:rPr>
          <w:rFonts w:ascii="Arial" w:hAnsi="Arial" w:cs="Arial"/>
          <w:color w:val="000000"/>
          <w:sz w:val="20"/>
          <w:szCs w:val="20"/>
        </w:rPr>
        <w:t xml:space="preserve"> a popular destination.  But the town is only 60% of the size of Exeter town centre (in terms of retail floorspace) and has suffered from vacancies.</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 xml:space="preserve">Paignton is about half the size of Torquay town centre and has also suffered from high level of vacancies. (It is ranked 507th in the UK).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Brixham is the smallest town centre (ranked 1,246</w:t>
      </w:r>
      <w:r>
        <w:rPr>
          <w:rFonts w:ascii="Arial" w:hAnsi="Arial" w:cs="Arial"/>
          <w:color w:val="000000"/>
          <w:sz w:val="20"/>
          <w:szCs w:val="20"/>
          <w:vertAlign w:val="superscript"/>
        </w:rPr>
        <w:t>th</w:t>
      </w:r>
      <w:r>
        <w:rPr>
          <w:rFonts w:ascii="Arial" w:hAnsi="Arial" w:cs="Arial"/>
          <w:color w:val="000000"/>
          <w:sz w:val="20"/>
          <w:szCs w:val="20"/>
        </w:rPr>
        <w:t xml:space="preserve"> in the UK), with significant trade leaking to Paignton and the Willows. The approved town centre Tesco should reduce this leakage significantly and help to regenerate the town.  </w:t>
      </w:r>
    </w:p>
    <w:p w:rsidR="005E6A0F" w:rsidRDefault="005E6A0F" w:rsidP="005E6A0F">
      <w:pPr>
        <w:rPr>
          <w:rFonts w:ascii="Arial" w:hAnsi="Arial" w:cs="Arial"/>
          <w:color w:val="000000"/>
          <w:sz w:val="20"/>
          <w:szCs w:val="20"/>
        </w:rPr>
      </w:pPr>
    </w:p>
    <w:p w:rsidR="005E6A0F" w:rsidRDefault="005E6A0F" w:rsidP="005E6A0F">
      <w:pPr>
        <w:rPr>
          <w:rFonts w:ascii="Arial" w:hAnsi="Arial" w:cs="Arial"/>
          <w:b/>
          <w:bCs/>
          <w:color w:val="000000"/>
          <w:sz w:val="20"/>
          <w:szCs w:val="20"/>
        </w:rPr>
      </w:pPr>
      <w:r>
        <w:rPr>
          <w:rFonts w:ascii="Arial" w:hAnsi="Arial" w:cs="Arial"/>
          <w:b/>
          <w:bCs/>
          <w:color w:val="000000"/>
          <w:sz w:val="20"/>
          <w:szCs w:val="20"/>
        </w:rPr>
        <w:t>Sub Regional Retail Hierarchy</w:t>
      </w:r>
    </w:p>
    <w:p w:rsidR="005E6A0F" w:rsidRDefault="005E6A0F" w:rsidP="005E6A0F">
      <w:pPr>
        <w:rPr>
          <w:rFonts w:ascii="Arial" w:hAnsi="Arial" w:cs="Arial"/>
          <w:color w:val="000000"/>
          <w:sz w:val="20"/>
          <w:szCs w:val="20"/>
        </w:rPr>
      </w:pPr>
    </w:p>
    <w:tbl>
      <w:tblPr>
        <w:tblW w:w="0" w:type="auto"/>
        <w:tblCellMar>
          <w:left w:w="0" w:type="dxa"/>
          <w:right w:w="0" w:type="dxa"/>
        </w:tblCellMar>
        <w:tblLook w:val="04A0"/>
      </w:tblPr>
      <w:tblGrid>
        <w:gridCol w:w="1915"/>
        <w:gridCol w:w="1915"/>
        <w:gridCol w:w="1915"/>
        <w:gridCol w:w="3180"/>
      </w:tblGrid>
      <w:tr w:rsidR="005E6A0F" w:rsidRPr="00FB7261" w:rsidTr="00FB7261">
        <w:trPr>
          <w:tblHeader/>
        </w:trPr>
        <w:tc>
          <w:tcPr>
            <w:tcW w:w="191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E6A0F" w:rsidRPr="00FB7261" w:rsidRDefault="005E6A0F">
            <w:pPr>
              <w:rPr>
                <w:rFonts w:ascii="Arial" w:hAnsi="Arial" w:cs="Arial"/>
                <w:color w:val="000000"/>
                <w:sz w:val="20"/>
                <w:szCs w:val="20"/>
              </w:rPr>
            </w:pP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2011 Rank</w:t>
            </w:r>
          </w:p>
        </w:tc>
        <w:tc>
          <w:tcPr>
            <w:tcW w:w="191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xml:space="preserve">2007 Rank </w:t>
            </w:r>
          </w:p>
        </w:tc>
        <w:tc>
          <w:tcPr>
            <w:tcW w:w="3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xml:space="preserve">Retail floorspace (Sqm) </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xml:space="preserve">Plymouth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28</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18</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143,400</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Exeter</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27</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37</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121,100</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xml:space="preserve">Torquay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133</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108</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75,600</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xml:space="preserve">Newton Abbot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270</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256</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color w:val="000000"/>
                <w:sz w:val="20"/>
                <w:szCs w:val="20"/>
              </w:rPr>
            </w:pPr>
            <w:r w:rsidRPr="00FB7261">
              <w:rPr>
                <w:rFonts w:ascii="Arial" w:hAnsi="Arial" w:cs="Arial"/>
                <w:color w:val="000000"/>
                <w:sz w:val="20"/>
                <w:szCs w:val="20"/>
              </w:rPr>
              <w:t> 59,100</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lastRenderedPageBreak/>
              <w:t>Paignton</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507</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407</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43,800</w:t>
            </w:r>
          </w:p>
        </w:tc>
      </w:tr>
      <w:tr w:rsidR="005E6A0F" w:rsidRPr="00FB7261" w:rsidTr="005E6A0F">
        <w:tc>
          <w:tcPr>
            <w:tcW w:w="191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xml:space="preserve">Brixham </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1496</w:t>
            </w:r>
          </w:p>
        </w:tc>
        <w:tc>
          <w:tcPr>
            <w:tcW w:w="1915"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953</w:t>
            </w:r>
          </w:p>
        </w:tc>
        <w:tc>
          <w:tcPr>
            <w:tcW w:w="3180" w:type="dxa"/>
            <w:tcBorders>
              <w:top w:val="nil"/>
              <w:left w:val="nil"/>
              <w:bottom w:val="single" w:sz="8" w:space="0" w:color="auto"/>
              <w:right w:val="single" w:sz="8" w:space="0" w:color="auto"/>
            </w:tcBorders>
            <w:tcMar>
              <w:top w:w="0" w:type="dxa"/>
              <w:left w:w="108" w:type="dxa"/>
              <w:bottom w:w="0" w:type="dxa"/>
              <w:right w:w="108" w:type="dxa"/>
            </w:tcMar>
            <w:hideMark/>
          </w:tcPr>
          <w:p w:rsidR="005E6A0F" w:rsidRPr="00FB7261" w:rsidRDefault="005E6A0F">
            <w:pPr>
              <w:rPr>
                <w:rFonts w:ascii="Arial" w:hAnsi="Arial" w:cs="Arial"/>
                <w:b/>
                <w:bCs/>
                <w:color w:val="000000"/>
                <w:sz w:val="20"/>
                <w:szCs w:val="20"/>
              </w:rPr>
            </w:pPr>
            <w:r w:rsidRPr="00FB7261">
              <w:rPr>
                <w:rFonts w:ascii="Arial" w:hAnsi="Arial" w:cs="Arial"/>
                <w:b/>
                <w:bCs/>
                <w:color w:val="000000"/>
                <w:sz w:val="20"/>
                <w:szCs w:val="20"/>
              </w:rPr>
              <w:t>  20,900</w:t>
            </w:r>
          </w:p>
        </w:tc>
      </w:tr>
    </w:tbl>
    <w:p w:rsidR="005E6A0F" w:rsidRDefault="005E6A0F" w:rsidP="005E6A0F">
      <w:pPr>
        <w:rPr>
          <w:rFonts w:ascii="Arial" w:hAnsi="Arial" w:cs="Arial"/>
          <w:color w:val="000000"/>
          <w:sz w:val="20"/>
          <w:szCs w:val="20"/>
        </w:rPr>
      </w:pPr>
      <w:r>
        <w:rPr>
          <w:rFonts w:ascii="Arial" w:hAnsi="Arial" w:cs="Arial"/>
          <w:color w:val="000000"/>
          <w:sz w:val="20"/>
          <w:szCs w:val="20"/>
        </w:rPr>
        <w:t xml:space="preserve">Source: Experian GOAD (floorspace) and Venuescore. </w:t>
      </w:r>
    </w:p>
    <w:p w:rsidR="005E6A0F" w:rsidRDefault="005E6A0F" w:rsidP="005E6A0F">
      <w:pPr>
        <w:rPr>
          <w:rFonts w:ascii="Arial" w:hAnsi="Arial" w:cs="Arial"/>
          <w:color w:val="000000"/>
          <w:sz w:val="20"/>
          <w:szCs w:val="20"/>
        </w:rPr>
      </w:pPr>
    </w:p>
    <w:p w:rsidR="005E6A0F" w:rsidRDefault="005E6A0F" w:rsidP="005E6A0F">
      <w:pPr>
        <w:rPr>
          <w:rFonts w:ascii="Arial" w:hAnsi="Arial" w:cs="Arial"/>
          <w:b/>
          <w:bCs/>
          <w:color w:val="000000"/>
          <w:sz w:val="20"/>
          <w:szCs w:val="20"/>
        </w:rPr>
      </w:pPr>
      <w:r>
        <w:rPr>
          <w:rFonts w:ascii="Arial" w:hAnsi="Arial" w:cs="Arial"/>
          <w:b/>
          <w:bCs/>
          <w:color w:val="000000"/>
          <w:sz w:val="20"/>
          <w:szCs w:val="20"/>
        </w:rPr>
        <w:t>Ass</w:t>
      </w:r>
      <w:r w:rsidR="00626F90">
        <w:rPr>
          <w:rFonts w:ascii="Arial" w:hAnsi="Arial" w:cs="Arial"/>
          <w:b/>
          <w:bCs/>
          <w:color w:val="000000"/>
          <w:sz w:val="20"/>
          <w:szCs w:val="20"/>
        </w:rPr>
        <w:t>essment of Capacity for New Flo</w:t>
      </w:r>
      <w:r>
        <w:rPr>
          <w:rFonts w:ascii="Arial" w:hAnsi="Arial" w:cs="Arial"/>
          <w:b/>
          <w:bCs/>
          <w:color w:val="000000"/>
          <w:sz w:val="20"/>
          <w:szCs w:val="20"/>
        </w:rPr>
        <w:t>orspace</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Assessment of retail capacity is central to planning because the NPPF requires local planning authorities to meet the needs for retail (etc) development, in town centres where possible.   </w:t>
      </w:r>
      <w:r w:rsidRPr="005E6A0F">
        <w:rPr>
          <w:rFonts w:ascii="Arial" w:hAnsi="Arial" w:cs="Arial"/>
          <w:sz w:val="20"/>
          <w:szCs w:val="20"/>
        </w:rPr>
        <w:t>Need</w:t>
      </w:r>
      <w:r>
        <w:rPr>
          <w:rFonts w:ascii="Arial" w:hAnsi="Arial" w:cs="Arial"/>
          <w:color w:val="000000"/>
          <w:sz w:val="20"/>
          <w:szCs w:val="20"/>
        </w:rPr>
        <w:t xml:space="preserve"> is calculated by assessing likely growth in retail spending based on a wide range of factors such as population and growth levels, shopping habits and the effects of shops that have recently opened or will open soon.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color w:val="000000"/>
          <w:sz w:val="20"/>
          <w:szCs w:val="20"/>
        </w:rPr>
        <w:t xml:space="preserve">Although proposals for out of town centre retail do not have to show that there is a “need” for the store; assessment of need is relevant because it is a pointer to the impact that such proposals may have on town centres. </w:t>
      </w:r>
    </w:p>
    <w:p w:rsidR="005E6A0F" w:rsidRDefault="005E6A0F" w:rsidP="005E6A0F">
      <w:pPr>
        <w:rPr>
          <w:rFonts w:ascii="Arial" w:hAnsi="Arial" w:cs="Arial"/>
          <w:color w:val="000000"/>
          <w:sz w:val="20"/>
          <w:szCs w:val="20"/>
        </w:rPr>
      </w:pPr>
    </w:p>
    <w:p w:rsidR="005E6A0F" w:rsidRDefault="005E6A0F" w:rsidP="005E6A0F">
      <w:pPr>
        <w:rPr>
          <w:rFonts w:ascii="Arial" w:hAnsi="Arial" w:cs="Arial"/>
          <w:sz w:val="20"/>
          <w:szCs w:val="20"/>
        </w:rPr>
      </w:pPr>
      <w:r>
        <w:rPr>
          <w:rFonts w:ascii="Arial" w:hAnsi="Arial" w:cs="Arial"/>
          <w:color w:val="000000"/>
          <w:sz w:val="20"/>
          <w:szCs w:val="20"/>
        </w:rPr>
        <w:t xml:space="preserve">The 2013 Retail Update shows that there has been a quantitative fall in need since the 2011 Study, due to falling expenditure and </w:t>
      </w:r>
      <w:r>
        <w:rPr>
          <w:rFonts w:ascii="Arial" w:hAnsi="Arial" w:cs="Arial"/>
          <w:sz w:val="20"/>
          <w:szCs w:val="20"/>
        </w:rPr>
        <w:t>additional</w:t>
      </w:r>
      <w:r>
        <w:rPr>
          <w:rFonts w:ascii="Arial" w:hAnsi="Arial" w:cs="Arial"/>
          <w:color w:val="000000"/>
          <w:sz w:val="20"/>
          <w:szCs w:val="20"/>
        </w:rPr>
        <w:t xml:space="preserve"> stores opening or receiving planning permission.   </w:t>
      </w:r>
      <w:r>
        <w:rPr>
          <w:rFonts w:ascii="Arial" w:hAnsi="Arial" w:cs="Arial"/>
          <w:sz w:val="20"/>
          <w:szCs w:val="20"/>
        </w:rPr>
        <w:t>So, for example, permission for a new store in Brixham has satisfied Brixham’s need for food retail provision and reduced the “leakage” of expenditure to Paignton.  The opening of ASDA stores in Paignton and Torquay and a number of smaller food stores have reduced spare capacity, particularly for Paignton.  </w:t>
      </w:r>
    </w:p>
    <w:p w:rsidR="005E6A0F" w:rsidRDefault="005E6A0F" w:rsidP="005E6A0F">
      <w:pPr>
        <w:rPr>
          <w:rFonts w:ascii="Arial" w:hAnsi="Arial" w:cs="Arial"/>
          <w:sz w:val="20"/>
          <w:szCs w:val="20"/>
        </w:rPr>
      </w:pPr>
    </w:p>
    <w:p w:rsidR="005E6A0F" w:rsidRDefault="005E6A0F" w:rsidP="005E6A0F">
      <w:pPr>
        <w:rPr>
          <w:rFonts w:ascii="Arial" w:hAnsi="Arial" w:cs="Arial"/>
          <w:sz w:val="20"/>
          <w:szCs w:val="20"/>
        </w:rPr>
      </w:pPr>
      <w:r>
        <w:rPr>
          <w:rFonts w:ascii="Arial" w:hAnsi="Arial" w:cs="Arial"/>
          <w:b/>
          <w:bCs/>
          <w:color w:val="000000"/>
          <w:sz w:val="20"/>
          <w:szCs w:val="20"/>
        </w:rPr>
        <w:t xml:space="preserve">Convenience Stores (foodstores): </w:t>
      </w:r>
      <w:r>
        <w:rPr>
          <w:rFonts w:ascii="Arial" w:hAnsi="Arial" w:cs="Arial"/>
          <w:color w:val="000000"/>
          <w:sz w:val="20"/>
          <w:szCs w:val="20"/>
        </w:rPr>
        <w:t>Need is confined to</w:t>
      </w:r>
      <w:r>
        <w:rPr>
          <w:rFonts w:ascii="Arial" w:hAnsi="Arial" w:cs="Arial"/>
          <w:b/>
          <w:bCs/>
          <w:color w:val="000000"/>
          <w:sz w:val="20"/>
          <w:szCs w:val="20"/>
        </w:rPr>
        <w:t xml:space="preserve"> </w:t>
      </w:r>
      <w:r>
        <w:rPr>
          <w:rFonts w:ascii="Arial" w:hAnsi="Arial" w:cs="Arial"/>
          <w:color w:val="000000"/>
          <w:sz w:val="20"/>
          <w:szCs w:val="20"/>
        </w:rPr>
        <w:t>Torquay town centre.</w:t>
      </w:r>
      <w:r>
        <w:rPr>
          <w:rFonts w:ascii="Arial" w:hAnsi="Arial" w:cs="Arial"/>
          <w:color w:val="1F497D"/>
          <w:sz w:val="20"/>
          <w:szCs w:val="20"/>
        </w:rPr>
        <w:t xml:space="preserve">  </w:t>
      </w:r>
      <w:r>
        <w:rPr>
          <w:rFonts w:ascii="Arial" w:hAnsi="Arial" w:cs="Arial"/>
          <w:sz w:val="20"/>
          <w:szCs w:val="20"/>
        </w:rPr>
        <w:t>A very small existing need for is identified in Torquay</w:t>
      </w:r>
      <w:r>
        <w:rPr>
          <w:rFonts w:ascii="Arial" w:hAnsi="Arial" w:cs="Arial"/>
          <w:color w:val="1F497D"/>
          <w:sz w:val="20"/>
          <w:szCs w:val="20"/>
        </w:rPr>
        <w:t xml:space="preserve">.  </w:t>
      </w:r>
      <w:r>
        <w:rPr>
          <w:rFonts w:ascii="Arial" w:hAnsi="Arial" w:cs="Arial"/>
          <w:sz w:val="20"/>
          <w:szCs w:val="20"/>
        </w:rPr>
        <w:t>This is projected to rise to about 1,000 sq m by 2021 and 2,700 by 2031.   No significant need for additional foodstores is identified in Paignton or Brixham.   However, new local centres</w:t>
      </w:r>
      <w:r>
        <w:rPr>
          <w:rFonts w:ascii="Arial" w:hAnsi="Arial" w:cs="Arial"/>
          <w:color w:val="1F497D"/>
          <w:sz w:val="20"/>
          <w:szCs w:val="20"/>
        </w:rPr>
        <w:t xml:space="preserve"> </w:t>
      </w:r>
      <w:r>
        <w:rPr>
          <w:rFonts w:ascii="Arial" w:hAnsi="Arial" w:cs="Arial"/>
          <w:sz w:val="20"/>
          <w:szCs w:val="20"/>
        </w:rPr>
        <w:t xml:space="preserve">(e.g. at Edginswell Torquay, Great Parks and Yannons Farm, Paignton) may be required to provide some small scale provision to satisfy very local demand arising from planned growth.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b/>
          <w:bCs/>
          <w:color w:val="000000"/>
          <w:sz w:val="20"/>
          <w:szCs w:val="20"/>
        </w:rPr>
        <w:t xml:space="preserve">Comparison Stores (non-food): </w:t>
      </w:r>
      <w:r>
        <w:rPr>
          <w:rFonts w:ascii="Arial" w:hAnsi="Arial" w:cs="Arial"/>
          <w:color w:val="000000"/>
          <w:sz w:val="20"/>
          <w:szCs w:val="20"/>
        </w:rPr>
        <w:t>Need</w:t>
      </w:r>
      <w:r>
        <w:rPr>
          <w:rFonts w:ascii="Arial" w:hAnsi="Arial" w:cs="Arial"/>
          <w:sz w:val="20"/>
          <w:szCs w:val="20"/>
        </w:rPr>
        <w:t xml:space="preserve"> is </w:t>
      </w:r>
      <w:r>
        <w:rPr>
          <w:rFonts w:ascii="Arial" w:hAnsi="Arial" w:cs="Arial"/>
          <w:color w:val="000000"/>
          <w:sz w:val="20"/>
          <w:szCs w:val="20"/>
        </w:rPr>
        <w:t xml:space="preserve">confined to Torquay town centre in the longer term (post 2021).  At 2021 this is projected to be for 1,800 sq m of non food floorspace, rising to 11,000 sq m by 2031.  There is only a very small longer term need for additional non-food floorspace in Paignton and Brixham (of about 600 sq m in each town by 2031).   More significant effort should be made to improving the quality of existing floorspace in all three towns. </w:t>
      </w:r>
    </w:p>
    <w:p w:rsidR="005E6A0F" w:rsidRDefault="005E6A0F" w:rsidP="005E6A0F">
      <w:pPr>
        <w:rPr>
          <w:rFonts w:ascii="Arial" w:hAnsi="Arial" w:cs="Arial"/>
          <w:color w:val="000000"/>
          <w:sz w:val="20"/>
          <w:szCs w:val="20"/>
        </w:rPr>
      </w:pPr>
    </w:p>
    <w:p w:rsidR="005E6A0F" w:rsidRDefault="005E6A0F" w:rsidP="005E6A0F">
      <w:pPr>
        <w:rPr>
          <w:rFonts w:ascii="Arial" w:hAnsi="Arial" w:cs="Arial"/>
          <w:color w:val="000000"/>
          <w:sz w:val="20"/>
          <w:szCs w:val="20"/>
        </w:rPr>
      </w:pPr>
      <w:r>
        <w:rPr>
          <w:rFonts w:ascii="Arial" w:hAnsi="Arial" w:cs="Arial"/>
          <w:b/>
          <w:bCs/>
          <w:color w:val="000000"/>
          <w:sz w:val="20"/>
          <w:szCs w:val="20"/>
        </w:rPr>
        <w:t>Bulky Comparison Goods</w:t>
      </w:r>
      <w:r>
        <w:rPr>
          <w:rFonts w:ascii="Arial" w:hAnsi="Arial" w:cs="Arial"/>
          <w:color w:val="000000"/>
          <w:sz w:val="20"/>
          <w:szCs w:val="20"/>
        </w:rPr>
        <w:t xml:space="preserve"> </w:t>
      </w:r>
      <w:r>
        <w:rPr>
          <w:rFonts w:ascii="Arial" w:hAnsi="Arial" w:cs="Arial"/>
          <w:sz w:val="20"/>
          <w:szCs w:val="20"/>
        </w:rPr>
        <w:t xml:space="preserve">(i.e. products that would not normally be sold in the High Street, such as washing machines and furniture): There is some capacity for bulky goods floorspace, at about 1,500 sq </w:t>
      </w:r>
      <w:proofErr w:type="gramStart"/>
      <w:r>
        <w:rPr>
          <w:rFonts w:ascii="Arial" w:hAnsi="Arial" w:cs="Arial"/>
          <w:sz w:val="20"/>
          <w:szCs w:val="20"/>
        </w:rPr>
        <w:t>m  by</w:t>
      </w:r>
      <w:proofErr w:type="gramEnd"/>
      <w:r>
        <w:rPr>
          <w:rFonts w:ascii="Arial" w:hAnsi="Arial" w:cs="Arial"/>
          <w:sz w:val="20"/>
          <w:szCs w:val="20"/>
        </w:rPr>
        <w:t xml:space="preserve"> 2021 rising to 6,300  sq m  by 2031. </w:t>
      </w:r>
    </w:p>
    <w:p w:rsidR="005E6A0F" w:rsidRDefault="005E6A0F" w:rsidP="005E6A0F">
      <w:pPr>
        <w:rPr>
          <w:rFonts w:ascii="Calibri" w:hAnsi="Calibri"/>
          <w:color w:val="1F497D"/>
          <w:sz w:val="22"/>
          <w:szCs w:val="22"/>
        </w:rPr>
      </w:pPr>
    </w:p>
    <w:p w:rsidR="005E6A0F" w:rsidRDefault="005E6A0F" w:rsidP="005E6A0F">
      <w:pPr>
        <w:rPr>
          <w:rFonts w:ascii="Arial" w:hAnsi="Arial" w:cs="Arial"/>
          <w:color w:val="000000"/>
          <w:sz w:val="19"/>
          <w:szCs w:val="19"/>
        </w:rPr>
      </w:pPr>
    </w:p>
    <w:p w:rsidR="005E6A0F" w:rsidRDefault="005E6A0F" w:rsidP="005E6A0F">
      <w:pPr>
        <w:rPr>
          <w:rFonts w:ascii="Arial" w:hAnsi="Arial" w:cs="Arial"/>
          <w:b/>
          <w:bCs/>
          <w:color w:val="000000"/>
          <w:sz w:val="20"/>
          <w:szCs w:val="20"/>
        </w:rPr>
      </w:pPr>
      <w:r>
        <w:rPr>
          <w:rFonts w:ascii="Arial" w:hAnsi="Arial" w:cs="Arial"/>
          <w:b/>
          <w:bCs/>
          <w:sz w:val="19"/>
          <w:szCs w:val="19"/>
        </w:rPr>
        <w:t> </w:t>
      </w:r>
      <w:proofErr w:type="gramStart"/>
      <w:r>
        <w:rPr>
          <w:rFonts w:ascii="Arial" w:hAnsi="Arial" w:cs="Arial"/>
          <w:b/>
          <w:bCs/>
          <w:sz w:val="20"/>
          <w:szCs w:val="20"/>
        </w:rPr>
        <w:t>GVA’s</w:t>
      </w:r>
      <w:r>
        <w:rPr>
          <w:rFonts w:ascii="Arial" w:hAnsi="Arial" w:cs="Arial"/>
          <w:b/>
          <w:bCs/>
          <w:color w:val="1F497D"/>
          <w:sz w:val="20"/>
          <w:szCs w:val="20"/>
        </w:rPr>
        <w:t xml:space="preserve">  </w:t>
      </w:r>
      <w:r>
        <w:rPr>
          <w:rFonts w:ascii="Arial" w:hAnsi="Arial" w:cs="Arial"/>
          <w:b/>
          <w:bCs/>
          <w:color w:val="000000"/>
          <w:sz w:val="20"/>
          <w:szCs w:val="20"/>
        </w:rPr>
        <w:t>Policy</w:t>
      </w:r>
      <w:proofErr w:type="gramEnd"/>
      <w:r>
        <w:rPr>
          <w:rFonts w:ascii="Arial" w:hAnsi="Arial" w:cs="Arial"/>
          <w:b/>
          <w:bCs/>
          <w:color w:val="000000"/>
          <w:sz w:val="20"/>
          <w:szCs w:val="20"/>
        </w:rPr>
        <w:t xml:space="preserve"> Recommendations</w:t>
      </w:r>
    </w:p>
    <w:p w:rsidR="005E6A0F" w:rsidRDefault="005E6A0F" w:rsidP="005E6A0F">
      <w:pPr>
        <w:rPr>
          <w:rFonts w:ascii="Arial" w:hAnsi="Arial" w:cs="Arial"/>
          <w:color w:val="000000"/>
          <w:sz w:val="20"/>
          <w:szCs w:val="20"/>
        </w:rPr>
      </w:pPr>
    </w:p>
    <w:p w:rsidR="005E6A0F" w:rsidRDefault="005E6A0F" w:rsidP="005E6A0F">
      <w:pPr>
        <w:pStyle w:val="ListParagraph"/>
        <w:numPr>
          <w:ilvl w:val="0"/>
          <w:numId w:val="2"/>
        </w:numPr>
        <w:rPr>
          <w:rFonts w:ascii="Arial" w:hAnsi="Arial" w:cs="Arial"/>
          <w:color w:val="000000"/>
          <w:sz w:val="20"/>
          <w:szCs w:val="20"/>
        </w:rPr>
      </w:pPr>
      <w:r>
        <w:rPr>
          <w:rFonts w:ascii="Arial" w:hAnsi="Arial" w:cs="Arial"/>
          <w:sz w:val="20"/>
          <w:szCs w:val="20"/>
        </w:rPr>
        <w:t>A</w:t>
      </w:r>
      <w:r>
        <w:rPr>
          <w:rFonts w:ascii="Arial" w:hAnsi="Arial" w:cs="Arial"/>
          <w:color w:val="1F497D"/>
          <w:sz w:val="20"/>
          <w:szCs w:val="20"/>
        </w:rPr>
        <w:t xml:space="preserve"> </w:t>
      </w:r>
      <w:r>
        <w:rPr>
          <w:rFonts w:ascii="Arial" w:hAnsi="Arial" w:cs="Arial"/>
          <w:color w:val="000000"/>
          <w:sz w:val="20"/>
          <w:szCs w:val="20"/>
        </w:rPr>
        <w:t xml:space="preserve">town centre first </w:t>
      </w:r>
      <w:r>
        <w:rPr>
          <w:rFonts w:ascii="Arial" w:hAnsi="Arial" w:cs="Arial"/>
          <w:sz w:val="20"/>
          <w:szCs w:val="20"/>
        </w:rPr>
        <w:t>policy</w:t>
      </w:r>
      <w:r>
        <w:rPr>
          <w:rFonts w:ascii="Arial" w:hAnsi="Arial" w:cs="Arial"/>
          <w:color w:val="000000"/>
          <w:sz w:val="20"/>
          <w:szCs w:val="20"/>
        </w:rPr>
        <w:t xml:space="preserve"> is supported</w:t>
      </w:r>
      <w:r>
        <w:rPr>
          <w:rFonts w:ascii="Arial" w:hAnsi="Arial" w:cs="Arial"/>
          <w:color w:val="1F497D"/>
          <w:sz w:val="20"/>
          <w:szCs w:val="20"/>
        </w:rPr>
        <w:t xml:space="preserve"> </w:t>
      </w:r>
      <w:r>
        <w:rPr>
          <w:rFonts w:ascii="Arial" w:hAnsi="Arial" w:cs="Arial"/>
          <w:color w:val="000000"/>
          <w:sz w:val="20"/>
          <w:szCs w:val="20"/>
        </w:rPr>
        <w:t xml:space="preserve">- especially </w:t>
      </w:r>
      <w:r>
        <w:rPr>
          <w:rFonts w:ascii="Arial" w:hAnsi="Arial" w:cs="Arial"/>
          <w:sz w:val="20"/>
          <w:szCs w:val="20"/>
        </w:rPr>
        <w:t>for</w:t>
      </w:r>
      <w:r>
        <w:rPr>
          <w:rFonts w:ascii="Arial" w:hAnsi="Arial" w:cs="Arial"/>
          <w:color w:val="1F497D"/>
          <w:sz w:val="20"/>
          <w:szCs w:val="20"/>
        </w:rPr>
        <w:t xml:space="preserve"> </w:t>
      </w:r>
      <w:r>
        <w:rPr>
          <w:rFonts w:ascii="Arial" w:hAnsi="Arial" w:cs="Arial"/>
          <w:color w:val="000000"/>
          <w:sz w:val="20"/>
          <w:szCs w:val="20"/>
        </w:rPr>
        <w:t>Torquay town centre.  </w:t>
      </w:r>
      <w:r>
        <w:rPr>
          <w:rFonts w:ascii="Arial" w:hAnsi="Arial" w:cs="Arial"/>
          <w:sz w:val="20"/>
          <w:szCs w:val="20"/>
        </w:rPr>
        <w:t>In addition, GVA recommend that</w:t>
      </w:r>
      <w:r>
        <w:rPr>
          <w:rFonts w:ascii="Arial" w:hAnsi="Arial" w:cs="Arial"/>
          <w:color w:val="1F497D"/>
          <w:sz w:val="20"/>
          <w:szCs w:val="20"/>
        </w:rPr>
        <w:t xml:space="preserve"> t</w:t>
      </w:r>
      <w:r>
        <w:rPr>
          <w:rFonts w:ascii="Arial" w:hAnsi="Arial" w:cs="Arial"/>
          <w:color w:val="000000"/>
          <w:sz w:val="20"/>
          <w:szCs w:val="20"/>
        </w:rPr>
        <w:t>he Council should undertake proactive masterplanning of town centres to overcome site assembly etc issues and help town centres maintain their market share</w:t>
      </w:r>
      <w:r>
        <w:rPr>
          <w:rFonts w:ascii="Arial" w:hAnsi="Arial" w:cs="Arial"/>
          <w:sz w:val="20"/>
          <w:szCs w:val="20"/>
        </w:rPr>
        <w:t>.   A mix</w:t>
      </w:r>
      <w:r>
        <w:rPr>
          <w:rFonts w:ascii="Arial" w:hAnsi="Arial" w:cs="Arial"/>
          <w:color w:val="000000"/>
          <w:sz w:val="20"/>
          <w:szCs w:val="20"/>
        </w:rPr>
        <w:t xml:space="preserve"> of leisure, eating and retail uses should be considered, not just retail. </w:t>
      </w:r>
    </w:p>
    <w:p w:rsidR="005E6A0F" w:rsidRDefault="005E6A0F" w:rsidP="005E6A0F">
      <w:pPr>
        <w:pStyle w:val="ListParagraph"/>
        <w:rPr>
          <w:rFonts w:ascii="Arial" w:hAnsi="Arial" w:cs="Arial"/>
          <w:color w:val="000000"/>
          <w:sz w:val="20"/>
          <w:szCs w:val="20"/>
        </w:rPr>
      </w:pPr>
    </w:p>
    <w:p w:rsidR="005E6A0F" w:rsidRDefault="005E6A0F" w:rsidP="005E6A0F">
      <w:pPr>
        <w:pStyle w:val="ListParagraph"/>
        <w:numPr>
          <w:ilvl w:val="0"/>
          <w:numId w:val="2"/>
        </w:numPr>
        <w:rPr>
          <w:rFonts w:ascii="Arial" w:hAnsi="Arial" w:cs="Arial"/>
          <w:color w:val="000000"/>
          <w:sz w:val="20"/>
          <w:szCs w:val="20"/>
        </w:rPr>
      </w:pPr>
      <w:r>
        <w:rPr>
          <w:rFonts w:ascii="Arial" w:hAnsi="Arial" w:cs="Arial"/>
          <w:sz w:val="20"/>
          <w:szCs w:val="20"/>
        </w:rPr>
        <w:t>There is scope</w:t>
      </w:r>
      <w:r>
        <w:rPr>
          <w:rFonts w:ascii="Arial" w:hAnsi="Arial" w:cs="Arial"/>
          <w:color w:val="000000"/>
          <w:sz w:val="20"/>
          <w:szCs w:val="20"/>
        </w:rPr>
        <w:t xml:space="preserve"> for some bulky </w:t>
      </w:r>
      <w:r>
        <w:rPr>
          <w:rFonts w:ascii="Arial" w:hAnsi="Arial" w:cs="Arial"/>
          <w:sz w:val="20"/>
          <w:szCs w:val="20"/>
        </w:rPr>
        <w:t xml:space="preserve">goods </w:t>
      </w:r>
      <w:r>
        <w:rPr>
          <w:rFonts w:ascii="Arial" w:hAnsi="Arial" w:cs="Arial"/>
          <w:color w:val="000000"/>
          <w:sz w:val="20"/>
          <w:szCs w:val="20"/>
        </w:rPr>
        <w:t>retail in the north of Torbay</w:t>
      </w:r>
      <w:r>
        <w:rPr>
          <w:rFonts w:ascii="Arial" w:hAnsi="Arial" w:cs="Arial"/>
          <w:color w:val="1F497D"/>
          <w:sz w:val="20"/>
          <w:szCs w:val="20"/>
        </w:rPr>
        <w:t xml:space="preserve">. </w:t>
      </w:r>
      <w:r>
        <w:rPr>
          <w:rFonts w:ascii="Arial" w:hAnsi="Arial" w:cs="Arial"/>
          <w:color w:val="000000"/>
          <w:sz w:val="20"/>
          <w:szCs w:val="20"/>
        </w:rPr>
        <w:t xml:space="preserve">The Local Plan or Masterplans should identify an area in Torquay (e.g. in the Torquay Gateway area) that can accommodate bulky items retail. </w:t>
      </w:r>
    </w:p>
    <w:p w:rsidR="005E6A0F" w:rsidRDefault="005E6A0F" w:rsidP="005E6A0F">
      <w:pPr>
        <w:pStyle w:val="ListParagraph"/>
        <w:rPr>
          <w:rFonts w:ascii="Arial" w:hAnsi="Arial" w:cs="Arial"/>
          <w:color w:val="000000"/>
          <w:sz w:val="20"/>
          <w:szCs w:val="20"/>
        </w:rPr>
      </w:pPr>
    </w:p>
    <w:p w:rsidR="005E6A0F" w:rsidRDefault="005E6A0F" w:rsidP="005E6A0F">
      <w:pPr>
        <w:pStyle w:val="ListParagraph"/>
        <w:numPr>
          <w:ilvl w:val="0"/>
          <w:numId w:val="2"/>
        </w:numPr>
        <w:rPr>
          <w:rFonts w:ascii="Arial" w:hAnsi="Arial" w:cs="Arial"/>
          <w:sz w:val="20"/>
          <w:szCs w:val="20"/>
        </w:rPr>
      </w:pPr>
      <w:r>
        <w:rPr>
          <w:rFonts w:ascii="Arial" w:hAnsi="Arial" w:cs="Arial"/>
          <w:color w:val="000000"/>
          <w:sz w:val="20"/>
          <w:szCs w:val="20"/>
        </w:rPr>
        <w:t>The Council should resist proposals for major retail or leisure outside of the town centre areas.</w:t>
      </w:r>
      <w:r>
        <w:rPr>
          <w:rFonts w:ascii="Arial" w:hAnsi="Arial" w:cs="Arial"/>
          <w:color w:val="1F497D"/>
          <w:sz w:val="20"/>
          <w:szCs w:val="20"/>
        </w:rPr>
        <w:t xml:space="preserve">  </w:t>
      </w:r>
      <w:r>
        <w:rPr>
          <w:rFonts w:ascii="Arial" w:hAnsi="Arial" w:cs="Arial"/>
          <w:sz w:val="20"/>
          <w:szCs w:val="20"/>
        </w:rPr>
        <w:t xml:space="preserve">Torquay should be the focus as the main town centre. </w:t>
      </w:r>
    </w:p>
    <w:p w:rsidR="005E6A0F" w:rsidRDefault="005E6A0F" w:rsidP="005E6A0F">
      <w:pPr>
        <w:pStyle w:val="ListParagraph"/>
        <w:rPr>
          <w:rFonts w:ascii="Arial" w:hAnsi="Arial" w:cs="Arial"/>
          <w:sz w:val="20"/>
          <w:szCs w:val="20"/>
        </w:rPr>
      </w:pPr>
    </w:p>
    <w:p w:rsidR="005E6A0F" w:rsidRDefault="005E6A0F" w:rsidP="005E6A0F">
      <w:pPr>
        <w:pStyle w:val="ListParagraph"/>
        <w:numPr>
          <w:ilvl w:val="0"/>
          <w:numId w:val="2"/>
        </w:numPr>
        <w:rPr>
          <w:rFonts w:ascii="Arial" w:hAnsi="Arial" w:cs="Arial"/>
          <w:sz w:val="20"/>
          <w:szCs w:val="20"/>
        </w:rPr>
      </w:pPr>
      <w:r>
        <w:rPr>
          <w:rFonts w:ascii="Arial" w:hAnsi="Arial" w:cs="Arial"/>
          <w:sz w:val="20"/>
          <w:szCs w:val="20"/>
        </w:rPr>
        <w:lastRenderedPageBreak/>
        <w:t xml:space="preserve">Proposals for more than 500 sq m of retail floorspace in an out of centre location should require an assessment of their impact (N.B. this is less than the default 2,500 sq m threshold in the NPPF). </w:t>
      </w:r>
    </w:p>
    <w:p w:rsidR="005E6A0F" w:rsidRDefault="005E6A0F" w:rsidP="005E6A0F">
      <w:pPr>
        <w:pStyle w:val="ListParagraph"/>
        <w:rPr>
          <w:rFonts w:ascii="Arial" w:hAnsi="Arial" w:cs="Arial"/>
          <w:sz w:val="20"/>
          <w:szCs w:val="20"/>
        </w:rPr>
      </w:pPr>
    </w:p>
    <w:p w:rsidR="005E6A0F" w:rsidRDefault="005E6A0F" w:rsidP="005E6A0F">
      <w:pPr>
        <w:pStyle w:val="ListParagraph"/>
        <w:numPr>
          <w:ilvl w:val="0"/>
          <w:numId w:val="2"/>
        </w:numPr>
        <w:rPr>
          <w:rFonts w:ascii="Arial" w:hAnsi="Arial" w:cs="Arial"/>
          <w:sz w:val="20"/>
          <w:szCs w:val="20"/>
        </w:rPr>
      </w:pPr>
      <w:r>
        <w:rPr>
          <w:rFonts w:ascii="Arial" w:hAnsi="Arial" w:cs="Arial"/>
          <w:sz w:val="20"/>
          <w:szCs w:val="20"/>
        </w:rPr>
        <w:t>The Willows, Torquay should retain its formal status as a District Centre, but its growth should be controlled to prevent adverse impacts on town centres.  </w:t>
      </w:r>
    </w:p>
    <w:p w:rsidR="005E6A0F" w:rsidRDefault="005E6A0F" w:rsidP="005E6A0F">
      <w:pPr>
        <w:rPr>
          <w:rFonts w:ascii="Arial" w:hAnsi="Arial" w:cs="Arial"/>
          <w:color w:val="000000"/>
          <w:sz w:val="20"/>
          <w:szCs w:val="20"/>
        </w:rPr>
      </w:pPr>
    </w:p>
    <w:p w:rsidR="005E6A0F" w:rsidRDefault="005E6A0F" w:rsidP="005E6A0F">
      <w:pPr>
        <w:pStyle w:val="ListParagraph"/>
        <w:numPr>
          <w:ilvl w:val="0"/>
          <w:numId w:val="2"/>
        </w:numPr>
        <w:rPr>
          <w:rFonts w:ascii="Arial" w:hAnsi="Arial" w:cs="Arial"/>
          <w:color w:val="000000"/>
          <w:sz w:val="20"/>
          <w:szCs w:val="20"/>
        </w:rPr>
      </w:pPr>
      <w:r>
        <w:rPr>
          <w:rFonts w:ascii="Arial" w:hAnsi="Arial" w:cs="Arial"/>
          <w:color w:val="000000"/>
          <w:sz w:val="20"/>
          <w:szCs w:val="20"/>
        </w:rPr>
        <w:t xml:space="preserve">The Retail Update was not supportive of </w:t>
      </w:r>
      <w:proofErr w:type="gramStart"/>
      <w:r>
        <w:rPr>
          <w:rFonts w:ascii="Arial" w:hAnsi="Arial" w:cs="Arial"/>
          <w:color w:val="000000"/>
          <w:sz w:val="20"/>
          <w:szCs w:val="20"/>
        </w:rPr>
        <w:t>“ factory</w:t>
      </w:r>
      <w:proofErr w:type="gramEnd"/>
      <w:r>
        <w:rPr>
          <w:rFonts w:ascii="Arial" w:hAnsi="Arial" w:cs="Arial"/>
          <w:color w:val="000000"/>
          <w:sz w:val="20"/>
          <w:szCs w:val="20"/>
        </w:rPr>
        <w:t xml:space="preserve"> outlet centre” type retail (i.e. a retail hub focusing on end of line or other discounted items), as this could detract from existing town centres and divert trade from the non discounted retail sector.  </w:t>
      </w:r>
    </w:p>
    <w:p w:rsidR="005E6A0F" w:rsidRDefault="005E6A0F" w:rsidP="005E6A0F">
      <w:pPr>
        <w:pStyle w:val="ListParagraph"/>
        <w:rPr>
          <w:rFonts w:ascii="Arial" w:hAnsi="Arial" w:cs="Arial"/>
          <w:color w:val="000000"/>
          <w:sz w:val="20"/>
          <w:szCs w:val="20"/>
        </w:rPr>
      </w:pPr>
    </w:p>
    <w:p w:rsidR="005E6A0F" w:rsidRDefault="005E6A0F" w:rsidP="005E6A0F">
      <w:pPr>
        <w:pStyle w:val="ListParagraph"/>
        <w:numPr>
          <w:ilvl w:val="0"/>
          <w:numId w:val="2"/>
        </w:numPr>
        <w:rPr>
          <w:rFonts w:ascii="Arial" w:hAnsi="Arial" w:cs="Arial"/>
          <w:color w:val="000000"/>
          <w:sz w:val="20"/>
          <w:szCs w:val="20"/>
        </w:rPr>
      </w:pPr>
      <w:r>
        <w:rPr>
          <w:rFonts w:ascii="Arial" w:hAnsi="Arial" w:cs="Arial"/>
          <w:b/>
          <w:bCs/>
          <w:color w:val="000000"/>
          <w:sz w:val="20"/>
          <w:szCs w:val="20"/>
        </w:rPr>
        <w:t>Torquay</w:t>
      </w:r>
      <w:r>
        <w:rPr>
          <w:rFonts w:ascii="Arial" w:hAnsi="Arial" w:cs="Arial"/>
          <w:color w:val="000000"/>
          <w:sz w:val="20"/>
          <w:szCs w:val="20"/>
        </w:rPr>
        <w:t xml:space="preserve"> has </w:t>
      </w:r>
      <w:r>
        <w:rPr>
          <w:rFonts w:ascii="Arial" w:hAnsi="Arial" w:cs="Arial"/>
          <w:sz w:val="20"/>
          <w:szCs w:val="20"/>
        </w:rPr>
        <w:t xml:space="preserve">the </w:t>
      </w:r>
      <w:r>
        <w:rPr>
          <w:rFonts w:ascii="Arial" w:hAnsi="Arial" w:cs="Arial"/>
          <w:color w:val="000000"/>
          <w:sz w:val="20"/>
          <w:szCs w:val="20"/>
        </w:rPr>
        <w:t>best opportunities for new floorspace</w:t>
      </w:r>
      <w:r>
        <w:rPr>
          <w:rFonts w:ascii="Arial" w:hAnsi="Arial" w:cs="Arial"/>
          <w:b/>
          <w:bCs/>
          <w:color w:val="000000"/>
          <w:sz w:val="20"/>
          <w:szCs w:val="20"/>
        </w:rPr>
        <w:t>.  </w:t>
      </w:r>
      <w:r>
        <w:rPr>
          <w:rFonts w:ascii="Arial" w:hAnsi="Arial" w:cs="Arial"/>
          <w:color w:val="000000"/>
          <w:sz w:val="20"/>
          <w:szCs w:val="20"/>
        </w:rPr>
        <w:t xml:space="preserve">The Town Hall car park is the best location for a new supermarket. </w:t>
      </w:r>
      <w:r>
        <w:rPr>
          <w:rFonts w:ascii="Arial" w:hAnsi="Arial" w:cs="Arial"/>
          <w:b/>
          <w:bCs/>
          <w:color w:val="000000"/>
          <w:sz w:val="20"/>
          <w:szCs w:val="20"/>
        </w:rPr>
        <w:t> </w:t>
      </w:r>
      <w:r>
        <w:rPr>
          <w:rFonts w:ascii="Arial" w:hAnsi="Arial" w:cs="Arial"/>
          <w:color w:val="000000"/>
          <w:sz w:val="20"/>
          <w:szCs w:val="20"/>
        </w:rPr>
        <w:t xml:space="preserve">But </w:t>
      </w:r>
      <w:r>
        <w:rPr>
          <w:rFonts w:ascii="Arial" w:hAnsi="Arial" w:cs="Arial"/>
          <w:sz w:val="20"/>
          <w:szCs w:val="20"/>
        </w:rPr>
        <w:t>the</w:t>
      </w:r>
      <w:r>
        <w:rPr>
          <w:rFonts w:ascii="Arial" w:hAnsi="Arial" w:cs="Arial"/>
          <w:color w:val="1F497D"/>
          <w:sz w:val="20"/>
          <w:szCs w:val="20"/>
        </w:rPr>
        <w:t xml:space="preserve"> </w:t>
      </w:r>
      <w:r>
        <w:rPr>
          <w:rFonts w:ascii="Arial" w:hAnsi="Arial" w:cs="Arial"/>
          <w:color w:val="000000"/>
          <w:sz w:val="20"/>
          <w:szCs w:val="20"/>
        </w:rPr>
        <w:t>focus should also be on improving existing floorspace (due to little capacity for comparison floorspace in the short term).</w:t>
      </w:r>
      <w:r>
        <w:rPr>
          <w:rFonts w:ascii="Arial" w:hAnsi="Arial" w:cs="Arial"/>
          <w:b/>
          <w:bCs/>
          <w:color w:val="000000"/>
          <w:sz w:val="20"/>
          <w:szCs w:val="20"/>
        </w:rPr>
        <w:t xml:space="preserve">  </w:t>
      </w:r>
      <w:r>
        <w:rPr>
          <w:rFonts w:ascii="Arial" w:hAnsi="Arial" w:cs="Arial"/>
          <w:color w:val="000000"/>
          <w:sz w:val="20"/>
          <w:szCs w:val="20"/>
        </w:rPr>
        <w:t xml:space="preserve">The north western side of Union Street is the biggest single mixed use regeneration opportunity.  Other opportunities exist in the harbour e.g. Pavilion, Marina Car Park.  GVA recommend a mixed use approach incorporating leisure uses, </w:t>
      </w:r>
      <w:r>
        <w:rPr>
          <w:rFonts w:ascii="Arial" w:hAnsi="Arial" w:cs="Arial"/>
          <w:sz w:val="20"/>
          <w:szCs w:val="20"/>
        </w:rPr>
        <w:t xml:space="preserve">restaurants etc. as well as retail. </w:t>
      </w:r>
    </w:p>
    <w:p w:rsidR="005E6A0F" w:rsidRDefault="005E6A0F" w:rsidP="005E6A0F">
      <w:pPr>
        <w:pStyle w:val="ListParagraph"/>
        <w:rPr>
          <w:rFonts w:ascii="Arial" w:hAnsi="Arial" w:cs="Arial"/>
          <w:color w:val="000000"/>
          <w:sz w:val="20"/>
          <w:szCs w:val="20"/>
        </w:rPr>
      </w:pPr>
    </w:p>
    <w:p w:rsidR="005E6A0F" w:rsidRDefault="005E6A0F" w:rsidP="005E6A0F">
      <w:pPr>
        <w:pStyle w:val="ListParagraph"/>
        <w:numPr>
          <w:ilvl w:val="0"/>
          <w:numId w:val="2"/>
        </w:numPr>
        <w:rPr>
          <w:rFonts w:ascii="Arial" w:hAnsi="Arial" w:cs="Arial"/>
          <w:b/>
          <w:bCs/>
          <w:color w:val="000000"/>
          <w:sz w:val="20"/>
          <w:szCs w:val="20"/>
        </w:rPr>
      </w:pPr>
      <w:r>
        <w:rPr>
          <w:rFonts w:ascii="Arial" w:hAnsi="Arial" w:cs="Arial"/>
          <w:b/>
          <w:bCs/>
          <w:color w:val="000000"/>
          <w:sz w:val="20"/>
          <w:szCs w:val="20"/>
        </w:rPr>
        <w:t xml:space="preserve">Paignton </w:t>
      </w:r>
      <w:r>
        <w:rPr>
          <w:rFonts w:ascii="Arial" w:hAnsi="Arial" w:cs="Arial"/>
          <w:color w:val="000000"/>
          <w:sz w:val="20"/>
          <w:szCs w:val="20"/>
        </w:rPr>
        <w:t>has limited capacity for new floorspace, but there are opportunities to improve existing provision as part of the regeneration of the town centre.</w:t>
      </w:r>
      <w:r>
        <w:rPr>
          <w:rFonts w:ascii="Arial" w:hAnsi="Arial" w:cs="Arial"/>
          <w:b/>
          <w:bCs/>
          <w:color w:val="000000"/>
          <w:sz w:val="20"/>
          <w:szCs w:val="20"/>
        </w:rPr>
        <w:t xml:space="preserve"> </w:t>
      </w:r>
      <w:r>
        <w:rPr>
          <w:rFonts w:ascii="Arial" w:hAnsi="Arial" w:cs="Arial"/>
          <w:color w:val="000000"/>
          <w:sz w:val="20"/>
          <w:szCs w:val="20"/>
        </w:rPr>
        <w:t xml:space="preserve"> Investigation of Victoria Square should take place as part of proactive masterplanning. </w:t>
      </w:r>
      <w:r>
        <w:rPr>
          <w:rFonts w:ascii="Arial" w:hAnsi="Arial" w:cs="Arial"/>
          <w:sz w:val="20"/>
          <w:szCs w:val="20"/>
        </w:rPr>
        <w:t>There should be a focus on improving quality of provision and mix of uses.</w:t>
      </w:r>
      <w:r>
        <w:rPr>
          <w:rFonts w:ascii="Arial" w:hAnsi="Arial" w:cs="Arial"/>
          <w:color w:val="000000"/>
          <w:sz w:val="20"/>
          <w:szCs w:val="20"/>
        </w:rPr>
        <w:t xml:space="preserve"> </w:t>
      </w:r>
    </w:p>
    <w:p w:rsidR="005E6A0F" w:rsidRDefault="005E6A0F" w:rsidP="005E6A0F">
      <w:pPr>
        <w:pStyle w:val="ListParagraph"/>
        <w:rPr>
          <w:rFonts w:ascii="Arial" w:hAnsi="Arial" w:cs="Arial"/>
          <w:b/>
          <w:bCs/>
          <w:color w:val="000000"/>
          <w:sz w:val="20"/>
          <w:szCs w:val="20"/>
        </w:rPr>
      </w:pPr>
      <w:r>
        <w:rPr>
          <w:rFonts w:ascii="Arial" w:hAnsi="Arial" w:cs="Arial"/>
          <w:color w:val="000000"/>
          <w:sz w:val="20"/>
          <w:szCs w:val="20"/>
        </w:rPr>
        <w:t>  </w:t>
      </w:r>
    </w:p>
    <w:p w:rsidR="005E6A0F" w:rsidRDefault="005E6A0F" w:rsidP="005E6A0F">
      <w:pPr>
        <w:pStyle w:val="ListParagraph"/>
        <w:numPr>
          <w:ilvl w:val="0"/>
          <w:numId w:val="2"/>
        </w:numPr>
        <w:rPr>
          <w:rFonts w:ascii="Arial" w:hAnsi="Arial" w:cs="Arial"/>
          <w:b/>
          <w:bCs/>
          <w:color w:val="000000"/>
          <w:sz w:val="20"/>
          <w:szCs w:val="20"/>
        </w:rPr>
      </w:pPr>
      <w:r>
        <w:rPr>
          <w:rFonts w:ascii="Arial" w:hAnsi="Arial" w:cs="Arial"/>
          <w:b/>
          <w:bCs/>
          <w:color w:val="000000"/>
          <w:sz w:val="20"/>
          <w:szCs w:val="20"/>
        </w:rPr>
        <w:t xml:space="preserve">Brixham. </w:t>
      </w:r>
      <w:r>
        <w:rPr>
          <w:rFonts w:ascii="Arial" w:hAnsi="Arial" w:cs="Arial"/>
          <w:color w:val="000000"/>
          <w:sz w:val="20"/>
          <w:szCs w:val="20"/>
        </w:rPr>
        <w:t xml:space="preserve">The </w:t>
      </w:r>
      <w:r>
        <w:rPr>
          <w:rFonts w:ascii="Arial" w:hAnsi="Arial" w:cs="Arial"/>
          <w:sz w:val="20"/>
          <w:szCs w:val="20"/>
        </w:rPr>
        <w:t>delivery of a</w:t>
      </w:r>
      <w:r>
        <w:rPr>
          <w:rFonts w:ascii="Arial" w:hAnsi="Arial" w:cs="Arial"/>
          <w:color w:val="000000"/>
          <w:sz w:val="20"/>
          <w:szCs w:val="20"/>
        </w:rPr>
        <w:t xml:space="preserve"> foodstore on the former multi-storey car park</w:t>
      </w:r>
      <w:r>
        <w:rPr>
          <w:rFonts w:ascii="Arial" w:hAnsi="Arial" w:cs="Arial"/>
          <w:color w:val="1F497D"/>
          <w:sz w:val="20"/>
          <w:szCs w:val="20"/>
        </w:rPr>
        <w:t xml:space="preserve"> </w:t>
      </w:r>
      <w:r>
        <w:rPr>
          <w:rFonts w:ascii="Arial" w:hAnsi="Arial" w:cs="Arial"/>
          <w:sz w:val="20"/>
          <w:szCs w:val="20"/>
        </w:rPr>
        <w:t>will improve town centre provision and reduce the leakage of expenditure out of Brixham</w:t>
      </w:r>
      <w:r>
        <w:rPr>
          <w:rFonts w:ascii="Arial" w:hAnsi="Arial" w:cs="Arial"/>
          <w:color w:val="1F497D"/>
          <w:sz w:val="20"/>
          <w:szCs w:val="20"/>
        </w:rPr>
        <w:t xml:space="preserve">. </w:t>
      </w:r>
      <w:r>
        <w:rPr>
          <w:rFonts w:ascii="Arial" w:hAnsi="Arial" w:cs="Arial"/>
          <w:color w:val="000000"/>
          <w:sz w:val="20"/>
          <w:szCs w:val="20"/>
        </w:rPr>
        <w:t xml:space="preserve">GVA </w:t>
      </w:r>
      <w:r>
        <w:rPr>
          <w:rFonts w:ascii="Arial" w:hAnsi="Arial" w:cs="Arial"/>
          <w:sz w:val="20"/>
          <w:szCs w:val="20"/>
        </w:rPr>
        <w:t>continue to s</w:t>
      </w:r>
      <w:r>
        <w:rPr>
          <w:rFonts w:ascii="Arial" w:hAnsi="Arial" w:cs="Arial"/>
          <w:color w:val="000000"/>
          <w:sz w:val="20"/>
          <w:szCs w:val="20"/>
        </w:rPr>
        <w:t>upport the foodstore led development in the town centre.</w:t>
      </w:r>
    </w:p>
    <w:p w:rsidR="005E6A0F" w:rsidRDefault="005E6A0F" w:rsidP="005E6A0F">
      <w:pPr>
        <w:pStyle w:val="ListParagraph"/>
        <w:rPr>
          <w:rFonts w:ascii="Arial" w:hAnsi="Arial" w:cs="Arial"/>
          <w:b/>
          <w:bCs/>
          <w:color w:val="000000"/>
          <w:sz w:val="19"/>
          <w:szCs w:val="19"/>
        </w:rPr>
      </w:pPr>
    </w:p>
    <w:p w:rsidR="005E6A0F" w:rsidRDefault="005E6A0F" w:rsidP="005E6A0F">
      <w:pPr>
        <w:pStyle w:val="ListParagraph"/>
        <w:rPr>
          <w:rFonts w:ascii="Arial" w:hAnsi="Arial" w:cs="Arial"/>
          <w:color w:val="000000"/>
          <w:sz w:val="19"/>
          <w:szCs w:val="19"/>
        </w:rPr>
      </w:pPr>
    </w:p>
    <w:p w:rsidR="00562C7F" w:rsidRDefault="00562C7F" w:rsidP="00562C7F">
      <w:pPr>
        <w:rPr>
          <w:rFonts w:ascii="Calibri" w:hAnsi="Calibri"/>
          <w:b/>
          <w:sz w:val="22"/>
          <w:szCs w:val="22"/>
        </w:rPr>
      </w:pPr>
      <w:r>
        <w:rPr>
          <w:rFonts w:ascii="Calibri" w:hAnsi="Calibri"/>
          <w:b/>
          <w:sz w:val="22"/>
          <w:szCs w:val="22"/>
        </w:rPr>
        <w:t xml:space="preserve">GVA’s Floorspace Capacity </w:t>
      </w:r>
      <w:proofErr w:type="gramStart"/>
      <w:r>
        <w:rPr>
          <w:rFonts w:ascii="Calibri" w:hAnsi="Calibri"/>
          <w:b/>
          <w:sz w:val="22"/>
          <w:szCs w:val="22"/>
        </w:rPr>
        <w:t>Projections  2013</w:t>
      </w:r>
      <w:proofErr w:type="gramEnd"/>
      <w:r w:rsidR="001659A0">
        <w:rPr>
          <w:rFonts w:ascii="Calibri" w:hAnsi="Calibri"/>
          <w:b/>
          <w:sz w:val="22"/>
          <w:szCs w:val="22"/>
        </w:rPr>
        <w:t xml:space="preserve">- For Information </w:t>
      </w:r>
    </w:p>
    <w:p w:rsidR="00562C7F" w:rsidRDefault="00562C7F" w:rsidP="00562C7F">
      <w:pPr>
        <w:rPr>
          <w:rFonts w:ascii="Arial" w:hAnsi="Arial" w:cs="Arial"/>
          <w:color w:val="000000"/>
          <w:sz w:val="20"/>
          <w:szCs w:val="20"/>
        </w:rPr>
      </w:pPr>
    </w:p>
    <w:tbl>
      <w:tblPr>
        <w:tblW w:w="0" w:type="auto"/>
        <w:tblInd w:w="426" w:type="dxa"/>
        <w:tblCellMar>
          <w:left w:w="0" w:type="dxa"/>
          <w:right w:w="0" w:type="dxa"/>
        </w:tblCellMar>
        <w:tblLook w:val="04A0"/>
      </w:tblPr>
      <w:tblGrid>
        <w:gridCol w:w="1550"/>
        <w:gridCol w:w="1520"/>
        <w:gridCol w:w="1520"/>
        <w:gridCol w:w="1520"/>
        <w:gridCol w:w="1520"/>
        <w:gridCol w:w="1520"/>
      </w:tblGrid>
      <w:tr w:rsidR="00562C7F" w:rsidRPr="00FB7261" w:rsidTr="00562C7F">
        <w:tc>
          <w:tcPr>
            <w:tcW w:w="957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sz w:val="20"/>
                <w:szCs w:val="20"/>
              </w:rPr>
            </w:pPr>
            <w:r w:rsidRPr="00FB7261">
              <w:rPr>
                <w:rFonts w:ascii="Arial" w:hAnsi="Arial" w:cs="Arial"/>
                <w:b/>
                <w:bCs/>
                <w:sz w:val="20"/>
                <w:szCs w:val="20"/>
              </w:rPr>
              <w:t>Convenience (food) Floorspace Capacity Forecasts 2013-31 (sqm net)</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2C7F" w:rsidRPr="00FB7261" w:rsidRDefault="00562C7F">
            <w:pPr>
              <w:rPr>
                <w:rFonts w:ascii="Arial" w:hAnsi="Arial" w:cs="Arial"/>
                <w:color w:val="000000"/>
                <w:sz w:val="20"/>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2031</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Torquay</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158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338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1,034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1,846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2,701</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Paignton</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-2,474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-2919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-2,248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-1516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-734</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Brixham</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-1,798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-280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-132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35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205</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Torbay</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-4,114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-2,852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-1,346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374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2,182</w:t>
            </w:r>
          </w:p>
        </w:tc>
      </w:tr>
    </w:tbl>
    <w:p w:rsidR="00562C7F" w:rsidRDefault="00562C7F" w:rsidP="00562C7F">
      <w:pPr>
        <w:rPr>
          <w:rFonts w:ascii="Arial" w:hAnsi="Arial" w:cs="Arial"/>
          <w:color w:val="000000"/>
          <w:sz w:val="20"/>
          <w:szCs w:val="20"/>
        </w:rPr>
      </w:pPr>
    </w:p>
    <w:p w:rsidR="00562C7F" w:rsidRDefault="00562C7F" w:rsidP="00562C7F">
      <w:pPr>
        <w:rPr>
          <w:rFonts w:ascii="Arial" w:hAnsi="Arial" w:cs="Arial"/>
          <w:color w:val="000000"/>
          <w:sz w:val="20"/>
          <w:szCs w:val="20"/>
        </w:rPr>
      </w:pPr>
    </w:p>
    <w:p w:rsidR="00562C7F" w:rsidRDefault="00562C7F" w:rsidP="00562C7F">
      <w:pPr>
        <w:rPr>
          <w:rFonts w:ascii="Arial" w:hAnsi="Arial" w:cs="Arial"/>
          <w:color w:val="000000"/>
          <w:sz w:val="19"/>
          <w:szCs w:val="19"/>
        </w:rPr>
      </w:pPr>
    </w:p>
    <w:tbl>
      <w:tblPr>
        <w:tblW w:w="0" w:type="auto"/>
        <w:tblInd w:w="474" w:type="dxa"/>
        <w:tblCellMar>
          <w:left w:w="0" w:type="dxa"/>
          <w:right w:w="0" w:type="dxa"/>
        </w:tblCellMar>
        <w:tblLook w:val="04A0"/>
      </w:tblPr>
      <w:tblGrid>
        <w:gridCol w:w="1545"/>
        <w:gridCol w:w="1510"/>
        <w:gridCol w:w="1509"/>
        <w:gridCol w:w="1509"/>
        <w:gridCol w:w="1509"/>
        <w:gridCol w:w="1520"/>
      </w:tblGrid>
      <w:tr w:rsidR="00562C7F" w:rsidRPr="00FB7261" w:rsidTr="00562C7F">
        <w:tc>
          <w:tcPr>
            <w:tcW w:w="957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sz w:val="20"/>
                <w:szCs w:val="20"/>
              </w:rPr>
            </w:pPr>
            <w:r w:rsidRPr="00FB7261">
              <w:rPr>
                <w:rFonts w:ascii="Arial" w:hAnsi="Arial" w:cs="Arial"/>
                <w:b/>
                <w:bCs/>
                <w:sz w:val="20"/>
                <w:szCs w:val="20"/>
              </w:rPr>
              <w:t>Comparison (non food) Floorspace Capacity Forecasts 2013-31 (sqm net)</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2C7F" w:rsidRPr="00FB7261" w:rsidRDefault="00562C7F">
            <w:pPr>
              <w:rPr>
                <w:rFonts w:ascii="Arial" w:hAnsi="Arial" w:cs="Arial"/>
                <w:b/>
                <w:bCs/>
                <w:color w:val="000000"/>
                <w:sz w:val="20"/>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2031</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Torquay</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-235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-740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1,770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6,201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11,063</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Paignton</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-2,316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-2,019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-1,408</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-435</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644</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Brixham</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-1,220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-61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70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339</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621</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Torbay</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-3,064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-2,404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   700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6,124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12,068</w:t>
            </w:r>
          </w:p>
        </w:tc>
      </w:tr>
    </w:tbl>
    <w:p w:rsidR="00562C7F" w:rsidRDefault="00562C7F" w:rsidP="00562C7F">
      <w:pPr>
        <w:rPr>
          <w:rFonts w:ascii="Arial" w:hAnsi="Arial" w:cs="Arial"/>
          <w:color w:val="000000"/>
          <w:sz w:val="19"/>
          <w:szCs w:val="19"/>
        </w:rPr>
      </w:pPr>
    </w:p>
    <w:p w:rsidR="00562C7F" w:rsidRDefault="00562C7F" w:rsidP="00562C7F">
      <w:pPr>
        <w:rPr>
          <w:rFonts w:ascii="Arial" w:hAnsi="Arial" w:cs="Arial"/>
          <w:color w:val="000000"/>
          <w:sz w:val="19"/>
          <w:szCs w:val="19"/>
        </w:rPr>
      </w:pPr>
    </w:p>
    <w:p w:rsidR="00562C7F" w:rsidRDefault="00562C7F" w:rsidP="00562C7F">
      <w:pPr>
        <w:rPr>
          <w:rFonts w:ascii="Arial" w:hAnsi="Arial" w:cs="Arial"/>
          <w:color w:val="000000"/>
          <w:sz w:val="19"/>
          <w:szCs w:val="19"/>
        </w:rPr>
      </w:pPr>
    </w:p>
    <w:tbl>
      <w:tblPr>
        <w:tblW w:w="0" w:type="auto"/>
        <w:tblInd w:w="474" w:type="dxa"/>
        <w:tblCellMar>
          <w:left w:w="0" w:type="dxa"/>
          <w:right w:w="0" w:type="dxa"/>
        </w:tblCellMar>
        <w:tblLook w:val="04A0"/>
      </w:tblPr>
      <w:tblGrid>
        <w:gridCol w:w="1532"/>
        <w:gridCol w:w="1511"/>
        <w:gridCol w:w="1511"/>
        <w:gridCol w:w="1516"/>
        <w:gridCol w:w="1516"/>
        <w:gridCol w:w="1516"/>
      </w:tblGrid>
      <w:tr w:rsidR="00562C7F" w:rsidRPr="00FB7261" w:rsidTr="00562C7F">
        <w:tc>
          <w:tcPr>
            <w:tcW w:w="9576" w:type="dxa"/>
            <w:gridSpan w:val="6"/>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sz w:val="20"/>
                <w:szCs w:val="20"/>
              </w:rPr>
            </w:pPr>
            <w:r w:rsidRPr="00FB7261">
              <w:rPr>
                <w:rFonts w:ascii="Arial" w:hAnsi="Arial" w:cs="Arial"/>
                <w:b/>
                <w:bCs/>
                <w:sz w:val="20"/>
                <w:szCs w:val="20"/>
              </w:rPr>
              <w:t>Bulky Comparison (non food) Floorspace Capacity Forecasts 2013-31 (sqm net)</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2C7F" w:rsidRPr="00FB7261" w:rsidRDefault="00562C7F">
            <w:pPr>
              <w:rPr>
                <w:rFonts w:ascii="Arial" w:hAnsi="Arial" w:cs="Arial"/>
                <w:color w:val="000000"/>
                <w:sz w:val="20"/>
                <w:szCs w:val="20"/>
              </w:rPr>
            </w:pP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2016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2021</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2026</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2031</w:t>
            </w:r>
          </w:p>
        </w:tc>
      </w:tr>
      <w:tr w:rsidR="00562C7F" w:rsidRPr="00FB7261" w:rsidTr="00562C7F">
        <w:tc>
          <w:tcPr>
            <w:tcW w:w="159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b/>
                <w:bCs/>
                <w:color w:val="000000"/>
                <w:sz w:val="20"/>
                <w:szCs w:val="20"/>
              </w:rPr>
            </w:pPr>
            <w:r w:rsidRPr="00FB7261">
              <w:rPr>
                <w:rFonts w:ascii="Arial" w:hAnsi="Arial" w:cs="Arial"/>
                <w:b/>
                <w:bCs/>
                <w:color w:val="000000"/>
                <w:sz w:val="20"/>
                <w:szCs w:val="20"/>
              </w:rPr>
              <w:t>Torbay</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0</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273</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1,564</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3,832</w:t>
            </w:r>
          </w:p>
        </w:tc>
        <w:tc>
          <w:tcPr>
            <w:tcW w:w="1596" w:type="dxa"/>
            <w:tcBorders>
              <w:top w:val="nil"/>
              <w:left w:val="nil"/>
              <w:bottom w:val="single" w:sz="8" w:space="0" w:color="auto"/>
              <w:right w:val="single" w:sz="8" w:space="0" w:color="auto"/>
            </w:tcBorders>
            <w:tcMar>
              <w:top w:w="0" w:type="dxa"/>
              <w:left w:w="108" w:type="dxa"/>
              <w:bottom w:w="0" w:type="dxa"/>
              <w:right w:w="108" w:type="dxa"/>
            </w:tcMar>
            <w:hideMark/>
          </w:tcPr>
          <w:p w:rsidR="00562C7F" w:rsidRPr="00FB7261" w:rsidRDefault="00562C7F">
            <w:pPr>
              <w:rPr>
                <w:rFonts w:ascii="Arial" w:hAnsi="Arial" w:cs="Arial"/>
                <w:color w:val="000000"/>
                <w:sz w:val="20"/>
                <w:szCs w:val="20"/>
              </w:rPr>
            </w:pPr>
            <w:r w:rsidRPr="00FB7261">
              <w:rPr>
                <w:rFonts w:ascii="Arial" w:hAnsi="Arial" w:cs="Arial"/>
                <w:color w:val="000000"/>
                <w:sz w:val="20"/>
                <w:szCs w:val="20"/>
              </w:rPr>
              <w:t>6,310</w:t>
            </w:r>
          </w:p>
        </w:tc>
      </w:tr>
    </w:tbl>
    <w:p w:rsidR="001D2FBD" w:rsidRDefault="001D2FBD"/>
    <w:sectPr w:rsidR="001D2FBD" w:rsidSect="001D2FB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F41B8C"/>
    <w:multiLevelType w:val="hybridMultilevel"/>
    <w:tmpl w:val="1436B8B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3AD83B60"/>
    <w:multiLevelType w:val="hybridMultilevel"/>
    <w:tmpl w:val="E40C45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62C7F"/>
    <w:rsid w:val="00024A6B"/>
    <w:rsid w:val="001659A0"/>
    <w:rsid w:val="001D2FBD"/>
    <w:rsid w:val="00562C7F"/>
    <w:rsid w:val="005E6A0F"/>
    <w:rsid w:val="00617D54"/>
    <w:rsid w:val="00626F90"/>
    <w:rsid w:val="006F2710"/>
    <w:rsid w:val="009E5498"/>
    <w:rsid w:val="00E55FC7"/>
    <w:rsid w:val="00FB726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C7F"/>
    <w:rPr>
      <w:rFonts w:ascii="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A0F"/>
    <w:pPr>
      <w:ind w:left="720"/>
    </w:pPr>
  </w:style>
</w:styles>
</file>

<file path=word/webSettings.xml><?xml version="1.0" encoding="utf-8"?>
<w:webSettings xmlns:r="http://schemas.openxmlformats.org/officeDocument/2006/relationships" xmlns:w="http://schemas.openxmlformats.org/wordprocessingml/2006/main">
  <w:divs>
    <w:div w:id="843397086">
      <w:bodyDiv w:val="1"/>
      <w:marLeft w:val="0"/>
      <w:marRight w:val="0"/>
      <w:marTop w:val="0"/>
      <w:marBottom w:val="0"/>
      <w:divBdr>
        <w:top w:val="none" w:sz="0" w:space="0" w:color="auto"/>
        <w:left w:val="none" w:sz="0" w:space="0" w:color="auto"/>
        <w:bottom w:val="none" w:sz="0" w:space="0" w:color="auto"/>
        <w:right w:val="none" w:sz="0" w:space="0" w:color="auto"/>
      </w:divBdr>
    </w:div>
    <w:div w:id="147582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8516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dcterms:created xsi:type="dcterms:W3CDTF">2016-07-06T10:39:00Z</dcterms:created>
  <dcterms:modified xsi:type="dcterms:W3CDTF">2016-07-06T10:39:00Z</dcterms:modified>
</cp:coreProperties>
</file>