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51" w:rsidRDefault="004F298D" w:rsidP="00D95C51">
      <w:pPr>
        <w:rPr>
          <w:b/>
          <w:sz w:val="48"/>
          <w:szCs w:val="48"/>
        </w:rPr>
      </w:pPr>
      <w:r w:rsidRPr="00D95C51">
        <w:rPr>
          <w:b/>
          <w:noProof/>
          <w:sz w:val="48"/>
          <w:szCs w:val="48"/>
          <w:lang w:eastAsia="en-GB"/>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0</wp:posOffset>
            </wp:positionV>
            <wp:extent cx="2019300" cy="1514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300" cy="1514475"/>
                    </a:xfrm>
                    <a:prstGeom prst="rect">
                      <a:avLst/>
                    </a:prstGeom>
                  </pic:spPr>
                </pic:pic>
              </a:graphicData>
            </a:graphic>
          </wp:anchor>
        </w:drawing>
      </w:r>
      <w:r>
        <w:rPr>
          <w:noProof/>
          <w:lang w:eastAsia="en-GB"/>
        </w:rPr>
        <w:drawing>
          <wp:inline distT="0" distB="0" distL="0" distR="0">
            <wp:extent cx="2667000" cy="552450"/>
            <wp:effectExtent l="0" t="0" r="0" b="0"/>
            <wp:docPr id="6" name="Picture 5" descr="better%20business%20logo%20new[1]"/>
            <wp:cNvGraphicFramePr/>
            <a:graphic xmlns:a="http://schemas.openxmlformats.org/drawingml/2006/main">
              <a:graphicData uri="http://schemas.openxmlformats.org/drawingml/2006/picture">
                <pic:pic xmlns:pic="http://schemas.openxmlformats.org/drawingml/2006/picture">
                  <pic:nvPicPr>
                    <pic:cNvPr id="6" name="Picture 5" descr="better%20business%20logo%20new[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552450"/>
                    </a:xfrm>
                    <a:prstGeom prst="rect">
                      <a:avLst/>
                    </a:prstGeom>
                    <a:noFill/>
                    <a:ln w="9525">
                      <a:noFill/>
                      <a:miter lim="800000"/>
                      <a:headEnd/>
                      <a:tailEnd/>
                    </a:ln>
                  </pic:spPr>
                </pic:pic>
              </a:graphicData>
            </a:graphic>
          </wp:inline>
        </w:drawing>
      </w:r>
    </w:p>
    <w:p w:rsidR="004F298D" w:rsidRDefault="004F298D" w:rsidP="00D95C51">
      <w:pPr>
        <w:rPr>
          <w:b/>
          <w:sz w:val="48"/>
          <w:szCs w:val="48"/>
        </w:rPr>
      </w:pPr>
    </w:p>
    <w:p w:rsidR="00D95C51" w:rsidRPr="00D95C51" w:rsidRDefault="007235DF" w:rsidP="00D95C51">
      <w:pPr>
        <w:rPr>
          <w:b/>
          <w:sz w:val="48"/>
          <w:szCs w:val="48"/>
        </w:rPr>
      </w:pPr>
      <w:r>
        <w:rPr>
          <w:b/>
          <w:sz w:val="48"/>
          <w:szCs w:val="48"/>
        </w:rPr>
        <w:t>D</w:t>
      </w:r>
      <w:r w:rsidR="004F298D">
        <w:rPr>
          <w:b/>
          <w:sz w:val="48"/>
          <w:szCs w:val="48"/>
        </w:rPr>
        <w:t xml:space="preserve">evon and Somerset </w:t>
      </w:r>
      <w:r w:rsidR="00D95C51" w:rsidRPr="00D95C51">
        <w:rPr>
          <w:b/>
          <w:sz w:val="48"/>
          <w:szCs w:val="48"/>
        </w:rPr>
        <w:t>Business Survey</w:t>
      </w:r>
      <w:r w:rsidR="004F298D">
        <w:rPr>
          <w:b/>
          <w:sz w:val="48"/>
          <w:szCs w:val="48"/>
        </w:rPr>
        <w:t xml:space="preserve"> 2015</w:t>
      </w:r>
    </w:p>
    <w:p w:rsidR="00A678D7" w:rsidRDefault="00AD1311">
      <w:pPr>
        <w:rPr>
          <w:b/>
          <w:sz w:val="48"/>
          <w:szCs w:val="48"/>
        </w:rPr>
      </w:pPr>
      <w:r>
        <w:rPr>
          <w:b/>
          <w:sz w:val="48"/>
          <w:szCs w:val="48"/>
        </w:rPr>
        <w:t>Listening to you...</w:t>
      </w:r>
    </w:p>
    <w:p w:rsidR="00E60327" w:rsidRPr="00FF343D" w:rsidRDefault="00E60327" w:rsidP="00FF343D">
      <w:pPr>
        <w:rPr>
          <w:b/>
          <w:sz w:val="32"/>
          <w:szCs w:val="32"/>
        </w:rPr>
      </w:pPr>
      <w:r w:rsidRPr="00D95C51">
        <w:rPr>
          <w:noProof/>
          <w:lang w:eastAsia="en-GB"/>
        </w:rPr>
        <w:drawing>
          <wp:inline distT="0" distB="0" distL="0" distR="0">
            <wp:extent cx="5731510" cy="4002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31510" cy="4002405"/>
                    </a:xfrm>
                    <a:prstGeom prst="rect">
                      <a:avLst/>
                    </a:prstGeom>
                  </pic:spPr>
                </pic:pic>
              </a:graphicData>
            </a:graphic>
          </wp:inline>
        </w:drawing>
      </w:r>
    </w:p>
    <w:p w:rsidR="003C6411" w:rsidRPr="00A15885" w:rsidRDefault="003C6411"/>
    <w:p w:rsidR="004B5DE5" w:rsidRDefault="00A15885">
      <w:pPr>
        <w:jc w:val="both"/>
      </w:pPr>
      <w:r w:rsidRPr="00A15885">
        <w:t>Local regulators across Devon and Somerset are committed to supporting businesses by providing advice and guidance that helps them understand and meet their responsibilities. To help</w:t>
      </w:r>
      <w:r w:rsidR="003D3D83">
        <w:t xml:space="preserve"> to</w:t>
      </w:r>
      <w:r w:rsidRPr="00A15885">
        <w:t xml:space="preserve"> do </w:t>
      </w:r>
      <w:proofErr w:type="gramStart"/>
      <w:r w:rsidRPr="00A15885">
        <w:t>this</w:t>
      </w:r>
      <w:proofErr w:type="gramEnd"/>
      <w:r w:rsidRPr="00A15885">
        <w:t xml:space="preserve"> 15 Local Authorities collaborated on a survey to gather feedback from business operators. For the purposes of th</w:t>
      </w:r>
      <w:r w:rsidR="003D3D83">
        <w:t>e</w:t>
      </w:r>
      <w:r w:rsidRPr="00A15885">
        <w:t xml:space="preserve"> survey, ‘regulation’ and ‘regulators’ mean</w:t>
      </w:r>
      <w:r w:rsidR="003D3D83">
        <w:t>t</w:t>
      </w:r>
      <w:r w:rsidRPr="00A15885">
        <w:t xml:space="preserve"> services like Food Safety, Health &amp; Safety, Licensing, Trading Standards and Fire &amp; Rescue but not Traffic Wardens or Planning.</w:t>
      </w:r>
    </w:p>
    <w:p w:rsidR="004B5DE5" w:rsidRDefault="004B5DE5">
      <w:pPr>
        <w:jc w:val="both"/>
      </w:pPr>
    </w:p>
    <w:p w:rsidR="004B5DE5" w:rsidRDefault="003D3D83">
      <w:pPr>
        <w:jc w:val="both"/>
      </w:pPr>
      <w:r>
        <w:t xml:space="preserve">The </w:t>
      </w:r>
      <w:r w:rsidRPr="00A15885">
        <w:t xml:space="preserve">Feedback </w:t>
      </w:r>
      <w:r>
        <w:t>was</w:t>
      </w:r>
      <w:r w:rsidRPr="00A15885">
        <w:t xml:space="preserve"> used to develop Better Business for All</w:t>
      </w:r>
      <w:r>
        <w:t xml:space="preserve"> (BBfA)</w:t>
      </w:r>
      <w:r w:rsidRPr="00A15885">
        <w:t>, a more focused way of working together that aims to support businesses by making regulations easier to access and understand.</w:t>
      </w:r>
      <w:r>
        <w:t xml:space="preserve"> </w:t>
      </w:r>
    </w:p>
    <w:p w:rsidR="004B5DE5" w:rsidRDefault="004B5DE5">
      <w:pPr>
        <w:jc w:val="both"/>
      </w:pPr>
    </w:p>
    <w:p w:rsidR="004B5DE5" w:rsidRDefault="00A15885">
      <w:pPr>
        <w:pStyle w:val="ConsultationReportHeading1"/>
        <w:jc w:val="both"/>
        <w:rPr>
          <w:rFonts w:asciiTheme="minorHAnsi" w:hAnsiTheme="minorHAnsi"/>
          <w:sz w:val="22"/>
          <w:szCs w:val="22"/>
          <w:u w:val="none"/>
        </w:rPr>
      </w:pPr>
      <w:r w:rsidRPr="00A15885">
        <w:rPr>
          <w:rFonts w:asciiTheme="minorHAnsi" w:hAnsiTheme="minorHAnsi"/>
          <w:b w:val="0"/>
          <w:sz w:val="22"/>
          <w:szCs w:val="22"/>
          <w:u w:val="none"/>
        </w:rPr>
        <w:t xml:space="preserve">This survey was open between 26 January 2015 and </w:t>
      </w:r>
      <w:r w:rsidRPr="00A15885">
        <w:rPr>
          <w:rFonts w:asciiTheme="minorHAnsi" w:hAnsiTheme="minorHAnsi"/>
          <w:b w:val="0"/>
          <w:color w:val="000000" w:themeColor="text1"/>
          <w:sz w:val="22"/>
          <w:szCs w:val="22"/>
          <w:u w:val="none"/>
        </w:rPr>
        <w:t>29 March 2015</w:t>
      </w:r>
      <w:bookmarkStart w:id="0" w:name="_Toc418065538"/>
      <w:r w:rsidR="006A4ABE">
        <w:rPr>
          <w:rFonts w:asciiTheme="minorHAnsi" w:hAnsiTheme="minorHAnsi"/>
          <w:b w:val="0"/>
          <w:color w:val="000000" w:themeColor="text1"/>
          <w:sz w:val="22"/>
          <w:szCs w:val="22"/>
          <w:u w:val="none"/>
        </w:rPr>
        <w:t xml:space="preserve"> with 198 businesses responding</w:t>
      </w:r>
      <w:r w:rsidR="00540E27">
        <w:rPr>
          <w:rFonts w:asciiTheme="minorHAnsi" w:hAnsiTheme="minorHAnsi"/>
          <w:b w:val="0"/>
          <w:color w:val="000000" w:themeColor="text1"/>
          <w:sz w:val="22"/>
          <w:szCs w:val="22"/>
          <w:u w:val="none"/>
        </w:rPr>
        <w:t>.</w:t>
      </w:r>
    </w:p>
    <w:p w:rsidR="004B5DE5" w:rsidRDefault="0018006C">
      <w:pPr>
        <w:pStyle w:val="ConsultationReportHeading1"/>
        <w:jc w:val="both"/>
        <w:rPr>
          <w:rFonts w:asciiTheme="minorHAnsi" w:hAnsiTheme="minorHAnsi"/>
          <w:sz w:val="22"/>
          <w:szCs w:val="22"/>
          <w:u w:val="none"/>
        </w:rPr>
      </w:pPr>
      <w:r w:rsidRPr="0018006C">
        <w:rPr>
          <w:rFonts w:asciiTheme="minorHAnsi" w:hAnsiTheme="minorHAnsi"/>
          <w:sz w:val="22"/>
          <w:szCs w:val="22"/>
          <w:u w:val="none"/>
        </w:rPr>
        <w:t>Summary of results</w:t>
      </w:r>
      <w:bookmarkEnd w:id="0"/>
    </w:p>
    <w:p w:rsidR="004B5DE5" w:rsidRDefault="00A15885">
      <w:pPr>
        <w:pStyle w:val="ListParagraph"/>
        <w:numPr>
          <w:ilvl w:val="0"/>
          <w:numId w:val="2"/>
        </w:numPr>
        <w:ind w:left="360"/>
        <w:jc w:val="both"/>
        <w:rPr>
          <w:rFonts w:asciiTheme="minorHAnsi" w:hAnsiTheme="minorHAnsi" w:cs="Arial"/>
          <w:sz w:val="22"/>
        </w:rPr>
      </w:pPr>
      <w:r w:rsidRPr="00A15885">
        <w:rPr>
          <w:rFonts w:asciiTheme="minorHAnsi" w:hAnsiTheme="minorHAnsi" w:cs="Arial"/>
          <w:sz w:val="22"/>
        </w:rPr>
        <w:t>Torbay and North Devon had the most responses out of all the 15 Local Authorities, each with 15.7% of the total. Teignbridge and South Hams followed with 13.1% and 12.1% of the total responses respectively.</w:t>
      </w:r>
    </w:p>
    <w:p w:rsidR="004B5DE5" w:rsidRDefault="004B5DE5">
      <w:pPr>
        <w:pStyle w:val="ListParagraph"/>
        <w:ind w:left="360"/>
        <w:jc w:val="both"/>
        <w:rPr>
          <w:rFonts w:asciiTheme="minorHAnsi" w:hAnsiTheme="minorHAnsi" w:cs="Arial"/>
          <w:sz w:val="22"/>
        </w:rPr>
      </w:pPr>
    </w:p>
    <w:p w:rsidR="004B5DE5" w:rsidRDefault="00A15885">
      <w:pPr>
        <w:pStyle w:val="ListParagraph"/>
        <w:numPr>
          <w:ilvl w:val="0"/>
          <w:numId w:val="2"/>
        </w:numPr>
        <w:ind w:left="360"/>
        <w:jc w:val="both"/>
        <w:rPr>
          <w:rFonts w:asciiTheme="minorHAnsi" w:hAnsiTheme="minorHAnsi" w:cs="Arial"/>
          <w:sz w:val="22"/>
        </w:rPr>
      </w:pPr>
      <w:r w:rsidRPr="00A15885">
        <w:rPr>
          <w:rFonts w:asciiTheme="minorHAnsi" w:hAnsiTheme="minorHAnsi" w:cs="Arial"/>
          <w:sz w:val="22"/>
        </w:rPr>
        <w:t>Most respondents felt confident and comfortable seeking advice and assistance from regulators at 77.8% of respondents.</w:t>
      </w:r>
    </w:p>
    <w:p w:rsidR="004B5DE5" w:rsidRDefault="004B5DE5">
      <w:pPr>
        <w:pStyle w:val="ListParagraph"/>
        <w:ind w:left="360"/>
        <w:jc w:val="both"/>
        <w:rPr>
          <w:rFonts w:asciiTheme="minorHAnsi" w:hAnsiTheme="minorHAnsi" w:cs="Arial"/>
          <w:sz w:val="22"/>
        </w:rPr>
      </w:pPr>
    </w:p>
    <w:p w:rsidR="004B5DE5" w:rsidRDefault="00A15885">
      <w:pPr>
        <w:pStyle w:val="ListParagraph"/>
        <w:numPr>
          <w:ilvl w:val="0"/>
          <w:numId w:val="2"/>
        </w:numPr>
        <w:ind w:left="360"/>
        <w:jc w:val="both"/>
        <w:rPr>
          <w:rFonts w:asciiTheme="minorHAnsi" w:hAnsiTheme="minorHAnsi" w:cs="Arial"/>
          <w:sz w:val="22"/>
        </w:rPr>
      </w:pPr>
      <w:r w:rsidRPr="00A15885">
        <w:rPr>
          <w:rFonts w:asciiTheme="minorHAnsi" w:hAnsiTheme="minorHAnsi" w:cs="Arial"/>
          <w:sz w:val="22"/>
        </w:rPr>
        <w:t>Only a third of respondents would be willing to pay for specific business advice, support or training on regulatory matters (33.3%) compared to nearly two thirds that would not (64.6%).</w:t>
      </w:r>
    </w:p>
    <w:p w:rsidR="004B5DE5" w:rsidRDefault="004B5DE5">
      <w:pPr>
        <w:jc w:val="both"/>
        <w:rPr>
          <w:rFonts w:cs="Arial"/>
        </w:rPr>
      </w:pPr>
    </w:p>
    <w:p w:rsidR="004B5DE5" w:rsidRDefault="00A15885">
      <w:pPr>
        <w:pStyle w:val="ListParagraph"/>
        <w:numPr>
          <w:ilvl w:val="0"/>
          <w:numId w:val="2"/>
        </w:numPr>
        <w:ind w:left="360"/>
        <w:jc w:val="both"/>
        <w:rPr>
          <w:rFonts w:asciiTheme="minorHAnsi" w:hAnsiTheme="minorHAnsi" w:cs="Arial"/>
          <w:sz w:val="22"/>
        </w:rPr>
      </w:pPr>
      <w:r w:rsidRPr="00A15885">
        <w:rPr>
          <w:rFonts w:asciiTheme="minorHAnsi" w:hAnsiTheme="minorHAnsi" w:cs="Arial"/>
          <w:sz w:val="22"/>
        </w:rPr>
        <w:t>81.3% of respondents would find a single point of contact for regulatory matters either very or fairly helpful.</w:t>
      </w:r>
    </w:p>
    <w:p w:rsidR="004B5DE5" w:rsidRDefault="004B5DE5">
      <w:pPr>
        <w:pStyle w:val="ListParagraph"/>
        <w:jc w:val="both"/>
        <w:rPr>
          <w:rFonts w:asciiTheme="minorHAnsi" w:hAnsiTheme="minorHAnsi" w:cs="Arial"/>
          <w:sz w:val="22"/>
        </w:rPr>
      </w:pPr>
    </w:p>
    <w:p w:rsidR="004B5DE5" w:rsidRDefault="007D72B8">
      <w:pPr>
        <w:jc w:val="both"/>
        <w:rPr>
          <w:rFonts w:cs="Arial"/>
        </w:rPr>
      </w:pPr>
      <w:r>
        <w:rPr>
          <w:rFonts w:cs="Arial"/>
        </w:rPr>
        <w:t xml:space="preserve">The following question showed some strong responses </w:t>
      </w:r>
      <w:r w:rsidR="003D3D83">
        <w:rPr>
          <w:rFonts w:cs="Arial"/>
        </w:rPr>
        <w:t xml:space="preserve">with </w:t>
      </w:r>
      <w:r>
        <w:rPr>
          <w:rFonts w:cs="Arial"/>
        </w:rPr>
        <w:t>business</w:t>
      </w:r>
      <w:r w:rsidR="003D3D83">
        <w:rPr>
          <w:rFonts w:cs="Arial"/>
        </w:rPr>
        <w:t>es</w:t>
      </w:r>
      <w:r>
        <w:rPr>
          <w:rFonts w:cs="Arial"/>
        </w:rPr>
        <w:t xml:space="preserve"> acknowledging the commercial impact of compliance and the importance of a level playing field.</w:t>
      </w:r>
    </w:p>
    <w:p w:rsidR="007D72B8" w:rsidRPr="007D72B8" w:rsidRDefault="007D72B8" w:rsidP="007D72B8">
      <w:pPr>
        <w:pStyle w:val="ListParagraph"/>
        <w:rPr>
          <w:rFonts w:cs="Arial"/>
          <w:b/>
          <w:bCs/>
          <w:sz w:val="26"/>
          <w:szCs w:val="26"/>
        </w:rPr>
      </w:pPr>
    </w:p>
    <w:p w:rsidR="004B5DE5" w:rsidRDefault="0018006C">
      <w:pPr>
        <w:pStyle w:val="ListParagraph"/>
        <w:jc w:val="center"/>
        <w:rPr>
          <w:rFonts w:asciiTheme="minorHAnsi" w:hAnsiTheme="minorHAnsi" w:cs="Arial"/>
          <w:szCs w:val="24"/>
        </w:rPr>
      </w:pPr>
      <w:r w:rsidRPr="0018006C">
        <w:rPr>
          <w:rFonts w:cs="Arial"/>
          <w:b/>
          <w:bCs/>
          <w:szCs w:val="24"/>
        </w:rPr>
        <w:t>When thinking about regulation and its impact on economic growth, do you agree or disagree with the following statements?</w:t>
      </w:r>
    </w:p>
    <w:p w:rsidR="007D72B8" w:rsidRDefault="007D72B8" w:rsidP="007D72B8">
      <w:pPr>
        <w:rPr>
          <w:rFonts w:cs="Arial"/>
          <w:b/>
          <w:bCs/>
          <w:sz w:val="26"/>
          <w:szCs w:val="26"/>
        </w:rPr>
      </w:pPr>
    </w:p>
    <w:tbl>
      <w:tblPr>
        <w:tblW w:w="5400" w:type="pct"/>
        <w:jc w:val="center"/>
        <w:tblLook w:val="00A0"/>
      </w:tblPr>
      <w:tblGrid>
        <w:gridCol w:w="3723"/>
        <w:gridCol w:w="1094"/>
        <w:gridCol w:w="824"/>
        <w:gridCol w:w="1132"/>
        <w:gridCol w:w="1160"/>
        <w:gridCol w:w="802"/>
        <w:gridCol w:w="1246"/>
      </w:tblGrid>
      <w:tr w:rsidR="007D72B8" w:rsidTr="007D72B8">
        <w:trPr>
          <w:trHeight w:val="777"/>
          <w:jc w:val="center"/>
        </w:trPr>
        <w:tc>
          <w:tcPr>
            <w:tcW w:w="1865" w:type="pct"/>
            <w:tcBorders>
              <w:top w:val="single" w:sz="12" w:space="0" w:color="auto"/>
              <w:left w:val="single" w:sz="12" w:space="0" w:color="auto"/>
              <w:bottom w:val="single" w:sz="12" w:space="0" w:color="auto"/>
              <w:right w:val="single" w:sz="12" w:space="0" w:color="auto"/>
            </w:tcBorders>
            <w:shd w:val="clear" w:color="auto" w:fill="4F81BD"/>
            <w:vAlign w:val="bottom"/>
          </w:tcPr>
          <w:p w:rsidR="007D72B8" w:rsidRDefault="007D72B8">
            <w:pPr>
              <w:spacing w:line="276" w:lineRule="auto"/>
              <w:rPr>
                <w:rFonts w:eastAsia="Calibri" w:cs="Arial"/>
                <w:b/>
                <w:bCs/>
                <w:color w:val="FFFFFF"/>
                <w:sz w:val="24"/>
                <w:szCs w:val="24"/>
                <w:lang w:val="en-US"/>
              </w:rPr>
            </w:pPr>
          </w:p>
          <w:p w:rsidR="007D72B8" w:rsidRDefault="007D72B8">
            <w:pPr>
              <w:spacing w:line="276" w:lineRule="auto"/>
              <w:rPr>
                <w:rFonts w:eastAsia="Calibri" w:cs="Arial"/>
                <w:b/>
                <w:bCs/>
                <w:color w:val="FFFFFF"/>
                <w:szCs w:val="24"/>
                <w:lang w:val="en-US"/>
              </w:rPr>
            </w:pPr>
          </w:p>
        </w:tc>
        <w:tc>
          <w:tcPr>
            <w:tcW w:w="548" w:type="pct"/>
            <w:tcBorders>
              <w:top w:val="single" w:sz="12" w:space="0" w:color="auto"/>
              <w:left w:val="nil"/>
              <w:bottom w:val="single" w:sz="12" w:space="0" w:color="auto"/>
              <w:right w:val="single" w:sz="12" w:space="0" w:color="auto"/>
            </w:tcBorders>
            <w:shd w:val="clear" w:color="auto" w:fill="4F81BD"/>
            <w:vAlign w:val="bottom"/>
            <w:hideMark/>
          </w:tcPr>
          <w:p w:rsidR="007D72B8" w:rsidRDefault="007D72B8">
            <w:pPr>
              <w:spacing w:line="276" w:lineRule="auto"/>
              <w:jc w:val="center"/>
              <w:rPr>
                <w:rFonts w:cs="Arial"/>
                <w:b/>
                <w:color w:val="FFFFFF" w:themeColor="background1"/>
                <w:szCs w:val="24"/>
              </w:rPr>
            </w:pPr>
            <w:r>
              <w:rPr>
                <w:rFonts w:cs="Arial"/>
                <w:b/>
                <w:color w:val="FFFFFF" w:themeColor="background1"/>
                <w:szCs w:val="24"/>
              </w:rPr>
              <w:t>Strongly agree</w:t>
            </w:r>
          </w:p>
        </w:tc>
        <w:tc>
          <w:tcPr>
            <w:tcW w:w="413" w:type="pct"/>
            <w:tcBorders>
              <w:top w:val="single" w:sz="12" w:space="0" w:color="auto"/>
              <w:left w:val="nil"/>
              <w:bottom w:val="single" w:sz="12" w:space="0" w:color="auto"/>
              <w:right w:val="single" w:sz="12" w:space="0" w:color="auto"/>
            </w:tcBorders>
            <w:shd w:val="clear" w:color="auto" w:fill="4F81BD"/>
            <w:vAlign w:val="bottom"/>
            <w:hideMark/>
          </w:tcPr>
          <w:p w:rsidR="007D72B8" w:rsidRDefault="007D72B8">
            <w:pPr>
              <w:spacing w:line="276" w:lineRule="auto"/>
              <w:jc w:val="center"/>
              <w:rPr>
                <w:rFonts w:cs="Arial"/>
                <w:b/>
                <w:color w:val="FFFFFF" w:themeColor="background1"/>
                <w:szCs w:val="24"/>
              </w:rPr>
            </w:pPr>
            <w:r>
              <w:rPr>
                <w:rFonts w:cs="Arial"/>
                <w:b/>
                <w:color w:val="FFFFFF" w:themeColor="background1"/>
                <w:szCs w:val="24"/>
              </w:rPr>
              <w:t>Agree</w:t>
            </w:r>
          </w:p>
        </w:tc>
        <w:tc>
          <w:tcPr>
            <w:tcW w:w="567" w:type="pct"/>
            <w:tcBorders>
              <w:top w:val="single" w:sz="12" w:space="0" w:color="auto"/>
              <w:left w:val="nil"/>
              <w:bottom w:val="single" w:sz="12" w:space="0" w:color="auto"/>
              <w:right w:val="single" w:sz="12" w:space="0" w:color="auto"/>
            </w:tcBorders>
            <w:shd w:val="clear" w:color="auto" w:fill="4F81BD"/>
            <w:vAlign w:val="bottom"/>
            <w:hideMark/>
          </w:tcPr>
          <w:p w:rsidR="007D72B8" w:rsidRDefault="007D72B8">
            <w:pPr>
              <w:spacing w:line="276" w:lineRule="auto"/>
              <w:jc w:val="center"/>
              <w:rPr>
                <w:rFonts w:cs="Arial"/>
                <w:b/>
                <w:color w:val="FFFFFF" w:themeColor="background1"/>
                <w:szCs w:val="24"/>
              </w:rPr>
            </w:pPr>
            <w:r>
              <w:rPr>
                <w:rFonts w:cs="Arial"/>
                <w:b/>
                <w:color w:val="FFFFFF" w:themeColor="background1"/>
                <w:szCs w:val="24"/>
              </w:rPr>
              <w:t>Disagree</w:t>
            </w:r>
          </w:p>
        </w:tc>
        <w:tc>
          <w:tcPr>
            <w:tcW w:w="581" w:type="pct"/>
            <w:tcBorders>
              <w:top w:val="single" w:sz="12" w:space="0" w:color="auto"/>
              <w:left w:val="nil"/>
              <w:bottom w:val="single" w:sz="12" w:space="0" w:color="auto"/>
              <w:right w:val="single" w:sz="12" w:space="0" w:color="auto"/>
            </w:tcBorders>
            <w:shd w:val="clear" w:color="auto" w:fill="4F81BD"/>
            <w:vAlign w:val="bottom"/>
            <w:hideMark/>
          </w:tcPr>
          <w:p w:rsidR="007D72B8" w:rsidRDefault="007D72B8">
            <w:pPr>
              <w:spacing w:line="276" w:lineRule="auto"/>
              <w:jc w:val="center"/>
              <w:rPr>
                <w:rFonts w:cs="Arial"/>
                <w:b/>
                <w:color w:val="FFFFFF" w:themeColor="background1"/>
                <w:szCs w:val="24"/>
              </w:rPr>
            </w:pPr>
            <w:r>
              <w:rPr>
                <w:rFonts w:cs="Arial"/>
                <w:b/>
                <w:color w:val="FFFFFF" w:themeColor="background1"/>
                <w:szCs w:val="24"/>
              </w:rPr>
              <w:t>Strongly disagree</w:t>
            </w:r>
          </w:p>
        </w:tc>
        <w:tc>
          <w:tcPr>
            <w:tcW w:w="402" w:type="pct"/>
            <w:tcBorders>
              <w:top w:val="single" w:sz="12" w:space="0" w:color="auto"/>
              <w:left w:val="nil"/>
              <w:bottom w:val="single" w:sz="12" w:space="0" w:color="auto"/>
              <w:right w:val="single" w:sz="12" w:space="0" w:color="auto"/>
            </w:tcBorders>
            <w:shd w:val="clear" w:color="auto" w:fill="4F81BD"/>
            <w:vAlign w:val="bottom"/>
            <w:hideMark/>
          </w:tcPr>
          <w:p w:rsidR="007D72B8" w:rsidRDefault="007D72B8">
            <w:pPr>
              <w:spacing w:line="276" w:lineRule="auto"/>
              <w:jc w:val="center"/>
              <w:rPr>
                <w:rFonts w:cs="Arial"/>
                <w:b/>
                <w:color w:val="FFFFFF" w:themeColor="background1"/>
                <w:szCs w:val="24"/>
              </w:rPr>
            </w:pPr>
            <w:r>
              <w:rPr>
                <w:rFonts w:cs="Arial"/>
                <w:b/>
                <w:color w:val="FFFFFF" w:themeColor="background1"/>
                <w:szCs w:val="24"/>
              </w:rPr>
              <w:t>Don't know</w:t>
            </w:r>
          </w:p>
        </w:tc>
        <w:tc>
          <w:tcPr>
            <w:tcW w:w="624" w:type="pct"/>
            <w:tcBorders>
              <w:top w:val="single" w:sz="12" w:space="0" w:color="auto"/>
              <w:left w:val="nil"/>
              <w:bottom w:val="single" w:sz="12" w:space="0" w:color="auto"/>
              <w:right w:val="single" w:sz="12" w:space="0" w:color="auto"/>
            </w:tcBorders>
            <w:shd w:val="clear" w:color="auto" w:fill="4F81BD"/>
            <w:vAlign w:val="bottom"/>
            <w:hideMark/>
          </w:tcPr>
          <w:p w:rsidR="007D72B8" w:rsidRDefault="007D72B8">
            <w:pPr>
              <w:spacing w:line="276" w:lineRule="auto"/>
              <w:jc w:val="center"/>
              <w:rPr>
                <w:rFonts w:cs="Arial"/>
                <w:b/>
                <w:color w:val="FFFFFF" w:themeColor="background1"/>
                <w:szCs w:val="24"/>
              </w:rPr>
            </w:pPr>
            <w:r>
              <w:rPr>
                <w:rFonts w:cs="Arial"/>
                <w:b/>
                <w:color w:val="FFFFFF" w:themeColor="background1"/>
                <w:szCs w:val="24"/>
              </w:rPr>
              <w:t>No response</w:t>
            </w:r>
          </w:p>
        </w:tc>
      </w:tr>
      <w:tr w:rsidR="007D72B8" w:rsidTr="007D72B8">
        <w:trPr>
          <w:trHeight w:val="324"/>
          <w:jc w:val="center"/>
        </w:trPr>
        <w:tc>
          <w:tcPr>
            <w:tcW w:w="1865" w:type="pct"/>
            <w:tcBorders>
              <w:top w:val="single" w:sz="12" w:space="0" w:color="auto"/>
              <w:left w:val="single" w:sz="12" w:space="0" w:color="auto"/>
              <w:bottom w:val="single" w:sz="8" w:space="0" w:color="auto"/>
              <w:right w:val="single" w:sz="12" w:space="0" w:color="auto"/>
            </w:tcBorders>
            <w:shd w:val="clear" w:color="auto" w:fill="C6D9F1"/>
            <w:vAlign w:val="bottom"/>
            <w:hideMark/>
          </w:tcPr>
          <w:p w:rsidR="007D72B8" w:rsidRDefault="007D72B8">
            <w:pPr>
              <w:spacing w:line="276" w:lineRule="auto"/>
              <w:rPr>
                <w:rFonts w:cs="Arial"/>
                <w:color w:val="000000"/>
                <w:szCs w:val="24"/>
              </w:rPr>
            </w:pPr>
            <w:r>
              <w:rPr>
                <w:rFonts w:cs="Arial"/>
                <w:color w:val="000000"/>
                <w:szCs w:val="24"/>
              </w:rPr>
              <w:t>If my business was found to be non-compliant I would be concerned that this would affect our reputation with customers</w:t>
            </w:r>
          </w:p>
        </w:tc>
        <w:tc>
          <w:tcPr>
            <w:tcW w:w="548" w:type="pct"/>
            <w:tcBorders>
              <w:top w:val="single" w:sz="12" w:space="0" w:color="auto"/>
              <w:left w:val="nil"/>
              <w:bottom w:val="single" w:sz="8" w:space="0" w:color="auto"/>
              <w:right w:val="single" w:sz="12" w:space="0" w:color="auto"/>
            </w:tcBorders>
            <w:noWrap/>
            <w:vAlign w:val="center"/>
            <w:hideMark/>
          </w:tcPr>
          <w:p w:rsidR="007D72B8" w:rsidRDefault="007D72B8">
            <w:pPr>
              <w:spacing w:line="276" w:lineRule="auto"/>
              <w:jc w:val="center"/>
              <w:rPr>
                <w:rFonts w:cs="Arial"/>
                <w:color w:val="000000"/>
              </w:rPr>
            </w:pPr>
            <w:r>
              <w:rPr>
                <w:rFonts w:cs="Arial"/>
                <w:color w:val="000000"/>
              </w:rPr>
              <w:t>58.1%</w:t>
            </w:r>
          </w:p>
        </w:tc>
        <w:tc>
          <w:tcPr>
            <w:tcW w:w="413" w:type="pct"/>
            <w:tcBorders>
              <w:top w:val="single" w:sz="12" w:space="0" w:color="auto"/>
              <w:left w:val="single" w:sz="12" w:space="0" w:color="auto"/>
              <w:bottom w:val="single" w:sz="8" w:space="0" w:color="auto"/>
              <w:right w:val="single" w:sz="12" w:space="0" w:color="auto"/>
            </w:tcBorders>
            <w:noWrap/>
            <w:vAlign w:val="center"/>
            <w:hideMark/>
          </w:tcPr>
          <w:p w:rsidR="007D72B8" w:rsidRDefault="007D72B8">
            <w:pPr>
              <w:spacing w:line="276" w:lineRule="auto"/>
              <w:jc w:val="center"/>
              <w:rPr>
                <w:rFonts w:cs="Arial"/>
                <w:color w:val="000000"/>
              </w:rPr>
            </w:pPr>
            <w:r>
              <w:rPr>
                <w:rFonts w:cs="Arial"/>
                <w:color w:val="000000"/>
              </w:rPr>
              <w:t>37.4%</w:t>
            </w:r>
          </w:p>
        </w:tc>
        <w:tc>
          <w:tcPr>
            <w:tcW w:w="567" w:type="pct"/>
            <w:tcBorders>
              <w:top w:val="single" w:sz="12"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2.5%</w:t>
            </w:r>
          </w:p>
        </w:tc>
        <w:tc>
          <w:tcPr>
            <w:tcW w:w="581" w:type="pct"/>
            <w:tcBorders>
              <w:top w:val="single" w:sz="12"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1.0%</w:t>
            </w:r>
          </w:p>
        </w:tc>
        <w:tc>
          <w:tcPr>
            <w:tcW w:w="402" w:type="pct"/>
            <w:tcBorders>
              <w:top w:val="single" w:sz="12"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1.0%</w:t>
            </w:r>
          </w:p>
        </w:tc>
        <w:tc>
          <w:tcPr>
            <w:tcW w:w="624" w:type="pct"/>
            <w:tcBorders>
              <w:top w:val="single" w:sz="12"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0.0%</w:t>
            </w:r>
          </w:p>
        </w:tc>
      </w:tr>
      <w:tr w:rsidR="007D72B8" w:rsidTr="007D72B8">
        <w:trPr>
          <w:trHeight w:val="324"/>
          <w:jc w:val="center"/>
        </w:trPr>
        <w:tc>
          <w:tcPr>
            <w:tcW w:w="1865" w:type="pct"/>
            <w:tcBorders>
              <w:top w:val="single" w:sz="8" w:space="0" w:color="auto"/>
              <w:left w:val="single" w:sz="12" w:space="0" w:color="auto"/>
              <w:bottom w:val="single" w:sz="8" w:space="0" w:color="auto"/>
              <w:right w:val="single" w:sz="12" w:space="0" w:color="auto"/>
            </w:tcBorders>
            <w:shd w:val="clear" w:color="auto" w:fill="C6D9F1"/>
            <w:vAlign w:val="bottom"/>
            <w:hideMark/>
          </w:tcPr>
          <w:p w:rsidR="007D72B8" w:rsidRDefault="007D72B8">
            <w:pPr>
              <w:spacing w:line="276" w:lineRule="auto"/>
              <w:rPr>
                <w:rFonts w:cs="Arial"/>
                <w:color w:val="000000"/>
                <w:szCs w:val="24"/>
              </w:rPr>
            </w:pPr>
            <w:r>
              <w:rPr>
                <w:rFonts w:cs="Arial"/>
                <w:color w:val="000000"/>
                <w:szCs w:val="24"/>
              </w:rPr>
              <w:t>Regulation helps to ensure a level playing field for business and consumers</w:t>
            </w:r>
          </w:p>
        </w:tc>
        <w:tc>
          <w:tcPr>
            <w:tcW w:w="548" w:type="pct"/>
            <w:tcBorders>
              <w:top w:val="single" w:sz="8" w:space="0" w:color="auto"/>
              <w:left w:val="nil"/>
              <w:bottom w:val="single" w:sz="8" w:space="0" w:color="auto"/>
              <w:right w:val="single" w:sz="12" w:space="0" w:color="auto"/>
            </w:tcBorders>
            <w:noWrap/>
            <w:vAlign w:val="center"/>
            <w:hideMark/>
          </w:tcPr>
          <w:p w:rsidR="007D72B8" w:rsidRDefault="007D72B8">
            <w:pPr>
              <w:spacing w:line="276" w:lineRule="auto"/>
              <w:jc w:val="center"/>
              <w:rPr>
                <w:rFonts w:cs="Arial"/>
                <w:color w:val="000000"/>
              </w:rPr>
            </w:pPr>
            <w:r>
              <w:rPr>
                <w:rFonts w:cs="Arial"/>
                <w:color w:val="000000"/>
              </w:rPr>
              <w:t>34.3%</w:t>
            </w:r>
          </w:p>
        </w:tc>
        <w:tc>
          <w:tcPr>
            <w:tcW w:w="413" w:type="pct"/>
            <w:tcBorders>
              <w:top w:val="single" w:sz="8" w:space="0" w:color="auto"/>
              <w:left w:val="single" w:sz="12" w:space="0" w:color="auto"/>
              <w:bottom w:val="single" w:sz="8" w:space="0" w:color="auto"/>
              <w:right w:val="single" w:sz="12" w:space="0" w:color="auto"/>
            </w:tcBorders>
            <w:noWrap/>
            <w:vAlign w:val="center"/>
            <w:hideMark/>
          </w:tcPr>
          <w:p w:rsidR="007D72B8" w:rsidRDefault="007D72B8">
            <w:pPr>
              <w:spacing w:line="276" w:lineRule="auto"/>
              <w:jc w:val="center"/>
              <w:rPr>
                <w:rFonts w:cs="Arial"/>
                <w:color w:val="000000"/>
              </w:rPr>
            </w:pPr>
            <w:r>
              <w:rPr>
                <w:rFonts w:cs="Arial"/>
                <w:color w:val="000000"/>
              </w:rPr>
              <w:t>54.5%</w:t>
            </w:r>
          </w:p>
        </w:tc>
        <w:tc>
          <w:tcPr>
            <w:tcW w:w="567" w:type="pct"/>
            <w:tcBorders>
              <w:top w:val="single" w:sz="8"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5.1%</w:t>
            </w:r>
          </w:p>
        </w:tc>
        <w:tc>
          <w:tcPr>
            <w:tcW w:w="581" w:type="pct"/>
            <w:tcBorders>
              <w:top w:val="single" w:sz="8"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3.5%</w:t>
            </w:r>
          </w:p>
        </w:tc>
        <w:tc>
          <w:tcPr>
            <w:tcW w:w="402" w:type="pct"/>
            <w:tcBorders>
              <w:top w:val="single" w:sz="8"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2.5%</w:t>
            </w:r>
          </w:p>
        </w:tc>
        <w:tc>
          <w:tcPr>
            <w:tcW w:w="624" w:type="pct"/>
            <w:tcBorders>
              <w:top w:val="single" w:sz="8" w:space="0" w:color="auto"/>
              <w:left w:val="single" w:sz="12" w:space="0" w:color="auto"/>
              <w:bottom w:val="single" w:sz="8"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0.0%</w:t>
            </w:r>
          </w:p>
        </w:tc>
      </w:tr>
      <w:tr w:rsidR="007D72B8" w:rsidTr="007D72B8">
        <w:trPr>
          <w:trHeight w:val="324"/>
          <w:jc w:val="center"/>
        </w:trPr>
        <w:tc>
          <w:tcPr>
            <w:tcW w:w="1865" w:type="pct"/>
            <w:tcBorders>
              <w:top w:val="single" w:sz="8" w:space="0" w:color="auto"/>
              <w:left w:val="single" w:sz="12" w:space="0" w:color="auto"/>
              <w:bottom w:val="single" w:sz="12" w:space="0" w:color="auto"/>
              <w:right w:val="single" w:sz="12" w:space="0" w:color="auto"/>
            </w:tcBorders>
            <w:shd w:val="clear" w:color="auto" w:fill="C6D9F1"/>
            <w:vAlign w:val="bottom"/>
            <w:hideMark/>
          </w:tcPr>
          <w:p w:rsidR="007D72B8" w:rsidRDefault="007D72B8">
            <w:pPr>
              <w:spacing w:line="276" w:lineRule="auto"/>
              <w:rPr>
                <w:rFonts w:cs="Arial"/>
                <w:color w:val="000000"/>
                <w:szCs w:val="24"/>
              </w:rPr>
            </w:pPr>
            <w:r>
              <w:rPr>
                <w:rFonts w:cs="Arial"/>
                <w:color w:val="000000"/>
                <w:szCs w:val="24"/>
              </w:rPr>
              <w:t>It matters to my business that our customers know that we invest in compliance</w:t>
            </w:r>
          </w:p>
        </w:tc>
        <w:tc>
          <w:tcPr>
            <w:tcW w:w="548" w:type="pct"/>
            <w:tcBorders>
              <w:top w:val="single" w:sz="8" w:space="0" w:color="auto"/>
              <w:left w:val="nil"/>
              <w:bottom w:val="single" w:sz="12" w:space="0" w:color="auto"/>
              <w:right w:val="single" w:sz="12" w:space="0" w:color="auto"/>
            </w:tcBorders>
            <w:noWrap/>
            <w:vAlign w:val="center"/>
            <w:hideMark/>
          </w:tcPr>
          <w:p w:rsidR="007D72B8" w:rsidRDefault="007D72B8">
            <w:pPr>
              <w:spacing w:line="276" w:lineRule="auto"/>
              <w:jc w:val="center"/>
              <w:rPr>
                <w:rFonts w:cs="Arial"/>
                <w:color w:val="000000"/>
              </w:rPr>
            </w:pPr>
            <w:r>
              <w:rPr>
                <w:rFonts w:cs="Arial"/>
                <w:color w:val="000000"/>
              </w:rPr>
              <w:t>45.5%</w:t>
            </w:r>
          </w:p>
        </w:tc>
        <w:tc>
          <w:tcPr>
            <w:tcW w:w="413" w:type="pct"/>
            <w:tcBorders>
              <w:top w:val="single" w:sz="8" w:space="0" w:color="auto"/>
              <w:left w:val="single" w:sz="12" w:space="0" w:color="auto"/>
              <w:bottom w:val="single" w:sz="12" w:space="0" w:color="auto"/>
              <w:right w:val="single" w:sz="12" w:space="0" w:color="auto"/>
            </w:tcBorders>
            <w:noWrap/>
            <w:vAlign w:val="center"/>
            <w:hideMark/>
          </w:tcPr>
          <w:p w:rsidR="007D72B8" w:rsidRDefault="007D72B8">
            <w:pPr>
              <w:spacing w:line="276" w:lineRule="auto"/>
              <w:jc w:val="center"/>
              <w:rPr>
                <w:rFonts w:cs="Arial"/>
                <w:color w:val="000000"/>
              </w:rPr>
            </w:pPr>
            <w:r>
              <w:rPr>
                <w:rFonts w:cs="Arial"/>
                <w:color w:val="000000"/>
              </w:rPr>
              <w:t>40.9%</w:t>
            </w:r>
          </w:p>
        </w:tc>
        <w:tc>
          <w:tcPr>
            <w:tcW w:w="567" w:type="pct"/>
            <w:tcBorders>
              <w:top w:val="single" w:sz="8" w:space="0" w:color="auto"/>
              <w:left w:val="single" w:sz="12" w:space="0" w:color="auto"/>
              <w:bottom w:val="single" w:sz="12"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6.6%</w:t>
            </w:r>
          </w:p>
        </w:tc>
        <w:tc>
          <w:tcPr>
            <w:tcW w:w="581" w:type="pct"/>
            <w:tcBorders>
              <w:top w:val="single" w:sz="8" w:space="0" w:color="auto"/>
              <w:left w:val="single" w:sz="12" w:space="0" w:color="auto"/>
              <w:bottom w:val="single" w:sz="12"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3.0%</w:t>
            </w:r>
          </w:p>
        </w:tc>
        <w:tc>
          <w:tcPr>
            <w:tcW w:w="402" w:type="pct"/>
            <w:tcBorders>
              <w:top w:val="single" w:sz="8" w:space="0" w:color="auto"/>
              <w:left w:val="single" w:sz="12" w:space="0" w:color="auto"/>
              <w:bottom w:val="single" w:sz="12"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3.5%</w:t>
            </w:r>
          </w:p>
        </w:tc>
        <w:tc>
          <w:tcPr>
            <w:tcW w:w="624" w:type="pct"/>
            <w:tcBorders>
              <w:top w:val="single" w:sz="8" w:space="0" w:color="auto"/>
              <w:left w:val="single" w:sz="12" w:space="0" w:color="auto"/>
              <w:bottom w:val="single" w:sz="12" w:space="0" w:color="auto"/>
              <w:right w:val="single" w:sz="12" w:space="0" w:color="auto"/>
            </w:tcBorders>
            <w:vAlign w:val="center"/>
            <w:hideMark/>
          </w:tcPr>
          <w:p w:rsidR="007D72B8" w:rsidRDefault="007D72B8">
            <w:pPr>
              <w:spacing w:line="276" w:lineRule="auto"/>
              <w:jc w:val="center"/>
              <w:rPr>
                <w:rFonts w:cs="Arial"/>
                <w:color w:val="000000"/>
              </w:rPr>
            </w:pPr>
            <w:r>
              <w:rPr>
                <w:rFonts w:cs="Arial"/>
                <w:color w:val="000000"/>
              </w:rPr>
              <w:t>0.5%</w:t>
            </w:r>
          </w:p>
        </w:tc>
      </w:tr>
    </w:tbl>
    <w:p w:rsidR="007D72B8" w:rsidRDefault="007D72B8" w:rsidP="007D72B8">
      <w:pPr>
        <w:rPr>
          <w:rFonts w:ascii="Arial" w:hAnsi="Arial" w:cs="Arial"/>
          <w:b/>
          <w:bCs/>
          <w:sz w:val="26"/>
          <w:szCs w:val="26"/>
        </w:rPr>
      </w:pPr>
    </w:p>
    <w:p w:rsidR="00553866" w:rsidRDefault="00553866" w:rsidP="00553866">
      <w:pPr>
        <w:pStyle w:val="ListParagraph"/>
        <w:ind w:left="426"/>
        <w:rPr>
          <w:rFonts w:cs="Arial"/>
          <w:b/>
          <w:bCs/>
          <w:sz w:val="26"/>
          <w:szCs w:val="26"/>
        </w:rPr>
      </w:pPr>
    </w:p>
    <w:p w:rsidR="004B5DE5" w:rsidRDefault="00610B49">
      <w:pPr>
        <w:pStyle w:val="ListParagraph"/>
        <w:ind w:left="0"/>
        <w:jc w:val="both"/>
        <w:rPr>
          <w:rFonts w:asciiTheme="minorHAnsi" w:hAnsiTheme="minorHAnsi" w:cs="Arial"/>
          <w:bCs/>
          <w:sz w:val="22"/>
        </w:rPr>
      </w:pPr>
      <w:r>
        <w:rPr>
          <w:rFonts w:asciiTheme="minorHAnsi" w:hAnsiTheme="minorHAnsi" w:cs="Arial"/>
          <w:bCs/>
          <w:sz w:val="22"/>
        </w:rPr>
        <w:t>The next table reflects the business’ views on regulator</w:t>
      </w:r>
      <w:r w:rsidR="003D3D83">
        <w:rPr>
          <w:rFonts w:asciiTheme="minorHAnsi" w:hAnsiTheme="minorHAnsi" w:cs="Arial"/>
          <w:bCs/>
          <w:sz w:val="22"/>
        </w:rPr>
        <w:t>’</w:t>
      </w:r>
      <w:r>
        <w:rPr>
          <w:rFonts w:asciiTheme="minorHAnsi" w:hAnsiTheme="minorHAnsi" w:cs="Arial"/>
          <w:bCs/>
          <w:sz w:val="22"/>
        </w:rPr>
        <w:t xml:space="preserve">s understanding of business pressures.  </w:t>
      </w:r>
      <w:r w:rsidR="00553866" w:rsidRPr="00553866">
        <w:rPr>
          <w:rFonts w:asciiTheme="minorHAnsi" w:hAnsiTheme="minorHAnsi" w:cs="Arial"/>
          <w:bCs/>
          <w:sz w:val="22"/>
        </w:rPr>
        <w:t xml:space="preserve">Our </w:t>
      </w:r>
      <w:r w:rsidR="003D3D83">
        <w:rPr>
          <w:rFonts w:asciiTheme="minorHAnsi" w:hAnsiTheme="minorHAnsi" w:cs="Arial"/>
          <w:bCs/>
          <w:sz w:val="22"/>
        </w:rPr>
        <w:t>P</w:t>
      </w:r>
      <w:r w:rsidR="00553866" w:rsidRPr="00553866">
        <w:rPr>
          <w:rFonts w:asciiTheme="minorHAnsi" w:hAnsiTheme="minorHAnsi" w:cs="Arial"/>
          <w:bCs/>
          <w:sz w:val="22"/>
        </w:rPr>
        <w:t xml:space="preserve">artnership is working hard to improve this response category, we want all our regulators to receive training in business insight or business mentoring so that they can understand business pressures and improve the way </w:t>
      </w:r>
      <w:r w:rsidR="003D3D83">
        <w:rPr>
          <w:rFonts w:asciiTheme="minorHAnsi" w:hAnsiTheme="minorHAnsi" w:cs="Arial"/>
          <w:bCs/>
          <w:sz w:val="22"/>
        </w:rPr>
        <w:t xml:space="preserve">in which </w:t>
      </w:r>
      <w:r w:rsidR="00553866" w:rsidRPr="00553866">
        <w:rPr>
          <w:rFonts w:asciiTheme="minorHAnsi" w:hAnsiTheme="minorHAnsi" w:cs="Arial"/>
          <w:bCs/>
          <w:sz w:val="22"/>
        </w:rPr>
        <w:t>they regulate.</w:t>
      </w:r>
    </w:p>
    <w:p w:rsidR="00D515BA" w:rsidRDefault="00D515BA" w:rsidP="00553866">
      <w:pPr>
        <w:pStyle w:val="ListParagraph"/>
        <w:ind w:left="426"/>
        <w:rPr>
          <w:rFonts w:cs="Arial"/>
          <w:b/>
          <w:bCs/>
          <w:sz w:val="26"/>
          <w:szCs w:val="26"/>
        </w:rPr>
      </w:pPr>
    </w:p>
    <w:p w:rsidR="004B5DE5" w:rsidRDefault="0018006C">
      <w:pPr>
        <w:pStyle w:val="ListParagraph"/>
        <w:ind w:left="426"/>
        <w:jc w:val="center"/>
        <w:rPr>
          <w:rFonts w:cs="Arial"/>
          <w:b/>
          <w:bCs/>
          <w:szCs w:val="24"/>
        </w:rPr>
      </w:pPr>
      <w:r w:rsidRPr="0018006C">
        <w:rPr>
          <w:rFonts w:cs="Arial"/>
          <w:b/>
          <w:bCs/>
          <w:szCs w:val="24"/>
        </w:rPr>
        <w:t>What level of understanding do you think regulatory officers have of the pressures faced by business?</w:t>
      </w:r>
    </w:p>
    <w:p w:rsidR="00553866" w:rsidRDefault="00553866" w:rsidP="00553866">
      <w:pPr>
        <w:rPr>
          <w:rFonts w:cs="Arial"/>
          <w:b/>
          <w:bCs/>
          <w:sz w:val="26"/>
          <w:szCs w:val="26"/>
        </w:rPr>
      </w:pPr>
    </w:p>
    <w:tbl>
      <w:tblPr>
        <w:tblW w:w="5898" w:type="dxa"/>
        <w:jc w:val="center"/>
        <w:tblLook w:val="00A0"/>
      </w:tblPr>
      <w:tblGrid>
        <w:gridCol w:w="3217"/>
        <w:gridCol w:w="1451"/>
        <w:gridCol w:w="1230"/>
      </w:tblGrid>
      <w:tr w:rsidR="00553866" w:rsidTr="00553866">
        <w:trPr>
          <w:trHeight w:val="355"/>
          <w:jc w:val="center"/>
        </w:trPr>
        <w:tc>
          <w:tcPr>
            <w:tcW w:w="3217" w:type="dxa"/>
            <w:tcBorders>
              <w:top w:val="single" w:sz="12" w:space="0" w:color="auto"/>
              <w:left w:val="single" w:sz="12" w:space="0" w:color="auto"/>
              <w:bottom w:val="single" w:sz="12" w:space="0" w:color="auto"/>
              <w:right w:val="single" w:sz="12" w:space="0" w:color="auto"/>
            </w:tcBorders>
            <w:shd w:val="clear" w:color="auto" w:fill="4F81BD"/>
            <w:vAlign w:val="bottom"/>
            <w:hideMark/>
          </w:tcPr>
          <w:p w:rsidR="00553866" w:rsidRDefault="00553866">
            <w:pPr>
              <w:spacing w:line="276" w:lineRule="auto"/>
              <w:rPr>
                <w:rFonts w:eastAsia="Calibri" w:cs="Arial"/>
                <w:b/>
                <w:bCs/>
                <w:color w:val="FFFFFF"/>
                <w:sz w:val="24"/>
                <w:szCs w:val="24"/>
                <w:lang w:val="en-US"/>
              </w:rPr>
            </w:pPr>
            <w:r>
              <w:rPr>
                <w:rFonts w:eastAsia="Calibri" w:cs="Arial"/>
                <w:b/>
                <w:bCs/>
                <w:color w:val="FFFFFF"/>
                <w:szCs w:val="24"/>
                <w:lang w:val="en-US"/>
              </w:rPr>
              <w:t> </w:t>
            </w:r>
          </w:p>
        </w:tc>
        <w:tc>
          <w:tcPr>
            <w:tcW w:w="1451" w:type="dxa"/>
            <w:tcBorders>
              <w:top w:val="single" w:sz="12" w:space="0" w:color="auto"/>
              <w:left w:val="nil"/>
              <w:bottom w:val="single" w:sz="12" w:space="0" w:color="auto"/>
              <w:right w:val="single" w:sz="12" w:space="0" w:color="auto"/>
            </w:tcBorders>
            <w:shd w:val="clear" w:color="auto" w:fill="4F81BD"/>
            <w:vAlign w:val="center"/>
            <w:hideMark/>
          </w:tcPr>
          <w:p w:rsidR="00553866" w:rsidRDefault="00553866">
            <w:pPr>
              <w:spacing w:line="276" w:lineRule="auto"/>
              <w:jc w:val="center"/>
              <w:rPr>
                <w:rFonts w:eastAsia="Calibri" w:cs="Arial"/>
                <w:b/>
                <w:bCs/>
                <w:color w:val="FFFFFF"/>
                <w:szCs w:val="24"/>
                <w:lang w:val="en-US"/>
              </w:rPr>
            </w:pPr>
            <w:r>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auto" w:fill="4F81BD"/>
            <w:vAlign w:val="center"/>
            <w:hideMark/>
          </w:tcPr>
          <w:p w:rsidR="00553866" w:rsidRDefault="00553866">
            <w:pPr>
              <w:spacing w:line="276" w:lineRule="auto"/>
              <w:jc w:val="center"/>
              <w:rPr>
                <w:rFonts w:eastAsia="Calibri" w:cs="Arial"/>
                <w:b/>
                <w:bCs/>
                <w:color w:val="FFFFFF"/>
                <w:szCs w:val="24"/>
                <w:lang w:val="en-US"/>
              </w:rPr>
            </w:pPr>
            <w:r>
              <w:rPr>
                <w:rFonts w:eastAsia="Calibri" w:cs="Arial"/>
                <w:b/>
                <w:bCs/>
                <w:color w:val="FFFFFF"/>
                <w:szCs w:val="24"/>
                <w:lang w:val="en-US"/>
              </w:rPr>
              <w:t>Percent</w:t>
            </w:r>
          </w:p>
        </w:tc>
      </w:tr>
      <w:tr w:rsidR="00553866" w:rsidTr="00553866">
        <w:trPr>
          <w:trHeight w:val="324"/>
          <w:jc w:val="center"/>
        </w:trPr>
        <w:tc>
          <w:tcPr>
            <w:tcW w:w="3217" w:type="dxa"/>
            <w:tcBorders>
              <w:top w:val="single" w:sz="12" w:space="0" w:color="auto"/>
              <w:left w:val="single" w:sz="12" w:space="0" w:color="auto"/>
              <w:bottom w:val="single" w:sz="8" w:space="0" w:color="auto"/>
              <w:right w:val="single" w:sz="12" w:space="0" w:color="auto"/>
            </w:tcBorders>
            <w:shd w:val="clear" w:color="auto" w:fill="C6D9F1"/>
            <w:vAlign w:val="bottom"/>
            <w:hideMark/>
          </w:tcPr>
          <w:p w:rsidR="00553866" w:rsidRDefault="00553866">
            <w:pPr>
              <w:spacing w:line="276" w:lineRule="auto"/>
              <w:rPr>
                <w:rFonts w:cs="Arial"/>
                <w:color w:val="000000"/>
                <w:szCs w:val="24"/>
              </w:rPr>
            </w:pPr>
            <w:r>
              <w:rPr>
                <w:rFonts w:cs="Arial"/>
                <w:color w:val="000000"/>
                <w:szCs w:val="24"/>
              </w:rPr>
              <w:t>Very good understanding</w:t>
            </w:r>
          </w:p>
        </w:tc>
        <w:tc>
          <w:tcPr>
            <w:tcW w:w="1451" w:type="dxa"/>
            <w:tcBorders>
              <w:top w:val="nil"/>
              <w:left w:val="nil"/>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23</w:t>
            </w:r>
          </w:p>
        </w:tc>
        <w:tc>
          <w:tcPr>
            <w:tcW w:w="1230" w:type="dxa"/>
            <w:tcBorders>
              <w:top w:val="nil"/>
              <w:left w:val="single" w:sz="12" w:space="0" w:color="auto"/>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11.6%</w:t>
            </w:r>
          </w:p>
        </w:tc>
      </w:tr>
      <w:tr w:rsidR="00553866" w:rsidTr="00553866">
        <w:trPr>
          <w:trHeight w:val="324"/>
          <w:jc w:val="center"/>
        </w:trPr>
        <w:tc>
          <w:tcPr>
            <w:tcW w:w="3217" w:type="dxa"/>
            <w:tcBorders>
              <w:top w:val="single" w:sz="8" w:space="0" w:color="auto"/>
              <w:left w:val="single" w:sz="12" w:space="0" w:color="auto"/>
              <w:bottom w:val="single" w:sz="8" w:space="0" w:color="auto"/>
              <w:right w:val="single" w:sz="12" w:space="0" w:color="auto"/>
            </w:tcBorders>
            <w:shd w:val="clear" w:color="auto" w:fill="C6D9F1"/>
            <w:vAlign w:val="bottom"/>
            <w:hideMark/>
          </w:tcPr>
          <w:p w:rsidR="00553866" w:rsidRDefault="00553866">
            <w:pPr>
              <w:spacing w:line="276" w:lineRule="auto"/>
              <w:rPr>
                <w:rFonts w:cs="Arial"/>
                <w:color w:val="000000"/>
                <w:szCs w:val="24"/>
              </w:rPr>
            </w:pPr>
            <w:r>
              <w:rPr>
                <w:rFonts w:cs="Arial"/>
                <w:color w:val="000000"/>
                <w:szCs w:val="24"/>
              </w:rPr>
              <w:t>Good understanding</w:t>
            </w:r>
          </w:p>
        </w:tc>
        <w:tc>
          <w:tcPr>
            <w:tcW w:w="1451" w:type="dxa"/>
            <w:tcBorders>
              <w:top w:val="nil"/>
              <w:left w:val="nil"/>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84</w:t>
            </w:r>
          </w:p>
        </w:tc>
        <w:tc>
          <w:tcPr>
            <w:tcW w:w="1230" w:type="dxa"/>
            <w:tcBorders>
              <w:top w:val="nil"/>
              <w:left w:val="single" w:sz="12" w:space="0" w:color="auto"/>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42.4%</w:t>
            </w:r>
          </w:p>
        </w:tc>
      </w:tr>
      <w:tr w:rsidR="00553866" w:rsidTr="00553866">
        <w:trPr>
          <w:trHeight w:val="324"/>
          <w:jc w:val="center"/>
        </w:trPr>
        <w:tc>
          <w:tcPr>
            <w:tcW w:w="3217" w:type="dxa"/>
            <w:tcBorders>
              <w:top w:val="single" w:sz="8" w:space="0" w:color="auto"/>
              <w:left w:val="single" w:sz="12" w:space="0" w:color="auto"/>
              <w:bottom w:val="single" w:sz="8" w:space="0" w:color="auto"/>
              <w:right w:val="single" w:sz="12" w:space="0" w:color="auto"/>
            </w:tcBorders>
            <w:shd w:val="clear" w:color="auto" w:fill="C6D9F1"/>
            <w:vAlign w:val="bottom"/>
            <w:hideMark/>
          </w:tcPr>
          <w:p w:rsidR="00553866" w:rsidRDefault="00553866">
            <w:pPr>
              <w:spacing w:line="276" w:lineRule="auto"/>
              <w:rPr>
                <w:rFonts w:cs="Arial"/>
                <w:color w:val="000000"/>
                <w:szCs w:val="24"/>
              </w:rPr>
            </w:pPr>
            <w:r>
              <w:rPr>
                <w:rFonts w:cs="Arial"/>
                <w:color w:val="000000"/>
                <w:szCs w:val="24"/>
              </w:rPr>
              <w:t>Limited understanding</w:t>
            </w:r>
          </w:p>
        </w:tc>
        <w:tc>
          <w:tcPr>
            <w:tcW w:w="1451" w:type="dxa"/>
            <w:tcBorders>
              <w:top w:val="nil"/>
              <w:left w:val="nil"/>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71</w:t>
            </w:r>
          </w:p>
        </w:tc>
        <w:tc>
          <w:tcPr>
            <w:tcW w:w="1230" w:type="dxa"/>
            <w:tcBorders>
              <w:top w:val="nil"/>
              <w:left w:val="single" w:sz="12" w:space="0" w:color="auto"/>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35.9%</w:t>
            </w:r>
          </w:p>
        </w:tc>
      </w:tr>
      <w:tr w:rsidR="00553866" w:rsidTr="00553866">
        <w:trPr>
          <w:trHeight w:val="324"/>
          <w:jc w:val="center"/>
        </w:trPr>
        <w:tc>
          <w:tcPr>
            <w:tcW w:w="3217" w:type="dxa"/>
            <w:tcBorders>
              <w:top w:val="single" w:sz="8" w:space="0" w:color="auto"/>
              <w:left w:val="single" w:sz="12" w:space="0" w:color="auto"/>
              <w:bottom w:val="single" w:sz="8" w:space="0" w:color="auto"/>
              <w:right w:val="single" w:sz="12" w:space="0" w:color="auto"/>
            </w:tcBorders>
            <w:shd w:val="clear" w:color="auto" w:fill="C6D9F1"/>
            <w:vAlign w:val="bottom"/>
            <w:hideMark/>
          </w:tcPr>
          <w:p w:rsidR="00553866" w:rsidRDefault="00553866">
            <w:pPr>
              <w:spacing w:line="276" w:lineRule="auto"/>
              <w:rPr>
                <w:rFonts w:cs="Arial"/>
                <w:color w:val="000000"/>
                <w:szCs w:val="24"/>
              </w:rPr>
            </w:pPr>
            <w:r>
              <w:rPr>
                <w:rFonts w:cs="Arial"/>
                <w:color w:val="000000"/>
                <w:szCs w:val="24"/>
              </w:rPr>
              <w:t>No understanding</w:t>
            </w:r>
          </w:p>
        </w:tc>
        <w:tc>
          <w:tcPr>
            <w:tcW w:w="1451" w:type="dxa"/>
            <w:tcBorders>
              <w:top w:val="nil"/>
              <w:left w:val="nil"/>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14</w:t>
            </w:r>
          </w:p>
        </w:tc>
        <w:tc>
          <w:tcPr>
            <w:tcW w:w="1230" w:type="dxa"/>
            <w:tcBorders>
              <w:top w:val="nil"/>
              <w:left w:val="single" w:sz="12" w:space="0" w:color="auto"/>
              <w:bottom w:val="single" w:sz="8"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7.1%</w:t>
            </w:r>
          </w:p>
        </w:tc>
      </w:tr>
      <w:tr w:rsidR="00553866" w:rsidTr="00553866">
        <w:trPr>
          <w:trHeight w:val="324"/>
          <w:jc w:val="center"/>
        </w:trPr>
        <w:tc>
          <w:tcPr>
            <w:tcW w:w="3217" w:type="dxa"/>
            <w:tcBorders>
              <w:top w:val="single" w:sz="8" w:space="0" w:color="auto"/>
              <w:left w:val="single" w:sz="12" w:space="0" w:color="auto"/>
              <w:bottom w:val="single" w:sz="12" w:space="0" w:color="auto"/>
              <w:right w:val="single" w:sz="12" w:space="0" w:color="auto"/>
            </w:tcBorders>
            <w:shd w:val="clear" w:color="auto" w:fill="C6D9F1"/>
            <w:vAlign w:val="bottom"/>
            <w:hideMark/>
          </w:tcPr>
          <w:p w:rsidR="00553866" w:rsidRDefault="00553866">
            <w:pPr>
              <w:spacing w:line="276" w:lineRule="auto"/>
              <w:rPr>
                <w:rFonts w:cs="Arial"/>
                <w:color w:val="000000"/>
                <w:szCs w:val="24"/>
              </w:rPr>
            </w:pPr>
            <w:r>
              <w:rPr>
                <w:rFonts w:cs="Arial"/>
                <w:color w:val="000000"/>
                <w:szCs w:val="24"/>
              </w:rPr>
              <w:t>No response</w:t>
            </w:r>
          </w:p>
        </w:tc>
        <w:tc>
          <w:tcPr>
            <w:tcW w:w="1451" w:type="dxa"/>
            <w:tcBorders>
              <w:top w:val="nil"/>
              <w:left w:val="nil"/>
              <w:bottom w:val="single" w:sz="12"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6</w:t>
            </w:r>
          </w:p>
        </w:tc>
        <w:tc>
          <w:tcPr>
            <w:tcW w:w="1230" w:type="dxa"/>
            <w:tcBorders>
              <w:top w:val="nil"/>
              <w:left w:val="single" w:sz="12" w:space="0" w:color="auto"/>
              <w:bottom w:val="single" w:sz="12" w:space="0" w:color="auto"/>
              <w:right w:val="single" w:sz="12" w:space="0" w:color="auto"/>
            </w:tcBorders>
            <w:noWrap/>
            <w:vAlign w:val="bottom"/>
            <w:hideMark/>
          </w:tcPr>
          <w:p w:rsidR="00553866" w:rsidRDefault="00553866">
            <w:pPr>
              <w:spacing w:line="276" w:lineRule="auto"/>
              <w:jc w:val="center"/>
              <w:rPr>
                <w:rFonts w:cs="Arial"/>
                <w:color w:val="000000"/>
                <w:szCs w:val="24"/>
              </w:rPr>
            </w:pPr>
            <w:r>
              <w:rPr>
                <w:rFonts w:cs="Arial"/>
                <w:color w:val="000000"/>
                <w:szCs w:val="24"/>
              </w:rPr>
              <w:t>3.0%</w:t>
            </w:r>
          </w:p>
        </w:tc>
      </w:tr>
      <w:tr w:rsidR="00553866" w:rsidTr="00553866">
        <w:trPr>
          <w:trHeight w:val="324"/>
          <w:jc w:val="center"/>
        </w:trPr>
        <w:tc>
          <w:tcPr>
            <w:tcW w:w="3217" w:type="dxa"/>
            <w:tcBorders>
              <w:top w:val="single" w:sz="12" w:space="0" w:color="auto"/>
              <w:left w:val="single" w:sz="12" w:space="0" w:color="auto"/>
              <w:bottom w:val="single" w:sz="12" w:space="0" w:color="auto"/>
              <w:right w:val="single" w:sz="12" w:space="0" w:color="auto"/>
            </w:tcBorders>
            <w:shd w:val="clear" w:color="auto" w:fill="4F81BC"/>
            <w:vAlign w:val="bottom"/>
            <w:hideMark/>
          </w:tcPr>
          <w:p w:rsidR="00553866" w:rsidRDefault="00553866">
            <w:pPr>
              <w:spacing w:line="276" w:lineRule="auto"/>
              <w:jc w:val="right"/>
              <w:rPr>
                <w:rFonts w:cs="Arial"/>
                <w:color w:val="000000"/>
                <w:szCs w:val="24"/>
              </w:rPr>
            </w:pPr>
            <w:r>
              <w:rPr>
                <w:rFonts w:eastAsia="Calibri" w:cs="Arial"/>
                <w:b/>
                <w:bCs/>
                <w:color w:val="FFFFFF"/>
                <w:szCs w:val="24"/>
                <w:lang w:val="en-US"/>
              </w:rPr>
              <w:t>Total</w:t>
            </w:r>
          </w:p>
        </w:tc>
        <w:tc>
          <w:tcPr>
            <w:tcW w:w="1451" w:type="dxa"/>
            <w:tcBorders>
              <w:top w:val="single" w:sz="12" w:space="0" w:color="auto"/>
              <w:left w:val="nil"/>
              <w:bottom w:val="single" w:sz="12" w:space="0" w:color="auto"/>
              <w:right w:val="single" w:sz="12" w:space="0" w:color="auto"/>
            </w:tcBorders>
            <w:shd w:val="clear" w:color="auto" w:fill="4F81BC"/>
            <w:noWrap/>
            <w:vAlign w:val="bottom"/>
            <w:hideMark/>
          </w:tcPr>
          <w:p w:rsidR="00553866" w:rsidRDefault="00553866">
            <w:pPr>
              <w:spacing w:line="276" w:lineRule="auto"/>
              <w:jc w:val="center"/>
              <w:rPr>
                <w:rFonts w:cs="Arial"/>
                <w:b/>
                <w:color w:val="FFFFFF" w:themeColor="background1"/>
                <w:szCs w:val="24"/>
              </w:rPr>
            </w:pPr>
            <w:r>
              <w:rPr>
                <w:rFonts w:cs="Arial"/>
                <w:b/>
                <w:color w:val="FFFFFF" w:themeColor="background1"/>
                <w:szCs w:val="24"/>
              </w:rPr>
              <w:t>198</w:t>
            </w:r>
          </w:p>
        </w:tc>
        <w:tc>
          <w:tcPr>
            <w:tcW w:w="1230" w:type="dxa"/>
            <w:tcBorders>
              <w:top w:val="single" w:sz="12" w:space="0" w:color="auto"/>
              <w:left w:val="single" w:sz="12" w:space="0" w:color="auto"/>
              <w:bottom w:val="single" w:sz="12" w:space="0" w:color="auto"/>
              <w:right w:val="single" w:sz="12" w:space="0" w:color="auto"/>
            </w:tcBorders>
            <w:shd w:val="clear" w:color="auto" w:fill="4F81BC"/>
            <w:noWrap/>
            <w:vAlign w:val="bottom"/>
            <w:hideMark/>
          </w:tcPr>
          <w:p w:rsidR="00553866" w:rsidRDefault="00553866">
            <w:pPr>
              <w:spacing w:line="276" w:lineRule="auto"/>
              <w:jc w:val="center"/>
              <w:rPr>
                <w:rFonts w:cs="Arial"/>
                <w:b/>
                <w:color w:val="FFFFFF" w:themeColor="background1"/>
                <w:szCs w:val="24"/>
              </w:rPr>
            </w:pPr>
            <w:r>
              <w:rPr>
                <w:rFonts w:cs="Arial"/>
                <w:b/>
                <w:color w:val="FFFFFF" w:themeColor="background1"/>
                <w:szCs w:val="24"/>
              </w:rPr>
              <w:t>100%</w:t>
            </w:r>
          </w:p>
        </w:tc>
      </w:tr>
    </w:tbl>
    <w:p w:rsidR="006A4ABE" w:rsidRDefault="006A4ABE">
      <w:pPr>
        <w:rPr>
          <w:rFonts w:cs="Arial"/>
          <w:b/>
          <w:color w:val="000000" w:themeColor="text1"/>
          <w:sz w:val="28"/>
          <w:szCs w:val="28"/>
        </w:rPr>
      </w:pPr>
    </w:p>
    <w:p w:rsidR="00A15885" w:rsidRPr="00D515BA" w:rsidRDefault="00D515BA">
      <w:pPr>
        <w:rPr>
          <w:rFonts w:cs="Arial"/>
          <w:b/>
          <w:color w:val="000000" w:themeColor="text1"/>
          <w:sz w:val="28"/>
          <w:szCs w:val="28"/>
        </w:rPr>
      </w:pPr>
      <w:r>
        <w:rPr>
          <w:rFonts w:cs="Arial"/>
          <w:b/>
          <w:color w:val="000000" w:themeColor="text1"/>
          <w:sz w:val="28"/>
          <w:szCs w:val="28"/>
        </w:rPr>
        <w:t>Positive r</w:t>
      </w:r>
      <w:r w:rsidR="007C7D02" w:rsidRPr="00D515BA">
        <w:rPr>
          <w:rFonts w:cs="Arial"/>
          <w:b/>
          <w:color w:val="000000" w:themeColor="text1"/>
          <w:sz w:val="28"/>
          <w:szCs w:val="28"/>
        </w:rPr>
        <w:t>egulatory comments</w:t>
      </w:r>
    </w:p>
    <w:p w:rsidR="007C7D02" w:rsidRDefault="007C7D02">
      <w:pPr>
        <w:rPr>
          <w:rFonts w:cs="Arial"/>
          <w:color w:val="000000" w:themeColor="text1"/>
        </w:rPr>
      </w:pPr>
    </w:p>
    <w:p w:rsidR="004B5DE5" w:rsidRDefault="00AD1311">
      <w:pPr>
        <w:jc w:val="both"/>
        <w:rPr>
          <w:rFonts w:cs="Arial"/>
          <w:i/>
          <w:color w:val="000000" w:themeColor="text1"/>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352550" cy="1152525"/>
            <wp:effectExtent l="19050" t="0" r="0" b="0"/>
            <wp:wrapTight wrapText="bothSides">
              <wp:wrapPolygon edited="0">
                <wp:start x="-304" y="0"/>
                <wp:lineTo x="-304" y="21421"/>
                <wp:lineTo x="21600" y="21421"/>
                <wp:lineTo x="21600" y="0"/>
                <wp:lineTo x="-304"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352550" cy="1152525"/>
                    </a:xfrm>
                    <a:prstGeom prst="rect">
                      <a:avLst/>
                    </a:prstGeom>
                  </pic:spPr>
                </pic:pic>
              </a:graphicData>
            </a:graphic>
          </wp:anchor>
        </w:drawing>
      </w:r>
      <w:r w:rsidR="00D6170F" w:rsidRPr="00D515BA">
        <w:rPr>
          <w:rFonts w:cs="Arial"/>
          <w:i/>
        </w:rPr>
        <w:t xml:space="preserve"> </w:t>
      </w:r>
      <w:r w:rsidR="007C7D02" w:rsidRPr="00D515BA">
        <w:rPr>
          <w:rFonts w:cs="Arial"/>
          <w:i/>
        </w:rPr>
        <w:t>“Following an anonymous complaint about my business, the regulator came to see me during a particularly busy lunchtime. The complaint was dealt with thoroughly, but discreetly, &amp; with the minimum of fuss.”</w:t>
      </w:r>
    </w:p>
    <w:p w:rsidR="004B5DE5" w:rsidRDefault="00D1459F">
      <w:pPr>
        <w:pStyle w:val="NoSpacing"/>
        <w:tabs>
          <w:tab w:val="left" w:pos="720"/>
        </w:tabs>
        <w:spacing w:before="120" w:after="120"/>
        <w:jc w:val="both"/>
        <w:rPr>
          <w:rFonts w:asciiTheme="minorHAnsi" w:hAnsiTheme="minorHAnsi" w:cs="Arial"/>
          <w:i/>
          <w:sz w:val="22"/>
        </w:rPr>
      </w:pPr>
      <w:r w:rsidRPr="00D515BA">
        <w:rPr>
          <w:rFonts w:asciiTheme="minorHAnsi" w:hAnsiTheme="minorHAnsi" w:cs="Arial"/>
          <w:i/>
          <w:sz w:val="22"/>
        </w:rPr>
        <w:t>“Trading standards spend a good deal of time with us when they visit. The officer is very helpful and consults with colleagues as necessary. Last time we had a particularly unusual issue and he brought a colleague along for a second opinion.”</w:t>
      </w:r>
    </w:p>
    <w:p w:rsidR="004B5DE5" w:rsidRDefault="00D1459F">
      <w:pPr>
        <w:pStyle w:val="NoSpacing"/>
        <w:tabs>
          <w:tab w:val="left" w:pos="720"/>
          <w:tab w:val="left" w:pos="7415"/>
        </w:tabs>
        <w:spacing w:before="120" w:after="120"/>
        <w:jc w:val="both"/>
        <w:rPr>
          <w:rFonts w:asciiTheme="minorHAnsi" w:hAnsiTheme="minorHAnsi" w:cs="Arial"/>
          <w:i/>
          <w:sz w:val="22"/>
        </w:rPr>
      </w:pPr>
      <w:r w:rsidRPr="00D515BA">
        <w:rPr>
          <w:rFonts w:asciiTheme="minorHAnsi" w:hAnsiTheme="minorHAnsi" w:cs="Arial"/>
          <w:i/>
          <w:sz w:val="22"/>
        </w:rPr>
        <w:t>“</w:t>
      </w:r>
      <w:r w:rsidR="00710CE1" w:rsidRPr="00D515BA">
        <w:rPr>
          <w:rFonts w:asciiTheme="minorHAnsi" w:hAnsiTheme="minorHAnsi" w:cs="Arial"/>
          <w:i/>
          <w:sz w:val="22"/>
        </w:rPr>
        <w:t>Fire Safety</w:t>
      </w:r>
      <w:r w:rsidRPr="00D515BA">
        <w:rPr>
          <w:rFonts w:asciiTheme="minorHAnsi" w:hAnsiTheme="minorHAnsi" w:cs="Arial"/>
          <w:i/>
          <w:sz w:val="22"/>
        </w:rPr>
        <w:t xml:space="preserve"> officer giving advice and support re fire risk assessments before and after refurbishment”</w:t>
      </w:r>
    </w:p>
    <w:p w:rsidR="004B5DE5" w:rsidRDefault="00D1459F">
      <w:pPr>
        <w:jc w:val="both"/>
        <w:rPr>
          <w:rFonts w:cs="Arial"/>
          <w:i/>
          <w:color w:val="000000" w:themeColor="text1"/>
        </w:rPr>
      </w:pPr>
      <w:r w:rsidRPr="00D515BA">
        <w:rPr>
          <w:rFonts w:cs="Arial"/>
          <w:i/>
        </w:rPr>
        <w:t>“Assistance with the introduction of the new allergen regulations. Advice on setting up our kitchen to comply with regulation and to be cost effective when we started the business 11 years ago, which meant we did not spend money on equipment that did not comply or we did not need.”</w:t>
      </w:r>
    </w:p>
    <w:p w:rsidR="004B5DE5" w:rsidRDefault="00D1459F">
      <w:pPr>
        <w:pStyle w:val="NoSpacing"/>
        <w:tabs>
          <w:tab w:val="left" w:pos="720"/>
          <w:tab w:val="left" w:pos="7688"/>
        </w:tabs>
        <w:spacing w:before="120" w:after="120"/>
        <w:jc w:val="both"/>
        <w:rPr>
          <w:rFonts w:asciiTheme="minorHAnsi" w:hAnsiTheme="minorHAnsi" w:cs="Arial"/>
          <w:i/>
          <w:color w:val="000000"/>
          <w:sz w:val="22"/>
        </w:rPr>
      </w:pPr>
      <w:r w:rsidRPr="00D515BA">
        <w:rPr>
          <w:rFonts w:asciiTheme="minorHAnsi" w:hAnsiTheme="minorHAnsi" w:cs="Arial"/>
          <w:i/>
          <w:color w:val="000000"/>
          <w:sz w:val="22"/>
        </w:rPr>
        <w:t>“When we took on the hotel we requested the EHO to visit to provide an independent view of our current starting plans &amp; how we were intending to proceed, we found this very helpful.”</w:t>
      </w:r>
    </w:p>
    <w:p w:rsidR="004B5DE5" w:rsidRDefault="00D1459F">
      <w:pPr>
        <w:pStyle w:val="NoSpacing"/>
        <w:tabs>
          <w:tab w:val="left" w:pos="720"/>
        </w:tabs>
        <w:spacing w:before="120" w:after="120"/>
        <w:ind w:right="567"/>
        <w:jc w:val="both"/>
        <w:rPr>
          <w:rFonts w:asciiTheme="minorHAnsi" w:hAnsiTheme="minorHAnsi" w:cs="Arial"/>
          <w:i/>
          <w:color w:val="000000"/>
          <w:sz w:val="22"/>
        </w:rPr>
      </w:pPr>
      <w:r w:rsidRPr="00D515BA">
        <w:rPr>
          <w:rFonts w:asciiTheme="minorHAnsi" w:hAnsiTheme="minorHAnsi" w:cs="Arial"/>
          <w:i/>
          <w:color w:val="000000"/>
          <w:sz w:val="22"/>
        </w:rPr>
        <w:t>“Licensing were very helpful when advising and helping us submit our application for changes to premises license.”</w:t>
      </w:r>
    </w:p>
    <w:p w:rsidR="004B5DE5" w:rsidRDefault="00D1459F">
      <w:pPr>
        <w:jc w:val="both"/>
        <w:rPr>
          <w:rFonts w:cs="Arial"/>
          <w:i/>
          <w:color w:val="000000"/>
        </w:rPr>
      </w:pPr>
      <w:r w:rsidRPr="00D515BA">
        <w:rPr>
          <w:rFonts w:cs="Arial"/>
          <w:i/>
          <w:color w:val="000000"/>
        </w:rPr>
        <w:t>“Health &amp; Safety have visited and they have a great relationship, she cares about her job and spends time to go through every detail.”</w:t>
      </w:r>
    </w:p>
    <w:p w:rsidR="00D1459F" w:rsidRPr="00D515BA" w:rsidRDefault="00D1459F">
      <w:pPr>
        <w:rPr>
          <w:rFonts w:cs="Arial"/>
          <w:i/>
          <w:color w:val="000000"/>
        </w:rPr>
      </w:pPr>
    </w:p>
    <w:p w:rsidR="00D1459F" w:rsidRDefault="00D1459F">
      <w:pPr>
        <w:rPr>
          <w:rFonts w:cs="Arial"/>
          <w:color w:val="000000" w:themeColor="text1"/>
        </w:rPr>
      </w:pPr>
    </w:p>
    <w:p w:rsidR="004B5DE5" w:rsidRDefault="007C7D02">
      <w:pPr>
        <w:jc w:val="both"/>
        <w:rPr>
          <w:rFonts w:cs="Arial"/>
          <w:b/>
          <w:color w:val="000000" w:themeColor="text1"/>
          <w:sz w:val="28"/>
          <w:szCs w:val="28"/>
        </w:rPr>
      </w:pPr>
      <w:r w:rsidRPr="00D515BA">
        <w:rPr>
          <w:rFonts w:cs="Arial"/>
          <w:b/>
          <w:color w:val="000000" w:themeColor="text1"/>
          <w:sz w:val="28"/>
          <w:szCs w:val="28"/>
        </w:rPr>
        <w:t>Negative regulatory comments</w:t>
      </w:r>
    </w:p>
    <w:p w:rsidR="004B5DE5" w:rsidRDefault="00D6170F">
      <w:pPr>
        <w:spacing w:before="120" w:after="120"/>
        <w:jc w:val="both"/>
        <w:rPr>
          <w:rFonts w:cs="Arial"/>
          <w:i/>
        </w:rPr>
      </w:pPr>
      <w:r w:rsidRPr="00D6170F">
        <w:rPr>
          <w:rFonts w:cs="Arial"/>
          <w:i/>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79375</wp:posOffset>
            </wp:positionV>
            <wp:extent cx="1133475" cy="1143000"/>
            <wp:effectExtent l="19050" t="0" r="9525" b="0"/>
            <wp:wrapTight wrapText="bothSides">
              <wp:wrapPolygon edited="0">
                <wp:start x="-363" y="0"/>
                <wp:lineTo x="-363" y="21240"/>
                <wp:lineTo x="21782" y="21240"/>
                <wp:lineTo x="21782" y="0"/>
                <wp:lineTo x="-363"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133475" cy="1143000"/>
                    </a:xfrm>
                    <a:prstGeom prst="rect">
                      <a:avLst/>
                    </a:prstGeom>
                  </pic:spPr>
                </pic:pic>
              </a:graphicData>
            </a:graphic>
          </wp:anchor>
        </w:drawing>
      </w:r>
      <w:r w:rsidRPr="00D6170F">
        <w:rPr>
          <w:rFonts w:cs="Arial"/>
          <w:i/>
        </w:rPr>
        <w:t xml:space="preserve"> </w:t>
      </w:r>
      <w:r w:rsidR="00D1459F" w:rsidRPr="00D515BA">
        <w:rPr>
          <w:rFonts w:cs="Arial"/>
          <w:i/>
        </w:rPr>
        <w:t>“Not booking appointment, coming to a seasonal place when previously saying they would not come that season, and then being particularly harsh, and not understanding a person with excellent English but not native English.”</w:t>
      </w:r>
    </w:p>
    <w:p w:rsidR="004B5DE5" w:rsidRDefault="00D1459F">
      <w:pPr>
        <w:pStyle w:val="NoSpacing"/>
        <w:tabs>
          <w:tab w:val="left" w:pos="720"/>
        </w:tabs>
        <w:spacing w:before="120" w:after="120"/>
        <w:ind w:right="567"/>
        <w:jc w:val="both"/>
        <w:rPr>
          <w:rFonts w:asciiTheme="minorHAnsi" w:hAnsiTheme="minorHAnsi" w:cs="Arial"/>
          <w:i/>
          <w:sz w:val="22"/>
        </w:rPr>
      </w:pPr>
      <w:r w:rsidRPr="00D515BA">
        <w:rPr>
          <w:rFonts w:asciiTheme="minorHAnsi" w:hAnsiTheme="minorHAnsi" w:cs="Arial"/>
          <w:i/>
          <w:sz w:val="22"/>
        </w:rPr>
        <w:t>“Fire safety inspectors are always so negative and unsympathetic to the realities of old buildings and being a small business with limited capacity to fund expensive alterations.”</w:t>
      </w:r>
    </w:p>
    <w:p w:rsidR="004B5DE5" w:rsidRDefault="00D1459F">
      <w:pPr>
        <w:jc w:val="both"/>
        <w:rPr>
          <w:rFonts w:cs="Arial"/>
          <w:i/>
          <w:color w:val="000000" w:themeColor="text1"/>
        </w:rPr>
      </w:pPr>
      <w:r w:rsidRPr="00D515BA">
        <w:rPr>
          <w:rFonts w:cs="Arial"/>
          <w:i/>
        </w:rPr>
        <w:t>“Just turning up at the worst moment and looking at snapshots of a business in the middle of August.</w:t>
      </w:r>
    </w:p>
    <w:p w:rsidR="004B5DE5" w:rsidRDefault="00D1459F">
      <w:pPr>
        <w:pStyle w:val="NoSpacing"/>
        <w:tabs>
          <w:tab w:val="left" w:pos="720"/>
        </w:tabs>
        <w:spacing w:before="120" w:after="120"/>
        <w:ind w:right="567"/>
        <w:jc w:val="both"/>
        <w:rPr>
          <w:rFonts w:asciiTheme="minorHAnsi" w:hAnsiTheme="minorHAnsi" w:cs="Arial"/>
          <w:i/>
          <w:sz w:val="22"/>
        </w:rPr>
      </w:pPr>
      <w:r w:rsidRPr="00D515BA">
        <w:rPr>
          <w:rFonts w:asciiTheme="minorHAnsi" w:hAnsiTheme="minorHAnsi" w:cs="Arial"/>
          <w:i/>
          <w:sz w:val="22"/>
        </w:rPr>
        <w:t>“Trading Standards - She was visited about 7-8 years ago by trading standards and felt the person was cold and impersonal.”</w:t>
      </w:r>
    </w:p>
    <w:p w:rsidR="004B5DE5" w:rsidRDefault="00D1459F">
      <w:pPr>
        <w:jc w:val="both"/>
        <w:rPr>
          <w:rFonts w:cs="Arial"/>
          <w:i/>
          <w:color w:val="000000"/>
        </w:rPr>
      </w:pPr>
      <w:r w:rsidRPr="00D515BA">
        <w:rPr>
          <w:rFonts w:cs="Arial"/>
          <w:i/>
          <w:color w:val="000000"/>
        </w:rPr>
        <w:t>“Health and safety regulators suffer from over-zealous application of legislation to the point it can make a business un-viable.</w:t>
      </w:r>
      <w:r w:rsidR="00D6170F">
        <w:rPr>
          <w:rFonts w:cs="Arial"/>
          <w:i/>
          <w:color w:val="000000"/>
        </w:rPr>
        <w:t>”</w:t>
      </w:r>
    </w:p>
    <w:p w:rsidR="004B5DE5" w:rsidRDefault="004B5DE5">
      <w:pPr>
        <w:jc w:val="both"/>
        <w:rPr>
          <w:rFonts w:cs="Arial"/>
          <w:i/>
          <w:color w:val="000000"/>
        </w:rPr>
      </w:pPr>
    </w:p>
    <w:p w:rsidR="004B5DE5" w:rsidRDefault="00D1459F">
      <w:pPr>
        <w:jc w:val="both"/>
        <w:rPr>
          <w:rFonts w:cs="Arial"/>
          <w:i/>
          <w:color w:val="000000" w:themeColor="text1"/>
        </w:rPr>
      </w:pPr>
      <w:r w:rsidRPr="00D515BA">
        <w:rPr>
          <w:rFonts w:cs="Arial"/>
          <w:i/>
          <w:color w:val="000000"/>
        </w:rPr>
        <w:t>“Licensing - They didn't know that they were not allowed to play music above a certain level. The lady from licensing who came to speak to them was abrupt and rude and not courteous.”</w:t>
      </w:r>
    </w:p>
    <w:p w:rsidR="00D51F5D" w:rsidRDefault="00D51F5D"/>
    <w:p w:rsidR="00D51F5D" w:rsidRPr="00D515BA" w:rsidRDefault="00D51F5D">
      <w:pPr>
        <w:rPr>
          <w:b/>
          <w:sz w:val="28"/>
          <w:szCs w:val="28"/>
        </w:rPr>
      </w:pPr>
      <w:r w:rsidRPr="00D515BA">
        <w:rPr>
          <w:b/>
          <w:sz w:val="28"/>
          <w:szCs w:val="28"/>
        </w:rPr>
        <w:t>Conclusions</w:t>
      </w:r>
    </w:p>
    <w:p w:rsidR="004B5DE5" w:rsidRDefault="004B5DE5">
      <w:pPr>
        <w:jc w:val="both"/>
      </w:pPr>
    </w:p>
    <w:p w:rsidR="004B5DE5" w:rsidRDefault="00D51F5D">
      <w:pPr>
        <w:spacing w:after="200" w:line="276" w:lineRule="auto"/>
        <w:jc w:val="both"/>
        <w:rPr>
          <w:rFonts w:cs="Arial"/>
          <w:color w:val="000000"/>
        </w:rPr>
      </w:pPr>
      <w:r w:rsidRPr="00FC2DC7">
        <w:rPr>
          <w:rFonts w:cs="Arial"/>
          <w:bCs/>
        </w:rPr>
        <w:t xml:space="preserve">When thinking about the actions of regulators, most respondents either strongly agreed or agreed that regulators: </w:t>
      </w:r>
      <w:r w:rsidRPr="00FC2DC7">
        <w:rPr>
          <w:rFonts w:cs="Arial"/>
          <w:color w:val="000000"/>
        </w:rPr>
        <w:t>Encourage them to seek advice on how to comply, always explain the reason for visits to their business, enforce the law in a way that is fair and proportionate, are consistent in the advice they provide them and the way they enforce the law, coordinate services to minimise unnecessary overlaps &amp; duplication and provide timely advice and guidance. However when asked if they agreed that regulators should consult with them when developing policies, plans, procedures and service standards, the majority of respondents (by a small margin) either disagreed or strongly disagreed.</w:t>
      </w:r>
    </w:p>
    <w:p w:rsidR="004B5DE5" w:rsidRDefault="00D51F5D">
      <w:pPr>
        <w:spacing w:after="200" w:line="276" w:lineRule="auto"/>
        <w:jc w:val="both"/>
        <w:rPr>
          <w:rFonts w:cs="Arial"/>
          <w:color w:val="000000"/>
        </w:rPr>
      </w:pPr>
      <w:r w:rsidRPr="00FC2DC7">
        <w:rPr>
          <w:rFonts w:cs="Arial"/>
          <w:color w:val="000000"/>
        </w:rPr>
        <w:t>The vast majority of respondents either agreed or strongly agreed that regulators should: pre-book an appointment before they visit, inform the business how they intend to conduct an inspection/visit, provide full feedback after a visit, always give feedback to businesses whether positive or negative, encourage businesses to provide feedback on the regulators’ performance, provide advice to new and existing businesses, and take enforcement action where appropriate.</w:t>
      </w:r>
    </w:p>
    <w:p w:rsidR="004B5DE5" w:rsidRDefault="00D51F5D">
      <w:pPr>
        <w:spacing w:after="200" w:line="276" w:lineRule="auto"/>
        <w:jc w:val="both"/>
        <w:rPr>
          <w:rFonts w:cs="Arial"/>
          <w:color w:val="000000"/>
        </w:rPr>
      </w:pPr>
      <w:r w:rsidRPr="00FC2DC7">
        <w:rPr>
          <w:rFonts w:cs="Arial"/>
          <w:color w:val="000000"/>
        </w:rPr>
        <w:t xml:space="preserve">More than 85% of respondents agree or strongly agree that: If their business was found to be non-compliant they would be concerned that this would affect their reputation with customers, regulation helps to ensure a level playing field for business and consumers and </w:t>
      </w:r>
      <w:proofErr w:type="gramStart"/>
      <w:r w:rsidRPr="00FC2DC7">
        <w:rPr>
          <w:rFonts w:cs="Arial"/>
          <w:color w:val="000000"/>
        </w:rPr>
        <w:t>It</w:t>
      </w:r>
      <w:proofErr w:type="gramEnd"/>
      <w:r w:rsidRPr="00FC2DC7">
        <w:rPr>
          <w:rFonts w:cs="Arial"/>
          <w:color w:val="000000"/>
        </w:rPr>
        <w:t xml:space="preserve"> matters to their business that their customers know that they invest in compliance.</w:t>
      </w:r>
    </w:p>
    <w:p w:rsidR="004B5DE5" w:rsidRDefault="00D51F5D">
      <w:pPr>
        <w:spacing w:after="200" w:line="276" w:lineRule="auto"/>
        <w:jc w:val="both"/>
        <w:rPr>
          <w:rFonts w:cs="Arial"/>
          <w:color w:val="000000"/>
        </w:rPr>
      </w:pPr>
      <w:r w:rsidRPr="00FC2DC7">
        <w:rPr>
          <w:rFonts w:cs="Arial"/>
          <w:color w:val="000000"/>
        </w:rPr>
        <w:t>Over half of respondents thought that regulatory officers have a good or very good understanding of the pressures faced by business’, however over a third consider regulatory officers’ understanding to be limited.</w:t>
      </w:r>
    </w:p>
    <w:p w:rsidR="004B5DE5" w:rsidRDefault="00D51F5D">
      <w:pPr>
        <w:spacing w:after="200" w:line="276" w:lineRule="auto"/>
        <w:jc w:val="both"/>
        <w:rPr>
          <w:rFonts w:cs="Arial"/>
        </w:rPr>
      </w:pPr>
      <w:r w:rsidRPr="00FC2DC7">
        <w:rPr>
          <w:rFonts w:cs="Arial"/>
        </w:rPr>
        <w:t>All the regulatory services were either highly valued or valued by the majority of respondents and most have not had a bad experience with any of them. Over half think regulators get the right balance between encouragement, education and enforcement and the vast majority are either very satisfied or satisfied with the courteousness and professionalism of regulators, have a good relationship with them, and feel confident and comfortable to seek advice and assistance on regulatory matters.</w:t>
      </w:r>
    </w:p>
    <w:p w:rsidR="004B5DE5" w:rsidRDefault="00D51F5D">
      <w:pPr>
        <w:spacing w:after="200" w:line="276" w:lineRule="auto"/>
        <w:jc w:val="both"/>
        <w:rPr>
          <w:rFonts w:cs="Arial"/>
        </w:rPr>
      </w:pPr>
      <w:r w:rsidRPr="00FC2DC7">
        <w:rPr>
          <w:rFonts w:cs="Arial"/>
        </w:rPr>
        <w:t>Health and safety was felt to be the most difficult area of regulation respondents had to implement into their businesses.</w:t>
      </w:r>
    </w:p>
    <w:p w:rsidR="004B5DE5" w:rsidRDefault="00D51F5D">
      <w:pPr>
        <w:spacing w:after="200" w:line="276" w:lineRule="auto"/>
        <w:jc w:val="both"/>
        <w:rPr>
          <w:rFonts w:cs="Arial"/>
        </w:rPr>
      </w:pPr>
      <w:r w:rsidRPr="00FC2DC7">
        <w:rPr>
          <w:rFonts w:cs="Arial"/>
        </w:rPr>
        <w:t>Businesses felt that regulators should provide advice, assist in businesses understanding their responsibilities, enforce rules and regulations and 77.8% also thought regu</w:t>
      </w:r>
      <w:r w:rsidR="00610B49">
        <w:rPr>
          <w:rFonts w:cs="Arial"/>
        </w:rPr>
        <w:t xml:space="preserve">lators role should be to signpost to </w:t>
      </w:r>
      <w:r w:rsidRPr="00FC2DC7">
        <w:rPr>
          <w:rFonts w:cs="Arial"/>
        </w:rPr>
        <w:t>other sources of information.</w:t>
      </w:r>
    </w:p>
    <w:p w:rsidR="004B5DE5" w:rsidRDefault="00D51F5D">
      <w:pPr>
        <w:spacing w:after="200" w:line="276" w:lineRule="auto"/>
        <w:jc w:val="both"/>
        <w:rPr>
          <w:rFonts w:cs="Arial"/>
        </w:rPr>
      </w:pPr>
      <w:r w:rsidRPr="00FC2DC7">
        <w:rPr>
          <w:rFonts w:cs="Arial"/>
        </w:rPr>
        <w:t>Businesses felt that completing paperwork and keeping up to dates with new regulations one of the biggest burdens.  However, 68.7% found getting advice on regulatory matters either very easy or fairly easy.  The majority use Council or government websites to access advice and support.</w:t>
      </w:r>
    </w:p>
    <w:p w:rsidR="004B5DE5" w:rsidRDefault="00D51F5D">
      <w:pPr>
        <w:spacing w:after="200" w:line="276" w:lineRule="auto"/>
        <w:jc w:val="both"/>
        <w:rPr>
          <w:rFonts w:cs="Arial"/>
        </w:rPr>
      </w:pPr>
      <w:r w:rsidRPr="00FC2DC7">
        <w:rPr>
          <w:rFonts w:cs="Arial"/>
        </w:rPr>
        <w:t>Most people would not be willing to pay for specific business advice, support or training on regulatory matters but the majority of them would find a single contact point for all regulatory matters</w:t>
      </w:r>
      <w:r w:rsidR="001B512E">
        <w:rPr>
          <w:rFonts w:cs="Arial"/>
        </w:rPr>
        <w:t xml:space="preserve"> helpful. Currently most businesses</w:t>
      </w:r>
      <w:r w:rsidRPr="00FC2DC7">
        <w:rPr>
          <w:rFonts w:cs="Arial"/>
        </w:rPr>
        <w:t xml:space="preserve"> contact regulatory services via the telephone and most go to government department websites for advice and support on regulatory matters. The majority of respondents would prefer to receive information about complying with regulation via email.</w:t>
      </w:r>
    </w:p>
    <w:p w:rsidR="004B5DE5" w:rsidRDefault="00D51F5D">
      <w:pPr>
        <w:spacing w:after="200" w:line="276" w:lineRule="auto"/>
        <w:jc w:val="both"/>
        <w:rPr>
          <w:rFonts w:cs="Arial"/>
        </w:rPr>
      </w:pPr>
      <w:r w:rsidRPr="00FC2DC7">
        <w:rPr>
          <w:rFonts w:cs="Arial"/>
        </w:rPr>
        <w:t>The majority of respondents feel it is either very easy or easy to get advice on regulatory matters and most respondents feel there is no other information or advice on regulation they would like that they are not currently receiving.</w:t>
      </w:r>
    </w:p>
    <w:p w:rsidR="00D51F5D" w:rsidRPr="00FC2DC7" w:rsidRDefault="00D51F5D"/>
    <w:sectPr w:rsidR="00D51F5D" w:rsidRPr="00FC2DC7" w:rsidSect="000C39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B2" w:rsidRDefault="00F848B2" w:rsidP="00E60327">
      <w:r>
        <w:separator/>
      </w:r>
    </w:p>
  </w:endnote>
  <w:endnote w:type="continuationSeparator" w:id="0">
    <w:p w:rsidR="00F848B2" w:rsidRDefault="00F848B2" w:rsidP="00E60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B2" w:rsidRDefault="00F848B2" w:rsidP="00E60327">
      <w:r>
        <w:separator/>
      </w:r>
    </w:p>
  </w:footnote>
  <w:footnote w:type="continuationSeparator" w:id="0">
    <w:p w:rsidR="00F848B2" w:rsidRDefault="00F848B2" w:rsidP="00E60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14193"/>
    <w:multiLevelType w:val="hybridMultilevel"/>
    <w:tmpl w:val="38824476"/>
    <w:lvl w:ilvl="0" w:tplc="02223E4A">
      <w:start w:val="1"/>
      <w:numFmt w:val="decimal"/>
      <w:lvlText w:val="%1."/>
      <w:lvlJc w:val="left"/>
      <w:pPr>
        <w:ind w:left="3338"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354257B2"/>
    <w:multiLevelType w:val="hybridMultilevel"/>
    <w:tmpl w:val="39F0F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15560F"/>
    <w:multiLevelType w:val="hybridMultilevel"/>
    <w:tmpl w:val="746E43E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411"/>
    <w:rsid w:val="000C3916"/>
    <w:rsid w:val="00160E32"/>
    <w:rsid w:val="0018006C"/>
    <w:rsid w:val="001B512E"/>
    <w:rsid w:val="003C6411"/>
    <w:rsid w:val="003D3D83"/>
    <w:rsid w:val="004B5DE5"/>
    <w:rsid w:val="004F298D"/>
    <w:rsid w:val="00540E27"/>
    <w:rsid w:val="00553866"/>
    <w:rsid w:val="00610B49"/>
    <w:rsid w:val="006A4ABE"/>
    <w:rsid w:val="00710CE1"/>
    <w:rsid w:val="007235DF"/>
    <w:rsid w:val="007C7D02"/>
    <w:rsid w:val="007D72B8"/>
    <w:rsid w:val="00955ABB"/>
    <w:rsid w:val="0099373C"/>
    <w:rsid w:val="00A15885"/>
    <w:rsid w:val="00A678D7"/>
    <w:rsid w:val="00AD1311"/>
    <w:rsid w:val="00B65EC1"/>
    <w:rsid w:val="00BC7292"/>
    <w:rsid w:val="00D1459F"/>
    <w:rsid w:val="00D515BA"/>
    <w:rsid w:val="00D51F5D"/>
    <w:rsid w:val="00D6170F"/>
    <w:rsid w:val="00D95C51"/>
    <w:rsid w:val="00E60327"/>
    <w:rsid w:val="00F217E6"/>
    <w:rsid w:val="00F61E2D"/>
    <w:rsid w:val="00F848B2"/>
    <w:rsid w:val="00FC2DC7"/>
    <w:rsid w:val="00FF34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5885"/>
    <w:pPr>
      <w:ind w:left="720"/>
      <w:contextualSpacing/>
    </w:pPr>
    <w:rPr>
      <w:rFonts w:ascii="Arial" w:hAnsi="Arial"/>
      <w:sz w:val="24"/>
    </w:rPr>
  </w:style>
  <w:style w:type="character" w:customStyle="1" w:styleId="ConsultationReportHeading1Char">
    <w:name w:val="Consultation Report Heading 1 Char"/>
    <w:basedOn w:val="DefaultParagraphFont"/>
    <w:link w:val="ConsultationReportHeading1"/>
    <w:locked/>
    <w:rsid w:val="00A15885"/>
    <w:rPr>
      <w:rFonts w:ascii="Arial" w:hAnsi="Arial" w:cs="Arial"/>
      <w:b/>
      <w:sz w:val="28"/>
      <w:szCs w:val="28"/>
      <w:u w:val="single"/>
    </w:rPr>
  </w:style>
  <w:style w:type="paragraph" w:customStyle="1" w:styleId="ConsultationReportHeading1">
    <w:name w:val="Consultation Report Heading 1"/>
    <w:basedOn w:val="Normal"/>
    <w:link w:val="ConsultationReportHeading1Char"/>
    <w:qFormat/>
    <w:rsid w:val="00A15885"/>
    <w:pPr>
      <w:spacing w:after="200" w:line="276" w:lineRule="auto"/>
    </w:pPr>
    <w:rPr>
      <w:rFonts w:ascii="Arial" w:hAnsi="Arial" w:cs="Arial"/>
      <w:b/>
      <w:sz w:val="28"/>
      <w:szCs w:val="28"/>
      <w:u w:val="single"/>
    </w:rPr>
  </w:style>
  <w:style w:type="paragraph" w:styleId="NoSpacing">
    <w:name w:val="No Spacing"/>
    <w:uiPriority w:val="99"/>
    <w:qFormat/>
    <w:rsid w:val="00D1459F"/>
    <w:rPr>
      <w:rFonts w:ascii="Arial" w:hAnsi="Arial"/>
      <w:sz w:val="24"/>
    </w:rPr>
  </w:style>
  <w:style w:type="paragraph" w:styleId="Header">
    <w:name w:val="header"/>
    <w:basedOn w:val="Normal"/>
    <w:link w:val="HeaderChar"/>
    <w:uiPriority w:val="99"/>
    <w:unhideWhenUsed/>
    <w:rsid w:val="00E60327"/>
    <w:pPr>
      <w:tabs>
        <w:tab w:val="center" w:pos="4513"/>
        <w:tab w:val="right" w:pos="9026"/>
      </w:tabs>
    </w:pPr>
  </w:style>
  <w:style w:type="character" w:customStyle="1" w:styleId="HeaderChar">
    <w:name w:val="Header Char"/>
    <w:basedOn w:val="DefaultParagraphFont"/>
    <w:link w:val="Header"/>
    <w:uiPriority w:val="99"/>
    <w:rsid w:val="00E60327"/>
  </w:style>
  <w:style w:type="paragraph" w:styleId="Footer">
    <w:name w:val="footer"/>
    <w:basedOn w:val="Normal"/>
    <w:link w:val="FooterChar"/>
    <w:uiPriority w:val="99"/>
    <w:unhideWhenUsed/>
    <w:rsid w:val="00E60327"/>
    <w:pPr>
      <w:tabs>
        <w:tab w:val="center" w:pos="4513"/>
        <w:tab w:val="right" w:pos="9026"/>
      </w:tabs>
    </w:pPr>
  </w:style>
  <w:style w:type="character" w:customStyle="1" w:styleId="FooterChar">
    <w:name w:val="Footer Char"/>
    <w:basedOn w:val="DefaultParagraphFont"/>
    <w:link w:val="Footer"/>
    <w:uiPriority w:val="99"/>
    <w:rsid w:val="00E60327"/>
  </w:style>
  <w:style w:type="paragraph" w:styleId="BalloonText">
    <w:name w:val="Balloon Text"/>
    <w:basedOn w:val="Normal"/>
    <w:link w:val="BalloonTextChar"/>
    <w:uiPriority w:val="99"/>
    <w:semiHidden/>
    <w:unhideWhenUsed/>
    <w:rsid w:val="007235DF"/>
    <w:rPr>
      <w:rFonts w:ascii="Tahoma" w:hAnsi="Tahoma" w:cs="Tahoma"/>
      <w:sz w:val="16"/>
      <w:szCs w:val="16"/>
    </w:rPr>
  </w:style>
  <w:style w:type="character" w:customStyle="1" w:styleId="BalloonTextChar">
    <w:name w:val="Balloon Text Char"/>
    <w:basedOn w:val="DefaultParagraphFont"/>
    <w:link w:val="BalloonText"/>
    <w:uiPriority w:val="99"/>
    <w:semiHidden/>
    <w:rsid w:val="00723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361838">
      <w:bodyDiv w:val="1"/>
      <w:marLeft w:val="0"/>
      <w:marRight w:val="0"/>
      <w:marTop w:val="0"/>
      <w:marBottom w:val="0"/>
      <w:divBdr>
        <w:top w:val="none" w:sz="0" w:space="0" w:color="auto"/>
        <w:left w:val="none" w:sz="0" w:space="0" w:color="auto"/>
        <w:bottom w:val="none" w:sz="0" w:space="0" w:color="auto"/>
        <w:right w:val="none" w:sz="0" w:space="0" w:color="auto"/>
      </w:divBdr>
    </w:div>
    <w:div w:id="502085141">
      <w:bodyDiv w:val="1"/>
      <w:marLeft w:val="0"/>
      <w:marRight w:val="0"/>
      <w:marTop w:val="0"/>
      <w:marBottom w:val="0"/>
      <w:divBdr>
        <w:top w:val="none" w:sz="0" w:space="0" w:color="auto"/>
        <w:left w:val="none" w:sz="0" w:space="0" w:color="auto"/>
        <w:bottom w:val="none" w:sz="0" w:space="0" w:color="auto"/>
        <w:right w:val="none" w:sz="0" w:space="0" w:color="auto"/>
      </w:divBdr>
    </w:div>
    <w:div w:id="564143697">
      <w:bodyDiv w:val="1"/>
      <w:marLeft w:val="0"/>
      <w:marRight w:val="0"/>
      <w:marTop w:val="0"/>
      <w:marBottom w:val="0"/>
      <w:divBdr>
        <w:top w:val="none" w:sz="0" w:space="0" w:color="auto"/>
        <w:left w:val="none" w:sz="0" w:space="0" w:color="auto"/>
        <w:bottom w:val="none" w:sz="0" w:space="0" w:color="auto"/>
        <w:right w:val="none" w:sz="0" w:space="0" w:color="auto"/>
      </w:divBdr>
    </w:div>
    <w:div w:id="679819984">
      <w:bodyDiv w:val="1"/>
      <w:marLeft w:val="0"/>
      <w:marRight w:val="0"/>
      <w:marTop w:val="0"/>
      <w:marBottom w:val="0"/>
      <w:divBdr>
        <w:top w:val="none" w:sz="0" w:space="0" w:color="auto"/>
        <w:left w:val="none" w:sz="0" w:space="0" w:color="auto"/>
        <w:bottom w:val="none" w:sz="0" w:space="0" w:color="auto"/>
        <w:right w:val="none" w:sz="0" w:space="0" w:color="auto"/>
      </w:divBdr>
    </w:div>
    <w:div w:id="1207454589">
      <w:bodyDiv w:val="1"/>
      <w:marLeft w:val="0"/>
      <w:marRight w:val="0"/>
      <w:marTop w:val="0"/>
      <w:marBottom w:val="0"/>
      <w:divBdr>
        <w:top w:val="none" w:sz="0" w:space="0" w:color="auto"/>
        <w:left w:val="none" w:sz="0" w:space="0" w:color="auto"/>
        <w:bottom w:val="none" w:sz="0" w:space="0" w:color="auto"/>
        <w:right w:val="none" w:sz="0" w:space="0" w:color="auto"/>
      </w:divBdr>
    </w:div>
    <w:div w:id="1217813275">
      <w:bodyDiv w:val="1"/>
      <w:marLeft w:val="0"/>
      <w:marRight w:val="0"/>
      <w:marTop w:val="0"/>
      <w:marBottom w:val="0"/>
      <w:divBdr>
        <w:top w:val="none" w:sz="0" w:space="0" w:color="auto"/>
        <w:left w:val="none" w:sz="0" w:space="0" w:color="auto"/>
        <w:bottom w:val="none" w:sz="0" w:space="0" w:color="auto"/>
        <w:right w:val="none" w:sz="0" w:space="0" w:color="auto"/>
      </w:divBdr>
    </w:div>
    <w:div w:id="1255670591">
      <w:bodyDiv w:val="1"/>
      <w:marLeft w:val="0"/>
      <w:marRight w:val="0"/>
      <w:marTop w:val="0"/>
      <w:marBottom w:val="0"/>
      <w:divBdr>
        <w:top w:val="none" w:sz="0" w:space="0" w:color="auto"/>
        <w:left w:val="none" w:sz="0" w:space="0" w:color="auto"/>
        <w:bottom w:val="none" w:sz="0" w:space="0" w:color="auto"/>
        <w:right w:val="none" w:sz="0" w:space="0" w:color="auto"/>
      </w:divBdr>
    </w:div>
    <w:div w:id="1380788280">
      <w:bodyDiv w:val="1"/>
      <w:marLeft w:val="0"/>
      <w:marRight w:val="0"/>
      <w:marTop w:val="0"/>
      <w:marBottom w:val="0"/>
      <w:divBdr>
        <w:top w:val="none" w:sz="0" w:space="0" w:color="auto"/>
        <w:left w:val="none" w:sz="0" w:space="0" w:color="auto"/>
        <w:bottom w:val="none" w:sz="0" w:space="0" w:color="auto"/>
        <w:right w:val="none" w:sz="0" w:space="0" w:color="auto"/>
      </w:divBdr>
    </w:div>
    <w:div w:id="1442070918">
      <w:bodyDiv w:val="1"/>
      <w:marLeft w:val="0"/>
      <w:marRight w:val="0"/>
      <w:marTop w:val="0"/>
      <w:marBottom w:val="0"/>
      <w:divBdr>
        <w:top w:val="none" w:sz="0" w:space="0" w:color="auto"/>
        <w:left w:val="none" w:sz="0" w:space="0" w:color="auto"/>
        <w:bottom w:val="none" w:sz="0" w:space="0" w:color="auto"/>
        <w:right w:val="none" w:sz="0" w:space="0" w:color="auto"/>
      </w:divBdr>
    </w:div>
    <w:div w:id="1588660572">
      <w:bodyDiv w:val="1"/>
      <w:marLeft w:val="0"/>
      <w:marRight w:val="0"/>
      <w:marTop w:val="0"/>
      <w:marBottom w:val="0"/>
      <w:divBdr>
        <w:top w:val="none" w:sz="0" w:space="0" w:color="auto"/>
        <w:left w:val="none" w:sz="0" w:space="0" w:color="auto"/>
        <w:bottom w:val="none" w:sz="0" w:space="0" w:color="auto"/>
        <w:right w:val="none" w:sz="0" w:space="0" w:color="auto"/>
      </w:divBdr>
    </w:div>
    <w:div w:id="1860242549">
      <w:bodyDiv w:val="1"/>
      <w:marLeft w:val="0"/>
      <w:marRight w:val="0"/>
      <w:marTop w:val="0"/>
      <w:marBottom w:val="0"/>
      <w:divBdr>
        <w:top w:val="none" w:sz="0" w:space="0" w:color="auto"/>
        <w:left w:val="none" w:sz="0" w:space="0" w:color="auto"/>
        <w:bottom w:val="none" w:sz="0" w:space="0" w:color="auto"/>
        <w:right w:val="none" w:sz="0" w:space="0" w:color="auto"/>
      </w:divBdr>
    </w:div>
    <w:div w:id="19348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Barr</dc:creator>
  <cp:lastModifiedBy>cseb451</cp:lastModifiedBy>
  <cp:revision>1</cp:revision>
  <dcterms:created xsi:type="dcterms:W3CDTF">2016-08-31T13:22:00Z</dcterms:created>
  <dcterms:modified xsi:type="dcterms:W3CDTF">2016-08-31T13:22:00Z</dcterms:modified>
</cp:coreProperties>
</file>