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F69" w:rsidRDefault="00362B97">
      <w:r>
        <w:rPr>
          <w:noProof/>
          <w:lang w:val="en-GB" w:eastAsia="en-GB" w:bidi="ar-SA"/>
        </w:rPr>
        <mc:AlternateContent>
          <mc:Choice Requires="wps">
            <w:drawing>
              <wp:anchor distT="0" distB="0" distL="114300" distR="114300" simplePos="0" relativeHeight="251667456" behindDoc="0" locked="0" layoutInCell="1" allowOverlap="1">
                <wp:simplePos x="0" y="0"/>
                <wp:positionH relativeFrom="column">
                  <wp:posOffset>-292735</wp:posOffset>
                </wp:positionH>
                <wp:positionV relativeFrom="paragraph">
                  <wp:posOffset>6231890</wp:posOffset>
                </wp:positionV>
                <wp:extent cx="7078345" cy="2607310"/>
                <wp:effectExtent l="0" t="0" r="825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260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FB7" w:rsidRDefault="00905FB7" w:rsidP="00C730E3">
                            <w:pPr>
                              <w:pStyle w:val="covertitle"/>
                              <w:rPr>
                                <w:color w:val="FFFFFF" w:themeColor="background1"/>
                                <w:sz w:val="64"/>
                                <w:szCs w:val="64"/>
                              </w:rPr>
                            </w:pPr>
                            <w:r>
                              <w:rPr>
                                <w:color w:val="FFFFFF" w:themeColor="background1"/>
                                <w:sz w:val="64"/>
                                <w:szCs w:val="64"/>
                              </w:rPr>
                              <w:t>Community Infrastructure Levy</w:t>
                            </w:r>
                          </w:p>
                          <w:p w:rsidR="00905FB7" w:rsidRDefault="00905FB7" w:rsidP="00C730E3">
                            <w:pPr>
                              <w:pStyle w:val="covertitle"/>
                              <w:rPr>
                                <w:color w:val="FFFFFF" w:themeColor="background1"/>
                                <w:sz w:val="64"/>
                                <w:szCs w:val="64"/>
                              </w:rPr>
                            </w:pPr>
                            <w:r>
                              <w:rPr>
                                <w:color w:val="FFFFFF" w:themeColor="background1"/>
                                <w:sz w:val="64"/>
                                <w:szCs w:val="64"/>
                              </w:rPr>
                              <w:t>Charging Schedule</w:t>
                            </w:r>
                          </w:p>
                          <w:p w:rsidR="00D84CCB" w:rsidRDefault="00905FB7" w:rsidP="00C730E3">
                            <w:pPr>
                              <w:pStyle w:val="covertitle"/>
                              <w:rPr>
                                <w:color w:val="FFFFFF" w:themeColor="background1"/>
                                <w:sz w:val="64"/>
                                <w:szCs w:val="64"/>
                              </w:rPr>
                            </w:pPr>
                            <w:r>
                              <w:rPr>
                                <w:color w:val="FFFFFF" w:themeColor="background1"/>
                                <w:sz w:val="64"/>
                                <w:szCs w:val="64"/>
                              </w:rPr>
                              <w:t xml:space="preserve">May </w:t>
                            </w:r>
                            <w:r w:rsidRPr="009321C3">
                              <w:rPr>
                                <w:color w:val="FFFFFF" w:themeColor="background1"/>
                                <w:sz w:val="64"/>
                                <w:szCs w:val="64"/>
                              </w:rPr>
                              <w:t>2017</w:t>
                            </w:r>
                            <w:r w:rsidR="00D84CCB">
                              <w:rPr>
                                <w:color w:val="FFFFFF" w:themeColor="background1"/>
                                <w:sz w:val="64"/>
                                <w:szCs w:val="64"/>
                              </w:rPr>
                              <w:t xml:space="preserve"> </w:t>
                            </w:r>
                          </w:p>
                          <w:p w:rsidR="00905FB7" w:rsidRPr="00D84CCB" w:rsidRDefault="00D84CCB" w:rsidP="00C730E3">
                            <w:pPr>
                              <w:pStyle w:val="covertitle"/>
                              <w:rPr>
                                <w:color w:val="FFFFFF" w:themeColor="background1"/>
                                <w:sz w:val="24"/>
                                <w:szCs w:val="24"/>
                              </w:rPr>
                            </w:pPr>
                            <w:r w:rsidRPr="00D84CCB">
                              <w:rPr>
                                <w:color w:val="FFFFFF" w:themeColor="background1"/>
                                <w:sz w:val="24"/>
                                <w:szCs w:val="24"/>
                              </w:rPr>
                              <w:t>(Minor clarification</w:t>
                            </w:r>
                            <w:r>
                              <w:rPr>
                                <w:color w:val="FFFFFF" w:themeColor="background1"/>
                                <w:sz w:val="24"/>
                                <w:szCs w:val="24"/>
                              </w:rPr>
                              <w:t xml:space="preserve"> to commercial CIL</w:t>
                            </w:r>
                            <w:r w:rsidRPr="00D84CCB">
                              <w:rPr>
                                <w:color w:val="FFFFFF" w:themeColor="background1"/>
                                <w:sz w:val="24"/>
                                <w:szCs w:val="24"/>
                              </w:rPr>
                              <w:t>, October 2020)</w:t>
                            </w:r>
                          </w:p>
                          <w:p w:rsidR="00D84CCB" w:rsidRDefault="00D84CCB" w:rsidP="00C730E3">
                            <w:pPr>
                              <w:pStyle w:val="covertitle"/>
                              <w:rPr>
                                <w:color w:val="FFFFFF" w:themeColor="background1"/>
                                <w:sz w:val="64"/>
                                <w:szCs w:val="64"/>
                              </w:rPr>
                            </w:pPr>
                          </w:p>
                          <w:p w:rsidR="00D84CCB" w:rsidRPr="009321C3" w:rsidRDefault="00D84CCB" w:rsidP="00C730E3">
                            <w:pPr>
                              <w:pStyle w:val="covertitle"/>
                              <w:rPr>
                                <w:color w:val="FFFFFF" w:themeColor="background1"/>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5pt;margin-top:490.7pt;width:557.35pt;height:20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CPsQ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" filled="f" stroked="f">
                <v:textbox inset="0,0,0,0">
                  <w:txbxContent>
                    <w:p w:rsidR="00905FB7" w:rsidRDefault="00905FB7" w:rsidP="00C730E3">
                      <w:pPr>
                        <w:pStyle w:val="covertitle"/>
                        <w:rPr>
                          <w:color w:val="FFFFFF" w:themeColor="background1"/>
                          <w:sz w:val="64"/>
                          <w:szCs w:val="64"/>
                        </w:rPr>
                      </w:pPr>
                      <w:r>
                        <w:rPr>
                          <w:color w:val="FFFFFF" w:themeColor="background1"/>
                          <w:sz w:val="64"/>
                          <w:szCs w:val="64"/>
                        </w:rPr>
                        <w:t>Community Infrastructure Levy</w:t>
                      </w:r>
                    </w:p>
                    <w:p w:rsidR="00905FB7" w:rsidRDefault="00905FB7" w:rsidP="00C730E3">
                      <w:pPr>
                        <w:pStyle w:val="covertitle"/>
                        <w:rPr>
                          <w:color w:val="FFFFFF" w:themeColor="background1"/>
                          <w:sz w:val="64"/>
                          <w:szCs w:val="64"/>
                        </w:rPr>
                      </w:pPr>
                      <w:r>
                        <w:rPr>
                          <w:color w:val="FFFFFF" w:themeColor="background1"/>
                          <w:sz w:val="64"/>
                          <w:szCs w:val="64"/>
                        </w:rPr>
                        <w:t>Charging Schedule</w:t>
                      </w:r>
                    </w:p>
                    <w:p w:rsidR="00D84CCB" w:rsidRDefault="00905FB7" w:rsidP="00C730E3">
                      <w:pPr>
                        <w:pStyle w:val="covertitle"/>
                        <w:rPr>
                          <w:color w:val="FFFFFF" w:themeColor="background1"/>
                          <w:sz w:val="64"/>
                          <w:szCs w:val="64"/>
                        </w:rPr>
                      </w:pPr>
                      <w:r>
                        <w:rPr>
                          <w:color w:val="FFFFFF" w:themeColor="background1"/>
                          <w:sz w:val="64"/>
                          <w:szCs w:val="64"/>
                        </w:rPr>
                        <w:t xml:space="preserve">May </w:t>
                      </w:r>
                      <w:r w:rsidRPr="009321C3">
                        <w:rPr>
                          <w:color w:val="FFFFFF" w:themeColor="background1"/>
                          <w:sz w:val="64"/>
                          <w:szCs w:val="64"/>
                        </w:rPr>
                        <w:t>2017</w:t>
                      </w:r>
                      <w:r w:rsidR="00D84CCB">
                        <w:rPr>
                          <w:color w:val="FFFFFF" w:themeColor="background1"/>
                          <w:sz w:val="64"/>
                          <w:szCs w:val="64"/>
                        </w:rPr>
                        <w:t xml:space="preserve"> </w:t>
                      </w:r>
                    </w:p>
                    <w:p w:rsidR="00905FB7" w:rsidRPr="00D84CCB" w:rsidRDefault="00D84CCB" w:rsidP="00C730E3">
                      <w:pPr>
                        <w:pStyle w:val="covertitle"/>
                        <w:rPr>
                          <w:color w:val="FFFFFF" w:themeColor="background1"/>
                          <w:sz w:val="24"/>
                          <w:szCs w:val="24"/>
                        </w:rPr>
                      </w:pPr>
                      <w:r w:rsidRPr="00D84CCB">
                        <w:rPr>
                          <w:color w:val="FFFFFF" w:themeColor="background1"/>
                          <w:sz w:val="24"/>
                          <w:szCs w:val="24"/>
                        </w:rPr>
                        <w:t>(Minor clarification</w:t>
                      </w:r>
                      <w:r>
                        <w:rPr>
                          <w:color w:val="FFFFFF" w:themeColor="background1"/>
                          <w:sz w:val="24"/>
                          <w:szCs w:val="24"/>
                        </w:rPr>
                        <w:t xml:space="preserve"> to commercial CIL</w:t>
                      </w:r>
                      <w:r w:rsidRPr="00D84CCB">
                        <w:rPr>
                          <w:color w:val="FFFFFF" w:themeColor="background1"/>
                          <w:sz w:val="24"/>
                          <w:szCs w:val="24"/>
                        </w:rPr>
                        <w:t>, October 2020)</w:t>
                      </w:r>
                    </w:p>
                    <w:p w:rsidR="00D84CCB" w:rsidRDefault="00D84CCB" w:rsidP="00C730E3">
                      <w:pPr>
                        <w:pStyle w:val="covertitle"/>
                        <w:rPr>
                          <w:color w:val="FFFFFF" w:themeColor="background1"/>
                          <w:sz w:val="64"/>
                          <w:szCs w:val="64"/>
                        </w:rPr>
                      </w:pPr>
                    </w:p>
                    <w:p w:rsidR="00D84CCB" w:rsidRPr="009321C3" w:rsidRDefault="00D84CCB" w:rsidP="00C730E3">
                      <w:pPr>
                        <w:pStyle w:val="covertitle"/>
                        <w:rPr>
                          <w:color w:val="FFFFFF" w:themeColor="background1"/>
                          <w:sz w:val="64"/>
                          <w:szCs w:val="64"/>
                        </w:rPr>
                      </w:pPr>
                    </w:p>
                  </w:txbxContent>
                </v:textbox>
              </v:shape>
            </w:pict>
          </mc:Fallback>
        </mc:AlternateContent>
      </w:r>
      <w:r w:rsidR="009F0E3C">
        <w:rPr>
          <w:noProof/>
          <w:lang w:val="en-GB" w:eastAsia="en-GB" w:bidi="ar-SA"/>
        </w:rPr>
        <w:drawing>
          <wp:anchor distT="0" distB="0" distL="114300" distR="114300" simplePos="0" relativeHeight="251669504" behindDoc="1" locked="0" layoutInCell="1" allowOverlap="1">
            <wp:simplePos x="0" y="0"/>
            <wp:positionH relativeFrom="column">
              <wp:posOffset>-368935</wp:posOffset>
            </wp:positionH>
            <wp:positionV relativeFrom="paragraph">
              <wp:posOffset>5927090</wp:posOffset>
            </wp:positionV>
            <wp:extent cx="7343775" cy="1924050"/>
            <wp:effectExtent l="19050" t="0" r="9525" b="0"/>
            <wp:wrapNone/>
            <wp:docPr id="2"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8" cstate="print"/>
                    <a:srcRect t="78629" r="2652" b="10062"/>
                    <a:stretch>
                      <a:fillRect/>
                    </a:stretch>
                  </pic:blipFill>
                  <pic:spPr>
                    <a:xfrm>
                      <a:off x="0" y="0"/>
                      <a:ext cx="7343775" cy="1924050"/>
                    </a:xfrm>
                    <a:prstGeom prst="rect">
                      <a:avLst/>
                    </a:prstGeom>
                  </pic:spPr>
                </pic:pic>
              </a:graphicData>
            </a:graphic>
          </wp:anchor>
        </w:drawing>
      </w:r>
      <w:r w:rsidR="009F0E3C">
        <w:rPr>
          <w:noProof/>
          <w:lang w:val="en-GB" w:eastAsia="en-GB" w:bidi="ar-SA"/>
        </w:rPr>
        <w:drawing>
          <wp:anchor distT="0" distB="0" distL="114300" distR="114300" simplePos="0" relativeHeight="251661312" behindDoc="1" locked="0" layoutInCell="1" allowOverlap="1">
            <wp:simplePos x="0" y="0"/>
            <wp:positionH relativeFrom="column">
              <wp:posOffset>-559435</wp:posOffset>
            </wp:positionH>
            <wp:positionV relativeFrom="paragraph">
              <wp:posOffset>-568960</wp:posOffset>
            </wp:positionV>
            <wp:extent cx="7583805" cy="10753725"/>
            <wp:effectExtent l="19050" t="0" r="0" b="0"/>
            <wp:wrapNone/>
            <wp:docPr id="7"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8" cstate="print"/>
                    <a:stretch>
                      <a:fillRect/>
                    </a:stretch>
                  </pic:blipFill>
                  <pic:spPr>
                    <a:xfrm>
                      <a:off x="0" y="0"/>
                      <a:ext cx="7583805" cy="10753725"/>
                    </a:xfrm>
                    <a:prstGeom prst="rect">
                      <a:avLst/>
                    </a:prstGeom>
                  </pic:spPr>
                </pic:pic>
              </a:graphicData>
            </a:graphic>
          </wp:anchor>
        </w:drawing>
      </w:r>
      <w:r w:rsidR="002013F8">
        <w:t xml:space="preserve"> </w:t>
      </w:r>
      <w:r w:rsidR="0038010E">
        <w:br w:type="page"/>
      </w:r>
    </w:p>
    <w:tbl>
      <w:tblPr>
        <w:tblStyle w:val="calloutbox"/>
        <w:tblW w:w="0" w:type="auto"/>
        <w:tblLook w:val="04A0" w:firstRow="1" w:lastRow="0" w:firstColumn="1" w:lastColumn="0" w:noHBand="0" w:noVBand="1"/>
      </w:tblPr>
      <w:tblGrid>
        <w:gridCol w:w="10204"/>
      </w:tblGrid>
      <w:tr w:rsidR="00583F69" w:rsidTr="00352EEB">
        <w:tc>
          <w:tcPr>
            <w:tcW w:w="10420" w:type="dxa"/>
          </w:tcPr>
          <w:p w:rsidR="00583F69" w:rsidRDefault="00583F69" w:rsidP="002E2559">
            <w:pPr>
              <w:pStyle w:val="Calloutboxheading"/>
            </w:pPr>
            <w:r>
              <w:lastRenderedPageBreak/>
              <w:br w:type="page"/>
            </w:r>
            <w:r w:rsidR="007B19E6">
              <w:t>Th</w:t>
            </w:r>
            <w:r w:rsidR="00A055DE">
              <w:t>e Community Infrastructure Levy</w:t>
            </w:r>
            <w:r w:rsidR="007B19E6">
              <w:t xml:space="preserve"> Charging Schedule</w:t>
            </w:r>
            <w:r w:rsidR="007B00FA">
              <w:t xml:space="preserve"> is available…</w:t>
            </w:r>
          </w:p>
          <w:p w:rsidR="00583F69" w:rsidRPr="00583F69" w:rsidRDefault="00583F69" w:rsidP="002E2559">
            <w:pPr>
              <w:pStyle w:val="Calloutboxheading"/>
              <w:rPr>
                <w:sz w:val="24"/>
                <w:szCs w:val="24"/>
              </w:rPr>
            </w:pPr>
          </w:p>
          <w:p w:rsidR="00583F69" w:rsidRPr="002E2559" w:rsidRDefault="00583F69" w:rsidP="002E2559">
            <w:pPr>
              <w:pStyle w:val="Calloutboxheading"/>
              <w:spacing w:after="0"/>
              <w:rPr>
                <w:sz w:val="24"/>
                <w:szCs w:val="24"/>
              </w:rPr>
            </w:pPr>
            <w:r w:rsidRPr="002E2559">
              <w:rPr>
                <w:sz w:val="24"/>
                <w:szCs w:val="24"/>
              </w:rPr>
              <w:t>on the Torbay Council Website:</w:t>
            </w:r>
          </w:p>
          <w:p w:rsidR="00583F69" w:rsidRPr="002E2559" w:rsidRDefault="00657CBC" w:rsidP="002E2559">
            <w:pPr>
              <w:pStyle w:val="Calloutboxheading"/>
              <w:spacing w:after="0"/>
              <w:rPr>
                <w:sz w:val="24"/>
                <w:szCs w:val="24"/>
              </w:rPr>
            </w:pPr>
            <w:hyperlink r:id="rId9" w:history="1">
              <w:r w:rsidR="00905FB7" w:rsidRPr="00C40A6F">
                <w:rPr>
                  <w:rStyle w:val="Hyperlink"/>
                  <w:sz w:val="24"/>
                  <w:szCs w:val="24"/>
                </w:rPr>
                <w:t>www.torbay.gov.uk/CIL</w:t>
              </w:r>
            </w:hyperlink>
          </w:p>
          <w:p w:rsidR="009321C3" w:rsidRPr="002E2559" w:rsidRDefault="009321C3" w:rsidP="002E2559">
            <w:pPr>
              <w:pStyle w:val="Calloutboxheading"/>
              <w:spacing w:after="0"/>
              <w:rPr>
                <w:sz w:val="24"/>
                <w:szCs w:val="24"/>
              </w:rPr>
            </w:pPr>
          </w:p>
          <w:p w:rsidR="009321C3" w:rsidRPr="002E2559" w:rsidRDefault="00583F69" w:rsidP="002E2559">
            <w:pPr>
              <w:pStyle w:val="Calloutboxheading"/>
              <w:spacing w:after="0"/>
              <w:rPr>
                <w:sz w:val="24"/>
                <w:szCs w:val="24"/>
              </w:rPr>
            </w:pPr>
            <w:r w:rsidRPr="002E2559">
              <w:rPr>
                <w:sz w:val="24"/>
                <w:szCs w:val="24"/>
              </w:rPr>
              <w:t>and at Torbay Co</w:t>
            </w:r>
            <w:r w:rsidR="002E2559" w:rsidRPr="002E2559">
              <w:rPr>
                <w:sz w:val="24"/>
                <w:szCs w:val="24"/>
              </w:rPr>
              <w:t>uncil’s Spatial Planning Office</w:t>
            </w:r>
            <w:r w:rsidRPr="002E2559">
              <w:rPr>
                <w:sz w:val="24"/>
                <w:szCs w:val="24"/>
              </w:rPr>
              <w:t xml:space="preserve"> at</w:t>
            </w:r>
            <w:r w:rsidR="007B00FA">
              <w:rPr>
                <w:sz w:val="24"/>
                <w:szCs w:val="24"/>
              </w:rPr>
              <w:t>:</w:t>
            </w:r>
            <w:r w:rsidRPr="002E2559">
              <w:rPr>
                <w:sz w:val="24"/>
                <w:szCs w:val="24"/>
              </w:rPr>
              <w:t xml:space="preserve"> </w:t>
            </w:r>
          </w:p>
          <w:p w:rsidR="00583F69" w:rsidRPr="002E2559" w:rsidRDefault="009321C3" w:rsidP="002E2559">
            <w:pPr>
              <w:pStyle w:val="Calloutboxheading"/>
              <w:spacing w:after="0"/>
              <w:rPr>
                <w:b w:val="0"/>
                <w:sz w:val="24"/>
                <w:szCs w:val="24"/>
              </w:rPr>
            </w:pPr>
            <w:r w:rsidRPr="002E2559">
              <w:rPr>
                <w:sz w:val="24"/>
                <w:szCs w:val="24"/>
              </w:rPr>
              <w:t>2</w:t>
            </w:r>
            <w:r w:rsidRPr="002E2559">
              <w:rPr>
                <w:sz w:val="24"/>
                <w:szCs w:val="24"/>
                <w:vertAlign w:val="superscript"/>
              </w:rPr>
              <w:t>nd</w:t>
            </w:r>
            <w:r w:rsidRPr="002E2559">
              <w:rPr>
                <w:sz w:val="24"/>
                <w:szCs w:val="24"/>
              </w:rPr>
              <w:t xml:space="preserve"> Floor, </w:t>
            </w:r>
            <w:r w:rsidR="00583F69" w:rsidRPr="002E2559">
              <w:rPr>
                <w:sz w:val="24"/>
                <w:szCs w:val="24"/>
              </w:rPr>
              <w:t>Electric House, Castle Circus, Torquay TQ1 3DR</w:t>
            </w:r>
          </w:p>
          <w:p w:rsidR="00583F69" w:rsidRPr="002E2559" w:rsidRDefault="00583F69" w:rsidP="002E2559">
            <w:pPr>
              <w:pStyle w:val="Calloutboxheading"/>
              <w:spacing w:after="0"/>
              <w:rPr>
                <w:b w:val="0"/>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If you would like any further information about this document or any aspect of the Torbay </w:t>
            </w:r>
            <w:r w:rsidR="000431F9" w:rsidRPr="002E2559">
              <w:rPr>
                <w:rFonts w:ascii="Arial" w:hAnsi="Arial" w:cs="Arial"/>
                <w:b/>
                <w:color w:val="672080" w:themeColor="text1"/>
                <w:sz w:val="24"/>
                <w:szCs w:val="24"/>
              </w:rPr>
              <w:t>Local</w:t>
            </w:r>
            <w:r w:rsidRPr="002E2559">
              <w:rPr>
                <w:rFonts w:ascii="Arial" w:hAnsi="Arial" w:cs="Arial"/>
                <w:b/>
                <w:color w:val="672080" w:themeColor="text1"/>
                <w:sz w:val="24"/>
                <w:szCs w:val="24"/>
              </w:rPr>
              <w:t xml:space="preserve"> Plan please use the contact details below:</w:t>
            </w:r>
          </w:p>
          <w:p w:rsidR="002E2559" w:rsidRPr="002E2559" w:rsidRDefault="002E2559" w:rsidP="002E2559">
            <w:pPr>
              <w:rPr>
                <w:rFonts w:ascii="Arial" w:hAnsi="Arial" w:cs="Arial"/>
                <w:b/>
                <w:color w:val="672080" w:themeColor="text1"/>
                <w:sz w:val="24"/>
                <w:szCs w:val="24"/>
              </w:rPr>
            </w:pPr>
          </w:p>
          <w:p w:rsidR="00583F69" w:rsidRPr="002E2559" w:rsidRDefault="009321C3" w:rsidP="002E2559">
            <w:pPr>
              <w:rPr>
                <w:rFonts w:ascii="Arial" w:hAnsi="Arial" w:cs="Arial"/>
                <w:b/>
                <w:color w:val="672080" w:themeColor="text1"/>
                <w:sz w:val="24"/>
                <w:szCs w:val="24"/>
              </w:rPr>
            </w:pPr>
            <w:r w:rsidRPr="002E2559">
              <w:rPr>
                <w:rFonts w:ascii="Arial" w:hAnsi="Arial" w:cs="Arial"/>
                <w:b/>
                <w:color w:val="672080" w:themeColor="text1"/>
                <w:sz w:val="24"/>
                <w:szCs w:val="24"/>
              </w:rPr>
              <w:t>telephone</w:t>
            </w:r>
            <w:r w:rsidR="00583F69" w:rsidRPr="002E2559">
              <w:rPr>
                <w:rFonts w:ascii="Arial" w:hAnsi="Arial" w:cs="Arial"/>
                <w:b/>
                <w:color w:val="672080" w:themeColor="text1"/>
                <w:sz w:val="24"/>
                <w:szCs w:val="24"/>
              </w:rPr>
              <w:t xml:space="preserve">:  </w:t>
            </w:r>
            <w:r w:rsidR="00B22970">
              <w:rPr>
                <w:rFonts w:ascii="Arial" w:hAnsi="Arial" w:cs="Arial"/>
                <w:b/>
                <w:color w:val="672080" w:themeColor="text1"/>
                <w:sz w:val="24"/>
                <w:szCs w:val="24"/>
              </w:rPr>
              <w:t>(</w:t>
            </w:r>
            <w:r w:rsidR="00583F69" w:rsidRPr="002E2559">
              <w:rPr>
                <w:rFonts w:ascii="Arial" w:hAnsi="Arial" w:cs="Arial"/>
                <w:b/>
                <w:color w:val="672080" w:themeColor="text1"/>
                <w:sz w:val="24"/>
                <w:szCs w:val="24"/>
              </w:rPr>
              <w:t>01803</w:t>
            </w:r>
            <w:r w:rsidR="00B22970">
              <w:rPr>
                <w:rFonts w:ascii="Arial" w:hAnsi="Arial" w:cs="Arial"/>
                <w:b/>
                <w:color w:val="672080" w:themeColor="text1"/>
                <w:sz w:val="24"/>
                <w:szCs w:val="24"/>
              </w:rPr>
              <w:t>)</w:t>
            </w:r>
            <w:r w:rsidR="00583F69" w:rsidRPr="002E2559">
              <w:rPr>
                <w:rFonts w:ascii="Arial" w:hAnsi="Arial" w:cs="Arial"/>
                <w:b/>
                <w:color w:val="672080" w:themeColor="text1"/>
                <w:sz w:val="24"/>
                <w:szCs w:val="24"/>
              </w:rPr>
              <w:t xml:space="preserve"> 208804</w:t>
            </w: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email: </w:t>
            </w:r>
            <w:hyperlink r:id="rId10" w:history="1">
              <w:r w:rsidRPr="002E2559">
                <w:rPr>
                  <w:rStyle w:val="Hyperlink"/>
                  <w:rFonts w:ascii="Arial" w:hAnsi="Arial" w:cs="Arial"/>
                  <w:b/>
                  <w:color w:val="672080" w:themeColor="text1"/>
                  <w:sz w:val="24"/>
                  <w:szCs w:val="24"/>
                </w:rPr>
                <w:t>future.planning@torbay.gov.uk</w:t>
              </w:r>
            </w:hyperlink>
          </w:p>
          <w:p w:rsidR="00583F69" w:rsidRPr="002E2559" w:rsidRDefault="00583F6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Other links that will provide more detailed background information on the spatial planning system include:</w:t>
            </w:r>
          </w:p>
          <w:p w:rsidR="00583F69" w:rsidRPr="002E2559" w:rsidRDefault="00583F6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National Planning Policy Framework </w:t>
            </w:r>
            <w:hyperlink r:id="rId11" w:history="1">
              <w:r w:rsidR="00FF1A13" w:rsidRPr="002E2559">
                <w:rPr>
                  <w:rStyle w:val="Hyperlink"/>
                  <w:rFonts w:ascii="Arial" w:hAnsi="Arial" w:cs="Arial"/>
                  <w:b/>
                  <w:color w:val="672080" w:themeColor="text1"/>
                  <w:sz w:val="24"/>
                  <w:szCs w:val="24"/>
                </w:rPr>
                <w:t>www.gov.uk</w:t>
              </w:r>
            </w:hyperlink>
            <w:r w:rsidR="00FF1A13" w:rsidRPr="002E2559">
              <w:rPr>
                <w:rFonts w:ascii="Arial" w:hAnsi="Arial" w:cs="Arial"/>
                <w:b/>
                <w:color w:val="672080" w:themeColor="text1"/>
                <w:sz w:val="24"/>
                <w:szCs w:val="24"/>
              </w:rPr>
              <w:t xml:space="preserve"> </w:t>
            </w:r>
          </w:p>
          <w:p w:rsidR="00583F69" w:rsidRPr="002E2559" w:rsidRDefault="00583F6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The Planning Portal (</w:t>
            </w:r>
            <w:hyperlink r:id="rId12" w:history="1">
              <w:r w:rsidRPr="002E2559">
                <w:rPr>
                  <w:rStyle w:val="Hyperlink"/>
                  <w:rFonts w:ascii="Arial" w:hAnsi="Arial" w:cs="Arial"/>
                  <w:b/>
                  <w:color w:val="672080" w:themeColor="text1"/>
                  <w:sz w:val="24"/>
                  <w:szCs w:val="24"/>
                </w:rPr>
                <w:t>www.planningportal.gov.uk</w:t>
              </w:r>
            </w:hyperlink>
            <w:r w:rsidRPr="002E2559">
              <w:rPr>
                <w:rFonts w:ascii="Arial" w:hAnsi="Arial" w:cs="Arial"/>
                <w:b/>
                <w:color w:val="672080" w:themeColor="text1"/>
                <w:sz w:val="24"/>
                <w:szCs w:val="24"/>
              </w:rPr>
              <w:t>) is the Government's online service for planning which includes advice and information on the plan-led system</w:t>
            </w:r>
          </w:p>
          <w:p w:rsidR="002E2559" w:rsidRPr="002E2559" w:rsidRDefault="002E2559" w:rsidP="002E2559">
            <w:pPr>
              <w:jc w:val="center"/>
              <w:rPr>
                <w:rFonts w:ascii="Arial" w:hAnsi="Arial" w:cs="Arial"/>
                <w:b/>
                <w:color w:val="672080" w:themeColor="text1"/>
                <w:sz w:val="24"/>
                <w:szCs w:val="24"/>
              </w:rPr>
            </w:pPr>
          </w:p>
        </w:tc>
      </w:tr>
    </w:tbl>
    <w:p w:rsidR="00583F69" w:rsidRDefault="00583F69" w:rsidP="00583F69"/>
    <w:p w:rsidR="00583F69" w:rsidRDefault="00583F69"/>
    <w:p w:rsidR="0038010E" w:rsidRDefault="0038010E"/>
    <w:p w:rsidR="007B00FA" w:rsidRDefault="007B00FA" w:rsidP="002E2559">
      <w:pPr>
        <w:rPr>
          <w:sz w:val="32"/>
          <w:szCs w:val="32"/>
        </w:rPr>
      </w:pPr>
    </w:p>
    <w:p w:rsidR="007B00FA" w:rsidRDefault="007B00FA" w:rsidP="002E2559">
      <w:pPr>
        <w:rPr>
          <w:sz w:val="32"/>
          <w:szCs w:val="32"/>
        </w:rPr>
      </w:pPr>
    </w:p>
    <w:p w:rsidR="00FA5716" w:rsidRPr="00DB0E68" w:rsidRDefault="00583F69">
      <w:pPr>
        <w:rPr>
          <w:color w:val="672080" w:themeColor="text1"/>
          <w:sz w:val="32"/>
          <w:szCs w:val="32"/>
        </w:rPr>
      </w:pPr>
      <w:r w:rsidRPr="003A5E34">
        <w:rPr>
          <w:color w:val="672080" w:themeColor="text1"/>
          <w:sz w:val="32"/>
          <w:szCs w:val="32"/>
        </w:rPr>
        <w:t xml:space="preserve">To request this document in an alternative format or language, please contact the Future Planning Team on </w:t>
      </w:r>
      <w:r w:rsidR="00B22970" w:rsidRPr="003A5E34">
        <w:rPr>
          <w:color w:val="672080" w:themeColor="text1"/>
          <w:sz w:val="32"/>
          <w:szCs w:val="32"/>
        </w:rPr>
        <w:t>(</w:t>
      </w:r>
      <w:r w:rsidRPr="003A5E34">
        <w:rPr>
          <w:color w:val="672080" w:themeColor="text1"/>
          <w:sz w:val="32"/>
          <w:szCs w:val="32"/>
        </w:rPr>
        <w:t>01803</w:t>
      </w:r>
      <w:r w:rsidR="00B22970" w:rsidRPr="003A5E34">
        <w:rPr>
          <w:color w:val="672080" w:themeColor="text1"/>
          <w:sz w:val="32"/>
          <w:szCs w:val="32"/>
        </w:rPr>
        <w:t>)</w:t>
      </w:r>
      <w:r w:rsidRPr="003A5E34">
        <w:rPr>
          <w:color w:val="672080" w:themeColor="text1"/>
          <w:sz w:val="32"/>
          <w:szCs w:val="32"/>
        </w:rPr>
        <w:t xml:space="preserve"> 208804</w:t>
      </w:r>
      <w:r w:rsidR="007B00FA" w:rsidRPr="003A5E34">
        <w:rPr>
          <w:color w:val="672080" w:themeColor="text1"/>
          <w:sz w:val="32"/>
          <w:szCs w:val="32"/>
        </w:rPr>
        <w:t>.</w:t>
      </w:r>
    </w:p>
    <w:p w:rsidR="00FA5716" w:rsidRDefault="00FA5716">
      <w:pPr>
        <w:rPr>
          <w:sz w:val="32"/>
          <w:szCs w:val="32"/>
        </w:rPr>
      </w:pPr>
      <w:r>
        <w:rPr>
          <w:sz w:val="32"/>
          <w:szCs w:val="32"/>
        </w:rPr>
        <w:br w:type="page"/>
      </w:r>
    </w:p>
    <w:sdt>
      <w:sdtPr>
        <w:rPr>
          <w:rFonts w:asciiTheme="minorHAnsi" w:eastAsiaTheme="minorEastAsia" w:hAnsiTheme="minorHAnsi" w:cstheme="minorBidi"/>
          <w:b/>
          <w:bCs w:val="0"/>
          <w:caps w:val="0"/>
          <w:color w:val="auto"/>
          <w:sz w:val="22"/>
          <w:szCs w:val="22"/>
          <w:lang w:bidi="ar-SA"/>
        </w:rPr>
        <w:id w:val="1015029"/>
        <w:docPartObj>
          <w:docPartGallery w:val="Table of Contents"/>
          <w:docPartUnique/>
        </w:docPartObj>
      </w:sdtPr>
      <w:sdtEndPr>
        <w:rPr>
          <w:rFonts w:asciiTheme="majorHAnsi" w:eastAsiaTheme="majorEastAsia" w:hAnsiTheme="majorHAnsi" w:cstheme="majorBidi"/>
          <w:b w:val="0"/>
          <w:bCs/>
          <w:color w:val="4D4D4D"/>
          <w:lang w:bidi="en-US"/>
        </w:rPr>
      </w:sdtEndPr>
      <w:sdtContent>
        <w:p w:rsidR="00B6314C" w:rsidRDefault="00B6314C" w:rsidP="00682DDD">
          <w:pPr>
            <w:pStyle w:val="TOCHeading"/>
            <w:numPr>
              <w:ilvl w:val="0"/>
              <w:numId w:val="0"/>
            </w:numPr>
            <w:ind w:left="432"/>
          </w:pPr>
          <w:r>
            <w:t>Contents</w:t>
          </w:r>
        </w:p>
        <w:p w:rsidR="00F87A1A" w:rsidRPr="00F87A1A" w:rsidRDefault="00F87A1A" w:rsidP="00F87A1A"/>
        <w:p w:rsidR="00905FB7" w:rsidRDefault="00761FD2">
          <w:pPr>
            <w:pStyle w:val="TOC1"/>
            <w:rPr>
              <w:b w:val="0"/>
              <w:noProof/>
              <w:color w:val="auto"/>
              <w:lang w:val="en-GB" w:eastAsia="en-GB"/>
            </w:rPr>
          </w:pPr>
          <w:r>
            <w:fldChar w:fldCharType="begin"/>
          </w:r>
          <w:r w:rsidR="00A84D15">
            <w:instrText xml:space="preserve"> TOC \o "1-2" \h \z \u </w:instrText>
          </w:r>
          <w:r>
            <w:fldChar w:fldCharType="separate"/>
          </w:r>
          <w:hyperlink w:anchor="_Toc483911477" w:history="1">
            <w:r w:rsidR="00905FB7" w:rsidRPr="009633BF">
              <w:rPr>
                <w:rStyle w:val="Hyperlink"/>
                <w:noProof/>
                <w:lang w:bidi="en-US"/>
              </w:rPr>
              <w:t>1</w:t>
            </w:r>
            <w:r w:rsidR="00905FB7">
              <w:rPr>
                <w:b w:val="0"/>
                <w:noProof/>
                <w:color w:val="auto"/>
                <w:lang w:val="en-GB" w:eastAsia="en-GB"/>
              </w:rPr>
              <w:tab/>
            </w:r>
            <w:r w:rsidR="00905FB7" w:rsidRPr="009633BF">
              <w:rPr>
                <w:rStyle w:val="Hyperlink"/>
                <w:noProof/>
                <w:lang w:bidi="en-US"/>
              </w:rPr>
              <w:t>INTRODUCTION</w:t>
            </w:r>
            <w:r w:rsidR="00905FB7">
              <w:rPr>
                <w:noProof/>
                <w:webHidden/>
              </w:rPr>
              <w:tab/>
            </w:r>
            <w:r>
              <w:rPr>
                <w:noProof/>
                <w:webHidden/>
              </w:rPr>
              <w:fldChar w:fldCharType="begin"/>
            </w:r>
            <w:r w:rsidR="00905FB7">
              <w:rPr>
                <w:noProof/>
                <w:webHidden/>
              </w:rPr>
              <w:instrText xml:space="preserve"> PAGEREF _Toc483911477 \h </w:instrText>
            </w:r>
            <w:r>
              <w:rPr>
                <w:noProof/>
                <w:webHidden/>
              </w:rPr>
            </w:r>
            <w:r>
              <w:rPr>
                <w:noProof/>
                <w:webHidden/>
              </w:rPr>
              <w:fldChar w:fldCharType="separate"/>
            </w:r>
            <w:r w:rsidR="00905FB7">
              <w:rPr>
                <w:noProof/>
                <w:webHidden/>
              </w:rPr>
              <w:t>4</w:t>
            </w:r>
            <w:r>
              <w:rPr>
                <w:noProof/>
                <w:webHidden/>
              </w:rPr>
              <w:fldChar w:fldCharType="end"/>
            </w:r>
          </w:hyperlink>
        </w:p>
        <w:p w:rsidR="00905FB7" w:rsidRDefault="00657CBC">
          <w:pPr>
            <w:pStyle w:val="TOC2"/>
            <w:tabs>
              <w:tab w:val="left" w:pos="880"/>
              <w:tab w:val="right" w:leader="dot" w:pos="10194"/>
            </w:tabs>
            <w:rPr>
              <w:noProof/>
              <w:color w:val="auto"/>
              <w:lang w:val="en-GB" w:eastAsia="en-GB"/>
            </w:rPr>
          </w:pPr>
          <w:hyperlink w:anchor="_Toc483911478" w:history="1">
            <w:r w:rsidR="00905FB7" w:rsidRPr="009633BF">
              <w:rPr>
                <w:rStyle w:val="Hyperlink"/>
                <w:noProof/>
                <w:lang w:bidi="en-US"/>
              </w:rPr>
              <w:t>1.1</w:t>
            </w:r>
            <w:r w:rsidR="00905FB7">
              <w:rPr>
                <w:noProof/>
                <w:color w:val="auto"/>
                <w:lang w:val="en-GB" w:eastAsia="en-GB"/>
              </w:rPr>
              <w:tab/>
            </w:r>
            <w:r w:rsidR="00905FB7" w:rsidRPr="009633BF">
              <w:rPr>
                <w:rStyle w:val="Hyperlink"/>
                <w:noProof/>
                <w:lang w:bidi="en-US"/>
              </w:rPr>
              <w:t>Background</w:t>
            </w:r>
            <w:r w:rsidR="00905FB7">
              <w:rPr>
                <w:noProof/>
                <w:webHidden/>
              </w:rPr>
              <w:tab/>
            </w:r>
            <w:r w:rsidR="00761FD2">
              <w:rPr>
                <w:noProof/>
                <w:webHidden/>
              </w:rPr>
              <w:fldChar w:fldCharType="begin"/>
            </w:r>
            <w:r w:rsidR="00905FB7">
              <w:rPr>
                <w:noProof/>
                <w:webHidden/>
              </w:rPr>
              <w:instrText xml:space="preserve"> PAGEREF _Toc483911478 \h </w:instrText>
            </w:r>
            <w:r w:rsidR="00761FD2">
              <w:rPr>
                <w:noProof/>
                <w:webHidden/>
              </w:rPr>
            </w:r>
            <w:r w:rsidR="00761FD2">
              <w:rPr>
                <w:noProof/>
                <w:webHidden/>
              </w:rPr>
              <w:fldChar w:fldCharType="separate"/>
            </w:r>
            <w:r w:rsidR="00905FB7">
              <w:rPr>
                <w:noProof/>
                <w:webHidden/>
              </w:rPr>
              <w:t>4</w:t>
            </w:r>
            <w:r w:rsidR="00761FD2">
              <w:rPr>
                <w:noProof/>
                <w:webHidden/>
              </w:rPr>
              <w:fldChar w:fldCharType="end"/>
            </w:r>
          </w:hyperlink>
        </w:p>
        <w:p w:rsidR="00905FB7" w:rsidRDefault="00657CBC">
          <w:pPr>
            <w:pStyle w:val="TOC2"/>
            <w:tabs>
              <w:tab w:val="left" w:pos="880"/>
              <w:tab w:val="right" w:leader="dot" w:pos="10194"/>
            </w:tabs>
            <w:rPr>
              <w:noProof/>
              <w:color w:val="auto"/>
              <w:lang w:val="en-GB" w:eastAsia="en-GB"/>
            </w:rPr>
          </w:pPr>
          <w:hyperlink w:anchor="_Toc483911479" w:history="1">
            <w:r w:rsidR="00905FB7" w:rsidRPr="009633BF">
              <w:rPr>
                <w:rStyle w:val="Hyperlink"/>
                <w:noProof/>
                <w:lang w:bidi="en-US"/>
              </w:rPr>
              <w:t>1.2</w:t>
            </w:r>
            <w:r w:rsidR="00905FB7">
              <w:rPr>
                <w:noProof/>
                <w:color w:val="auto"/>
                <w:lang w:val="en-GB" w:eastAsia="en-GB"/>
              </w:rPr>
              <w:tab/>
            </w:r>
            <w:r w:rsidR="00905FB7" w:rsidRPr="009633BF">
              <w:rPr>
                <w:rStyle w:val="Hyperlink"/>
                <w:noProof/>
                <w:lang w:bidi="en-US"/>
              </w:rPr>
              <w:t>Where to find out more</w:t>
            </w:r>
            <w:r w:rsidR="00905FB7">
              <w:rPr>
                <w:noProof/>
                <w:webHidden/>
              </w:rPr>
              <w:tab/>
            </w:r>
            <w:r w:rsidR="00761FD2">
              <w:rPr>
                <w:noProof/>
                <w:webHidden/>
              </w:rPr>
              <w:fldChar w:fldCharType="begin"/>
            </w:r>
            <w:r w:rsidR="00905FB7">
              <w:rPr>
                <w:noProof/>
                <w:webHidden/>
              </w:rPr>
              <w:instrText xml:space="preserve"> PAGEREF _Toc483911479 \h </w:instrText>
            </w:r>
            <w:r w:rsidR="00761FD2">
              <w:rPr>
                <w:noProof/>
                <w:webHidden/>
              </w:rPr>
            </w:r>
            <w:r w:rsidR="00761FD2">
              <w:rPr>
                <w:noProof/>
                <w:webHidden/>
              </w:rPr>
              <w:fldChar w:fldCharType="separate"/>
            </w:r>
            <w:r w:rsidR="00905FB7">
              <w:rPr>
                <w:noProof/>
                <w:webHidden/>
              </w:rPr>
              <w:t>5</w:t>
            </w:r>
            <w:r w:rsidR="00761FD2">
              <w:rPr>
                <w:noProof/>
                <w:webHidden/>
              </w:rPr>
              <w:fldChar w:fldCharType="end"/>
            </w:r>
          </w:hyperlink>
        </w:p>
        <w:p w:rsidR="00905FB7" w:rsidRDefault="00657CBC">
          <w:pPr>
            <w:pStyle w:val="TOC2"/>
            <w:tabs>
              <w:tab w:val="left" w:pos="880"/>
              <w:tab w:val="right" w:leader="dot" w:pos="10194"/>
            </w:tabs>
            <w:rPr>
              <w:noProof/>
              <w:color w:val="auto"/>
              <w:lang w:val="en-GB" w:eastAsia="en-GB"/>
            </w:rPr>
          </w:pPr>
          <w:hyperlink w:anchor="_Toc483911480" w:history="1">
            <w:r w:rsidR="00905FB7" w:rsidRPr="009633BF">
              <w:rPr>
                <w:rStyle w:val="Hyperlink"/>
                <w:noProof/>
                <w:lang w:bidi="en-US"/>
              </w:rPr>
              <w:t>1.3</w:t>
            </w:r>
            <w:r w:rsidR="00905FB7">
              <w:rPr>
                <w:noProof/>
                <w:color w:val="auto"/>
                <w:lang w:val="en-GB" w:eastAsia="en-GB"/>
              </w:rPr>
              <w:tab/>
            </w:r>
            <w:r w:rsidR="00905FB7" w:rsidRPr="009633BF">
              <w:rPr>
                <w:rStyle w:val="Hyperlink"/>
                <w:noProof/>
                <w:lang w:bidi="en-US"/>
              </w:rPr>
              <w:t>Who pays CIL?</w:t>
            </w:r>
            <w:r w:rsidR="00905FB7">
              <w:rPr>
                <w:noProof/>
                <w:webHidden/>
              </w:rPr>
              <w:tab/>
            </w:r>
            <w:r w:rsidR="00761FD2">
              <w:rPr>
                <w:noProof/>
                <w:webHidden/>
              </w:rPr>
              <w:fldChar w:fldCharType="begin"/>
            </w:r>
            <w:r w:rsidR="00905FB7">
              <w:rPr>
                <w:noProof/>
                <w:webHidden/>
              </w:rPr>
              <w:instrText xml:space="preserve"> PAGEREF _Toc483911480 \h </w:instrText>
            </w:r>
            <w:r w:rsidR="00761FD2">
              <w:rPr>
                <w:noProof/>
                <w:webHidden/>
              </w:rPr>
            </w:r>
            <w:r w:rsidR="00761FD2">
              <w:rPr>
                <w:noProof/>
                <w:webHidden/>
              </w:rPr>
              <w:fldChar w:fldCharType="separate"/>
            </w:r>
            <w:r w:rsidR="00905FB7">
              <w:rPr>
                <w:noProof/>
                <w:webHidden/>
              </w:rPr>
              <w:t>6</w:t>
            </w:r>
            <w:r w:rsidR="00761FD2">
              <w:rPr>
                <w:noProof/>
                <w:webHidden/>
              </w:rPr>
              <w:fldChar w:fldCharType="end"/>
            </w:r>
          </w:hyperlink>
        </w:p>
        <w:p w:rsidR="00905FB7" w:rsidRDefault="00657CBC">
          <w:pPr>
            <w:pStyle w:val="TOC2"/>
            <w:tabs>
              <w:tab w:val="left" w:pos="880"/>
              <w:tab w:val="right" w:leader="dot" w:pos="10194"/>
            </w:tabs>
            <w:rPr>
              <w:noProof/>
              <w:color w:val="auto"/>
              <w:lang w:val="en-GB" w:eastAsia="en-GB"/>
            </w:rPr>
          </w:pPr>
          <w:hyperlink w:anchor="_Toc483911481" w:history="1">
            <w:r w:rsidR="00905FB7" w:rsidRPr="009633BF">
              <w:rPr>
                <w:rStyle w:val="Hyperlink"/>
                <w:noProof/>
                <w:lang w:val="en-GB" w:bidi="en-US"/>
              </w:rPr>
              <w:t>1.4</w:t>
            </w:r>
            <w:r w:rsidR="00905FB7">
              <w:rPr>
                <w:noProof/>
                <w:color w:val="auto"/>
                <w:lang w:val="en-GB" w:eastAsia="en-GB"/>
              </w:rPr>
              <w:tab/>
            </w:r>
            <w:r w:rsidR="00905FB7" w:rsidRPr="009633BF">
              <w:rPr>
                <w:rStyle w:val="Hyperlink"/>
                <w:rFonts w:ascii="Arial" w:hAnsi="Arial" w:cs="Arial"/>
                <w:noProof/>
                <w:lang w:val="en-GB" w:bidi="en-US"/>
              </w:rPr>
              <w:t>Social housing and self-build housing exemptions</w:t>
            </w:r>
            <w:r w:rsidR="00905FB7">
              <w:rPr>
                <w:noProof/>
                <w:webHidden/>
              </w:rPr>
              <w:tab/>
            </w:r>
            <w:r w:rsidR="00761FD2">
              <w:rPr>
                <w:noProof/>
                <w:webHidden/>
              </w:rPr>
              <w:fldChar w:fldCharType="begin"/>
            </w:r>
            <w:r w:rsidR="00905FB7">
              <w:rPr>
                <w:noProof/>
                <w:webHidden/>
              </w:rPr>
              <w:instrText xml:space="preserve"> PAGEREF _Toc483911481 \h </w:instrText>
            </w:r>
            <w:r w:rsidR="00761FD2">
              <w:rPr>
                <w:noProof/>
                <w:webHidden/>
              </w:rPr>
            </w:r>
            <w:r w:rsidR="00761FD2">
              <w:rPr>
                <w:noProof/>
                <w:webHidden/>
              </w:rPr>
              <w:fldChar w:fldCharType="separate"/>
            </w:r>
            <w:r w:rsidR="00905FB7">
              <w:rPr>
                <w:noProof/>
                <w:webHidden/>
              </w:rPr>
              <w:t>6</w:t>
            </w:r>
            <w:r w:rsidR="00761FD2">
              <w:rPr>
                <w:noProof/>
                <w:webHidden/>
              </w:rPr>
              <w:fldChar w:fldCharType="end"/>
            </w:r>
          </w:hyperlink>
        </w:p>
        <w:p w:rsidR="00905FB7" w:rsidRDefault="00657CBC">
          <w:pPr>
            <w:pStyle w:val="TOC1"/>
            <w:rPr>
              <w:b w:val="0"/>
              <w:noProof/>
              <w:color w:val="auto"/>
              <w:lang w:val="en-GB" w:eastAsia="en-GB"/>
            </w:rPr>
          </w:pPr>
          <w:hyperlink w:anchor="_Toc483911482" w:history="1">
            <w:r w:rsidR="00905FB7" w:rsidRPr="009633BF">
              <w:rPr>
                <w:rStyle w:val="Hyperlink"/>
                <w:noProof/>
                <w:lang w:bidi="en-US"/>
              </w:rPr>
              <w:t>2</w:t>
            </w:r>
            <w:r w:rsidR="00905FB7">
              <w:rPr>
                <w:b w:val="0"/>
                <w:noProof/>
                <w:color w:val="auto"/>
                <w:lang w:val="en-GB" w:eastAsia="en-GB"/>
              </w:rPr>
              <w:tab/>
            </w:r>
            <w:r w:rsidR="00905FB7" w:rsidRPr="009633BF">
              <w:rPr>
                <w:rStyle w:val="Hyperlink"/>
                <w:noProof/>
                <w:lang w:bidi="en-US"/>
              </w:rPr>
              <w:t>Torbay CIL Charging Schedule</w:t>
            </w:r>
            <w:r w:rsidR="00905FB7">
              <w:rPr>
                <w:noProof/>
                <w:webHidden/>
              </w:rPr>
              <w:tab/>
            </w:r>
            <w:r w:rsidR="00761FD2">
              <w:rPr>
                <w:noProof/>
                <w:webHidden/>
              </w:rPr>
              <w:fldChar w:fldCharType="begin"/>
            </w:r>
            <w:r w:rsidR="00905FB7">
              <w:rPr>
                <w:noProof/>
                <w:webHidden/>
              </w:rPr>
              <w:instrText xml:space="preserve"> PAGEREF _Toc483911482 \h </w:instrText>
            </w:r>
            <w:r w:rsidR="00761FD2">
              <w:rPr>
                <w:noProof/>
                <w:webHidden/>
              </w:rPr>
            </w:r>
            <w:r w:rsidR="00761FD2">
              <w:rPr>
                <w:noProof/>
                <w:webHidden/>
              </w:rPr>
              <w:fldChar w:fldCharType="separate"/>
            </w:r>
            <w:r w:rsidR="00905FB7">
              <w:rPr>
                <w:noProof/>
                <w:webHidden/>
              </w:rPr>
              <w:t>7</w:t>
            </w:r>
            <w:r w:rsidR="00761FD2">
              <w:rPr>
                <w:noProof/>
                <w:webHidden/>
              </w:rPr>
              <w:fldChar w:fldCharType="end"/>
            </w:r>
          </w:hyperlink>
        </w:p>
        <w:p w:rsidR="00905FB7" w:rsidRDefault="00657CBC">
          <w:pPr>
            <w:pStyle w:val="TOC2"/>
            <w:tabs>
              <w:tab w:val="left" w:pos="880"/>
              <w:tab w:val="right" w:leader="dot" w:pos="10194"/>
            </w:tabs>
            <w:rPr>
              <w:noProof/>
              <w:color w:val="auto"/>
              <w:lang w:val="en-GB" w:eastAsia="en-GB"/>
            </w:rPr>
          </w:pPr>
          <w:hyperlink w:anchor="_Toc483911483" w:history="1">
            <w:r w:rsidR="00905FB7" w:rsidRPr="009633BF">
              <w:rPr>
                <w:rStyle w:val="Hyperlink"/>
                <w:noProof/>
                <w:lang w:bidi="en-US"/>
              </w:rPr>
              <w:t>2.1</w:t>
            </w:r>
            <w:r w:rsidR="00905FB7">
              <w:rPr>
                <w:noProof/>
                <w:color w:val="auto"/>
                <w:lang w:val="en-GB" w:eastAsia="en-GB"/>
              </w:rPr>
              <w:tab/>
            </w:r>
            <w:r w:rsidR="00905FB7" w:rsidRPr="009633BF">
              <w:rPr>
                <w:rStyle w:val="Hyperlink"/>
                <w:noProof/>
                <w:lang w:bidi="en-US"/>
              </w:rPr>
              <w:t>Residential Development</w:t>
            </w:r>
            <w:r w:rsidR="00905FB7">
              <w:rPr>
                <w:noProof/>
                <w:webHidden/>
              </w:rPr>
              <w:tab/>
            </w:r>
            <w:r w:rsidR="00761FD2">
              <w:rPr>
                <w:noProof/>
                <w:webHidden/>
              </w:rPr>
              <w:fldChar w:fldCharType="begin"/>
            </w:r>
            <w:r w:rsidR="00905FB7">
              <w:rPr>
                <w:noProof/>
                <w:webHidden/>
              </w:rPr>
              <w:instrText xml:space="preserve"> PAGEREF _Toc483911483 \h </w:instrText>
            </w:r>
            <w:r w:rsidR="00761FD2">
              <w:rPr>
                <w:noProof/>
                <w:webHidden/>
              </w:rPr>
            </w:r>
            <w:r w:rsidR="00761FD2">
              <w:rPr>
                <w:noProof/>
                <w:webHidden/>
              </w:rPr>
              <w:fldChar w:fldCharType="separate"/>
            </w:r>
            <w:r w:rsidR="00905FB7">
              <w:rPr>
                <w:noProof/>
                <w:webHidden/>
              </w:rPr>
              <w:t>7</w:t>
            </w:r>
            <w:r w:rsidR="00761FD2">
              <w:rPr>
                <w:noProof/>
                <w:webHidden/>
              </w:rPr>
              <w:fldChar w:fldCharType="end"/>
            </w:r>
          </w:hyperlink>
        </w:p>
        <w:p w:rsidR="00905FB7" w:rsidRDefault="00657CBC">
          <w:pPr>
            <w:pStyle w:val="TOC2"/>
            <w:tabs>
              <w:tab w:val="left" w:pos="880"/>
              <w:tab w:val="right" w:leader="dot" w:pos="10194"/>
            </w:tabs>
            <w:rPr>
              <w:noProof/>
              <w:color w:val="auto"/>
              <w:lang w:val="en-GB" w:eastAsia="en-GB"/>
            </w:rPr>
          </w:pPr>
          <w:hyperlink w:anchor="_Toc483911484" w:history="1">
            <w:r w:rsidR="00905FB7" w:rsidRPr="009633BF">
              <w:rPr>
                <w:rStyle w:val="Hyperlink"/>
                <w:noProof/>
                <w:lang w:bidi="en-US"/>
              </w:rPr>
              <w:t>2.2</w:t>
            </w:r>
            <w:r w:rsidR="00905FB7">
              <w:rPr>
                <w:noProof/>
                <w:color w:val="auto"/>
                <w:lang w:val="en-GB" w:eastAsia="en-GB"/>
              </w:rPr>
              <w:tab/>
            </w:r>
            <w:r w:rsidR="00905FB7" w:rsidRPr="009633BF">
              <w:rPr>
                <w:rStyle w:val="Hyperlink"/>
                <w:noProof/>
                <w:lang w:bidi="en-US"/>
              </w:rPr>
              <w:t>Commercial Development</w:t>
            </w:r>
            <w:r w:rsidR="00905FB7">
              <w:rPr>
                <w:noProof/>
                <w:webHidden/>
              </w:rPr>
              <w:tab/>
            </w:r>
            <w:r w:rsidR="00761FD2">
              <w:rPr>
                <w:noProof/>
                <w:webHidden/>
              </w:rPr>
              <w:fldChar w:fldCharType="begin"/>
            </w:r>
            <w:r w:rsidR="00905FB7">
              <w:rPr>
                <w:noProof/>
                <w:webHidden/>
              </w:rPr>
              <w:instrText xml:space="preserve"> PAGEREF _Toc483911484 \h </w:instrText>
            </w:r>
            <w:r w:rsidR="00761FD2">
              <w:rPr>
                <w:noProof/>
                <w:webHidden/>
              </w:rPr>
            </w:r>
            <w:r w:rsidR="00761FD2">
              <w:rPr>
                <w:noProof/>
                <w:webHidden/>
              </w:rPr>
              <w:fldChar w:fldCharType="separate"/>
            </w:r>
            <w:r w:rsidR="00905FB7">
              <w:rPr>
                <w:noProof/>
                <w:webHidden/>
              </w:rPr>
              <w:t>11</w:t>
            </w:r>
            <w:r w:rsidR="00761FD2">
              <w:rPr>
                <w:noProof/>
                <w:webHidden/>
              </w:rPr>
              <w:fldChar w:fldCharType="end"/>
            </w:r>
          </w:hyperlink>
        </w:p>
        <w:p w:rsidR="00905FB7" w:rsidRDefault="00657CBC">
          <w:pPr>
            <w:pStyle w:val="TOC2"/>
            <w:tabs>
              <w:tab w:val="left" w:pos="880"/>
              <w:tab w:val="right" w:leader="dot" w:pos="10194"/>
            </w:tabs>
            <w:rPr>
              <w:noProof/>
              <w:color w:val="auto"/>
              <w:lang w:val="en-GB" w:eastAsia="en-GB"/>
            </w:rPr>
          </w:pPr>
          <w:hyperlink w:anchor="_Toc483911485" w:history="1">
            <w:r w:rsidR="00905FB7" w:rsidRPr="009633BF">
              <w:rPr>
                <w:rStyle w:val="Hyperlink"/>
                <w:rFonts w:ascii="Arial" w:hAnsi="Arial" w:cs="Arial"/>
                <w:noProof/>
                <w:lang w:val="en-GB" w:bidi="en-US"/>
              </w:rPr>
              <w:t>2.3</w:t>
            </w:r>
            <w:r w:rsidR="00905FB7">
              <w:rPr>
                <w:noProof/>
                <w:color w:val="auto"/>
                <w:lang w:val="en-GB" w:eastAsia="en-GB"/>
              </w:rPr>
              <w:tab/>
            </w:r>
            <w:r w:rsidR="00905FB7" w:rsidRPr="009633BF">
              <w:rPr>
                <w:rStyle w:val="Hyperlink"/>
                <w:rFonts w:ascii="Arial" w:hAnsi="Arial" w:cs="Arial"/>
                <w:noProof/>
                <w:lang w:val="en-GB" w:bidi="en-US"/>
              </w:rPr>
              <w:t>Charging Zone Maps</w:t>
            </w:r>
            <w:r w:rsidR="00905FB7">
              <w:rPr>
                <w:noProof/>
                <w:webHidden/>
              </w:rPr>
              <w:tab/>
            </w:r>
            <w:r w:rsidR="00761FD2">
              <w:rPr>
                <w:noProof/>
                <w:webHidden/>
              </w:rPr>
              <w:fldChar w:fldCharType="begin"/>
            </w:r>
            <w:r w:rsidR="00905FB7">
              <w:rPr>
                <w:noProof/>
                <w:webHidden/>
              </w:rPr>
              <w:instrText xml:space="preserve"> PAGEREF _Toc483911485 \h </w:instrText>
            </w:r>
            <w:r w:rsidR="00761FD2">
              <w:rPr>
                <w:noProof/>
                <w:webHidden/>
              </w:rPr>
            </w:r>
            <w:r w:rsidR="00761FD2">
              <w:rPr>
                <w:noProof/>
                <w:webHidden/>
              </w:rPr>
              <w:fldChar w:fldCharType="separate"/>
            </w:r>
            <w:r w:rsidR="00905FB7">
              <w:rPr>
                <w:noProof/>
                <w:webHidden/>
              </w:rPr>
              <w:t>12</w:t>
            </w:r>
            <w:r w:rsidR="00761FD2">
              <w:rPr>
                <w:noProof/>
                <w:webHidden/>
              </w:rPr>
              <w:fldChar w:fldCharType="end"/>
            </w:r>
          </w:hyperlink>
        </w:p>
        <w:p w:rsidR="00C34D41" w:rsidRDefault="00761FD2" w:rsidP="00C34D41">
          <w:pPr>
            <w:pStyle w:val="Heading3"/>
            <w:numPr>
              <w:ilvl w:val="0"/>
              <w:numId w:val="0"/>
            </w:numPr>
            <w:ind w:left="284"/>
          </w:pPr>
          <w:r>
            <w:fldChar w:fldCharType="end"/>
          </w:r>
        </w:p>
        <w:p w:rsidR="00C34D41" w:rsidRPr="00EF3134" w:rsidRDefault="00C34D41" w:rsidP="00C34D41">
          <w:pPr>
            <w:pStyle w:val="Heading3"/>
            <w:numPr>
              <w:ilvl w:val="0"/>
              <w:numId w:val="0"/>
            </w:numPr>
            <w:ind w:left="284"/>
            <w:rPr>
              <w:color w:val="auto"/>
            </w:rPr>
          </w:pPr>
          <w:r w:rsidRPr="003A5E34">
            <w:rPr>
              <w:b/>
              <w:color w:val="672080" w:themeColor="text1"/>
            </w:rPr>
            <w:t>Residential Charging Zones</w:t>
          </w:r>
          <w:r w:rsidRPr="00C75147">
            <w:rPr>
              <w:color w:val="auto"/>
            </w:rPr>
            <w:t xml:space="preserve"> Summary Map and Maps 1-39 showing Charging Zon</w:t>
          </w:r>
          <w:r>
            <w:rPr>
              <w:color w:val="auto"/>
            </w:rPr>
            <w:t>es 1-4</w:t>
          </w:r>
          <w:r w:rsidRPr="00C75147">
            <w:rPr>
              <w:color w:val="auto"/>
            </w:rPr>
            <w:t xml:space="preserve">.  Note that the map boundaries/page numbers correspond to the Adopted Local Plan 2012-30.  The maps are designed primarily to be viewed on a screen and may be zoomed into (separate document). </w:t>
          </w:r>
        </w:p>
        <w:p w:rsidR="00B6314C" w:rsidRPr="00C34D41" w:rsidRDefault="00C34D41" w:rsidP="00C34D41">
          <w:pPr>
            <w:pStyle w:val="Heading3"/>
            <w:numPr>
              <w:ilvl w:val="0"/>
              <w:numId w:val="0"/>
            </w:numPr>
            <w:ind w:left="284"/>
            <w:rPr>
              <w:color w:val="auto"/>
            </w:rPr>
          </w:pPr>
          <w:r w:rsidRPr="003A5E34">
            <w:rPr>
              <w:b/>
              <w:color w:val="672080" w:themeColor="text1"/>
            </w:rPr>
            <w:t>Commercial and Non-Residential Development Charging Zones</w:t>
          </w:r>
          <w:r w:rsidRPr="003A5E34">
            <w:rPr>
              <w:color w:val="672080" w:themeColor="text1"/>
            </w:rPr>
            <w:t xml:space="preserve"> </w:t>
          </w:r>
          <w:r w:rsidRPr="003A5E34">
            <w:rPr>
              <w:b/>
              <w:color w:val="672080" w:themeColor="text1"/>
            </w:rPr>
            <w:t>Map</w:t>
          </w:r>
          <w:r w:rsidRPr="00C75147">
            <w:rPr>
              <w:color w:val="auto"/>
            </w:rPr>
            <w:t>:  Zone C1 Town Centres, St</w:t>
          </w:r>
          <w:r>
            <w:rPr>
              <w:color w:val="auto"/>
            </w:rPr>
            <w:t>.</w:t>
          </w:r>
          <w:r w:rsidRPr="00C75147">
            <w:rPr>
              <w:color w:val="auto"/>
            </w:rPr>
            <w:t xml:space="preserve"> Marychurch</w:t>
          </w:r>
          <w:r>
            <w:rPr>
              <w:color w:val="auto"/>
            </w:rPr>
            <w:t xml:space="preserve"> and Preston District Centres. Zone C2 out-</w:t>
          </w:r>
          <w:r w:rsidRPr="00C75147">
            <w:rPr>
              <w:color w:val="auto"/>
            </w:rPr>
            <w:t>of-tow</w:t>
          </w:r>
          <w:r>
            <w:rPr>
              <w:color w:val="auto"/>
            </w:rPr>
            <w:t xml:space="preserve">n centre, including The Willows </w:t>
          </w:r>
          <w:r w:rsidRPr="00C75147">
            <w:rPr>
              <w:color w:val="auto"/>
            </w:rPr>
            <w:t>District Centre.</w:t>
          </w:r>
        </w:p>
      </w:sdtContent>
    </w:sdt>
    <w:p w:rsidR="00642E6D" w:rsidRPr="00C34D41" w:rsidRDefault="00905FB7" w:rsidP="00642E6D">
      <w:pPr>
        <w:rPr>
          <w:rFonts w:asciiTheme="majorHAnsi" w:eastAsiaTheme="majorEastAsia" w:hAnsiTheme="majorHAnsi" w:cstheme="majorBidi"/>
          <w:b/>
          <w:bCs/>
          <w:color w:val="672080" w:themeColor="text1"/>
        </w:rPr>
      </w:pPr>
      <w:r>
        <w:rPr>
          <w:b/>
          <w:color w:val="672080" w:themeColor="text1"/>
        </w:rPr>
        <w:br w:type="page"/>
      </w:r>
    </w:p>
    <w:p w:rsidR="00D17950" w:rsidRPr="00C30F08" w:rsidRDefault="00683F46" w:rsidP="00642E6D">
      <w:pPr>
        <w:pStyle w:val="Heading1"/>
      </w:pPr>
      <w:bookmarkStart w:id="0" w:name="_Toc483911477"/>
      <w:r>
        <w:lastRenderedPageBreak/>
        <w:t>INTRODUCTION</w:t>
      </w:r>
      <w:bookmarkEnd w:id="0"/>
    </w:p>
    <w:p w:rsidR="00DE0D8B" w:rsidRPr="0046115D" w:rsidRDefault="00DE0D8B" w:rsidP="0046115D">
      <w:pPr>
        <w:pStyle w:val="Heading2"/>
      </w:pPr>
      <w:bookmarkStart w:id="1" w:name="_Toc483911478"/>
      <w:bookmarkStart w:id="2" w:name="_Toc460489477"/>
      <w:r w:rsidRPr="0046115D">
        <w:t>Background</w:t>
      </w:r>
      <w:bookmarkEnd w:id="1"/>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 xml:space="preserve">This is Torbay’s Charging Schedule for the Community Infrastructure Levy (CIL).  It was the subject of Independent Examination in </w:t>
      </w:r>
      <w:proofErr w:type="gramStart"/>
      <w:r w:rsidRPr="00DC62E0">
        <w:rPr>
          <w:rFonts w:asciiTheme="minorHAnsi" w:hAnsiTheme="minorHAnsi" w:cstheme="minorHAnsi"/>
          <w:color w:val="auto"/>
        </w:rPr>
        <w:t>Autumn</w:t>
      </w:r>
      <w:proofErr w:type="gramEnd"/>
      <w:r w:rsidRPr="00DC62E0">
        <w:rPr>
          <w:rFonts w:asciiTheme="minorHAnsi" w:hAnsiTheme="minorHAnsi" w:cstheme="minorHAnsi"/>
          <w:color w:val="auto"/>
        </w:rPr>
        <w:t xml:space="preserve"> 2016, with a Hearing on 9th November 2016.  The Examiner’s Report was published on 5th December 2016, which recommended that CIL be adopted with modifications.  The CIL was approved by </w:t>
      </w:r>
      <w:r w:rsidR="003C6F14">
        <w:rPr>
          <w:rFonts w:asciiTheme="minorHAnsi" w:hAnsiTheme="minorHAnsi" w:cstheme="minorHAnsi"/>
          <w:color w:val="auto"/>
        </w:rPr>
        <w:t>f</w:t>
      </w:r>
      <w:r w:rsidRPr="00DC62E0">
        <w:rPr>
          <w:rFonts w:asciiTheme="minorHAnsi" w:hAnsiTheme="minorHAnsi" w:cstheme="minorHAnsi"/>
          <w:color w:val="auto"/>
        </w:rPr>
        <w:t xml:space="preserve">ull Council on 2nd February 2017.  </w:t>
      </w:r>
    </w:p>
    <w:p w:rsidR="00DA53BB" w:rsidRPr="00DC62E0" w:rsidRDefault="00DA53BB" w:rsidP="00DA53BB">
      <w:pPr>
        <w:pStyle w:val="Heading3"/>
        <w:rPr>
          <w:rFonts w:asciiTheme="minorHAnsi" w:hAnsiTheme="minorHAnsi" w:cstheme="minorHAnsi"/>
          <w:color w:val="auto"/>
        </w:rPr>
      </w:pPr>
      <w:r w:rsidRPr="00CA7999">
        <w:rPr>
          <w:rFonts w:asciiTheme="minorHAnsi" w:hAnsiTheme="minorHAnsi" w:cstheme="minorHAnsi"/>
          <w:b/>
          <w:color w:val="auto"/>
        </w:rPr>
        <w:t>Torbay C</w:t>
      </w:r>
      <w:r w:rsidR="00760C1C" w:rsidRPr="00CA7999">
        <w:rPr>
          <w:rFonts w:asciiTheme="minorHAnsi" w:hAnsiTheme="minorHAnsi" w:cstheme="minorHAnsi"/>
          <w:b/>
          <w:color w:val="auto"/>
        </w:rPr>
        <w:t xml:space="preserve">ouncil, as Charging Authority, </w:t>
      </w:r>
      <w:r w:rsidR="00AF6EC7" w:rsidRPr="00CA7999">
        <w:rPr>
          <w:rFonts w:asciiTheme="minorHAnsi" w:hAnsiTheme="minorHAnsi" w:cstheme="minorHAnsi"/>
          <w:b/>
          <w:color w:val="auto"/>
        </w:rPr>
        <w:t>will</w:t>
      </w:r>
      <w:r w:rsidRPr="00CA7999">
        <w:rPr>
          <w:rFonts w:asciiTheme="minorHAnsi" w:hAnsiTheme="minorHAnsi" w:cstheme="minorHAnsi"/>
          <w:b/>
          <w:color w:val="auto"/>
        </w:rPr>
        <w:t xml:space="preserve"> levy CIL on developments granted permission </w:t>
      </w:r>
      <w:r w:rsidR="00760C1C" w:rsidRPr="00CA7999">
        <w:rPr>
          <w:rFonts w:asciiTheme="minorHAnsi" w:hAnsiTheme="minorHAnsi" w:cstheme="minorHAnsi"/>
          <w:b/>
          <w:color w:val="auto"/>
        </w:rPr>
        <w:t xml:space="preserve">on or </w:t>
      </w:r>
      <w:r w:rsidRPr="00CA7999">
        <w:rPr>
          <w:rFonts w:asciiTheme="minorHAnsi" w:hAnsiTheme="minorHAnsi" w:cstheme="minorHAnsi"/>
          <w:b/>
          <w:color w:val="auto"/>
        </w:rPr>
        <w:t xml:space="preserve">after </w:t>
      </w:r>
      <w:r w:rsidR="00AF6EC7" w:rsidRPr="00CA7999">
        <w:rPr>
          <w:rFonts w:asciiTheme="minorHAnsi" w:hAnsiTheme="minorHAnsi" w:cstheme="minorHAnsi"/>
          <w:b/>
          <w:color w:val="auto"/>
        </w:rPr>
        <w:t>Thursday 1</w:t>
      </w:r>
      <w:r w:rsidR="00AF6EC7" w:rsidRPr="00CA7999">
        <w:rPr>
          <w:rFonts w:asciiTheme="minorHAnsi" w:hAnsiTheme="minorHAnsi" w:cstheme="minorHAnsi"/>
          <w:b/>
          <w:color w:val="auto"/>
          <w:vertAlign w:val="superscript"/>
        </w:rPr>
        <w:t>st</w:t>
      </w:r>
      <w:r w:rsidR="00AF6EC7" w:rsidRPr="00CA7999">
        <w:rPr>
          <w:rFonts w:asciiTheme="minorHAnsi" w:hAnsiTheme="minorHAnsi" w:cstheme="minorHAnsi"/>
          <w:b/>
          <w:color w:val="auto"/>
        </w:rPr>
        <w:t xml:space="preserve"> June</w:t>
      </w:r>
      <w:r w:rsidRPr="00CA7999">
        <w:rPr>
          <w:rFonts w:asciiTheme="minorHAnsi" w:hAnsiTheme="minorHAnsi" w:cstheme="minorHAnsi"/>
          <w:b/>
          <w:color w:val="auto"/>
        </w:rPr>
        <w:t xml:space="preserve"> 2017.</w:t>
      </w:r>
      <w:r w:rsidR="00CA7999">
        <w:rPr>
          <w:rFonts w:asciiTheme="minorHAnsi" w:hAnsiTheme="minorHAnsi" w:cstheme="minorHAnsi"/>
          <w:color w:val="auto"/>
        </w:rPr>
        <w:t xml:space="preserve">  This includes chargeable development carried out by “general consent”, as defined by Regulation 5 of the CIL Regulations 2010 (as amended), and covers matters such as permitted development or local development o</w:t>
      </w:r>
      <w:r w:rsidR="002013F8">
        <w:rPr>
          <w:rFonts w:asciiTheme="minorHAnsi" w:hAnsiTheme="minorHAnsi" w:cstheme="minorHAnsi"/>
          <w:color w:val="auto"/>
        </w:rPr>
        <w:t>r</w:t>
      </w:r>
      <w:r w:rsidR="00CA7999">
        <w:rPr>
          <w:rFonts w:asciiTheme="minorHAnsi" w:hAnsiTheme="minorHAnsi" w:cstheme="minorHAnsi"/>
          <w:color w:val="auto"/>
        </w:rPr>
        <w:t xml:space="preserve">ders. </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 xml:space="preserve">CIL is a tax levied on development of more than 100 sq m of </w:t>
      </w:r>
      <w:r w:rsidR="00AC4240">
        <w:rPr>
          <w:rFonts w:asciiTheme="minorHAnsi" w:hAnsiTheme="minorHAnsi" w:cstheme="minorHAnsi"/>
          <w:color w:val="auto"/>
        </w:rPr>
        <w:t>gross internal floorspace</w:t>
      </w:r>
      <w:r w:rsidR="002013F8">
        <w:rPr>
          <w:rFonts w:asciiTheme="minorHAnsi" w:hAnsiTheme="minorHAnsi" w:cstheme="minorHAnsi"/>
          <w:color w:val="auto"/>
        </w:rPr>
        <w:t>, or new</w:t>
      </w:r>
      <w:r w:rsidRPr="00DC62E0">
        <w:rPr>
          <w:rFonts w:asciiTheme="minorHAnsi" w:hAnsiTheme="minorHAnsi" w:cstheme="minorHAnsi"/>
          <w:color w:val="auto"/>
        </w:rPr>
        <w:t xml:space="preserve"> dwellings</w:t>
      </w:r>
      <w:r w:rsidR="002013F8">
        <w:rPr>
          <w:rFonts w:asciiTheme="minorHAnsi" w:hAnsiTheme="minorHAnsi" w:cstheme="minorHAnsi"/>
          <w:color w:val="auto"/>
        </w:rPr>
        <w:t xml:space="preserve"> (even if the dwelling is less than 100 sq m)</w:t>
      </w:r>
      <w:r w:rsidRPr="00DC62E0">
        <w:rPr>
          <w:rFonts w:asciiTheme="minorHAnsi" w:hAnsiTheme="minorHAnsi" w:cstheme="minorHAnsi"/>
          <w:color w:val="auto"/>
        </w:rPr>
        <w:t xml:space="preserve">.  It is intended to help fund the infrastructure needed to support growth in Torbay.  It is regulated by the Community Infrastructure Levy Regulations 2010 (as amended). </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T</w:t>
      </w:r>
      <w:r w:rsidR="00435294">
        <w:rPr>
          <w:rFonts w:asciiTheme="minorHAnsi" w:hAnsiTheme="minorHAnsi" w:cstheme="minorHAnsi"/>
          <w:color w:val="auto"/>
        </w:rPr>
        <w:t>orbay</w:t>
      </w:r>
      <w:r w:rsidRPr="00DC62E0">
        <w:rPr>
          <w:rFonts w:asciiTheme="minorHAnsi" w:hAnsiTheme="minorHAnsi" w:cstheme="minorHAnsi"/>
          <w:color w:val="auto"/>
        </w:rPr>
        <w:t xml:space="preserve"> Council is intending to charge CIL on residential developments within three charging zones:</w:t>
      </w:r>
    </w:p>
    <w:p w:rsidR="00DA53BB" w:rsidRPr="00DC62E0" w:rsidRDefault="00DA53BB" w:rsidP="00522C28">
      <w:pPr>
        <w:pStyle w:val="Heading3"/>
        <w:numPr>
          <w:ilvl w:val="2"/>
          <w:numId w:val="19"/>
        </w:numPr>
        <w:spacing w:after="0"/>
        <w:ind w:left="1644" w:hanging="680"/>
        <w:rPr>
          <w:rFonts w:asciiTheme="minorHAnsi" w:hAnsiTheme="minorHAnsi" w:cstheme="minorHAnsi"/>
          <w:color w:val="auto"/>
        </w:rPr>
      </w:pPr>
      <w:r w:rsidRPr="00DC62E0">
        <w:rPr>
          <w:rFonts w:asciiTheme="minorHAnsi" w:hAnsiTheme="minorHAnsi" w:cstheme="minorHAnsi"/>
          <w:color w:val="auto"/>
        </w:rPr>
        <w:t>Charging Zone 1: Areas of lower housing value (based on the built-up area within 20% most deprived area as indicated in the Indices of Deprivation 2015).</w:t>
      </w:r>
    </w:p>
    <w:p w:rsidR="00DA53BB" w:rsidRPr="00DC62E0" w:rsidRDefault="00DA53BB" w:rsidP="00522C28">
      <w:pPr>
        <w:pStyle w:val="Heading3"/>
        <w:numPr>
          <w:ilvl w:val="2"/>
          <w:numId w:val="19"/>
        </w:numPr>
        <w:spacing w:after="0"/>
        <w:ind w:left="1644" w:hanging="680"/>
        <w:rPr>
          <w:rFonts w:asciiTheme="minorHAnsi" w:hAnsiTheme="minorHAnsi" w:cstheme="minorHAnsi"/>
          <w:color w:val="auto"/>
        </w:rPr>
      </w:pPr>
      <w:r w:rsidRPr="00DC62E0">
        <w:rPr>
          <w:rFonts w:asciiTheme="minorHAnsi" w:hAnsiTheme="minorHAnsi" w:cstheme="minorHAnsi"/>
          <w:color w:val="auto"/>
        </w:rPr>
        <w:t>Charging Zone 2: Elsewhere in the built-up area (excluding Watcombe Heights, Ilsham Valley,</w:t>
      </w:r>
      <w:r w:rsidR="002013F8">
        <w:rPr>
          <w:rFonts w:asciiTheme="minorHAnsi" w:hAnsiTheme="minorHAnsi" w:cstheme="minorHAnsi"/>
          <w:color w:val="auto"/>
        </w:rPr>
        <w:t xml:space="preserve"> Torquay; </w:t>
      </w:r>
      <w:r w:rsidRPr="00DC62E0">
        <w:rPr>
          <w:rFonts w:asciiTheme="minorHAnsi" w:hAnsiTheme="minorHAnsi" w:cstheme="minorHAnsi"/>
          <w:color w:val="auto"/>
        </w:rPr>
        <w:t>and Bascombe Road</w:t>
      </w:r>
      <w:r w:rsidR="002013F8">
        <w:rPr>
          <w:rFonts w:asciiTheme="minorHAnsi" w:hAnsiTheme="minorHAnsi" w:cstheme="minorHAnsi"/>
          <w:color w:val="auto"/>
        </w:rPr>
        <w:t>, Churston</w:t>
      </w:r>
      <w:r w:rsidRPr="00DC62E0">
        <w:rPr>
          <w:rFonts w:asciiTheme="minorHAnsi" w:hAnsiTheme="minorHAnsi" w:cstheme="minorHAnsi"/>
          <w:color w:val="auto"/>
        </w:rPr>
        <w:t xml:space="preserve">). </w:t>
      </w:r>
    </w:p>
    <w:p w:rsidR="00522C28" w:rsidRDefault="00DA53BB" w:rsidP="00522C28">
      <w:pPr>
        <w:pStyle w:val="Heading3"/>
        <w:numPr>
          <w:ilvl w:val="2"/>
          <w:numId w:val="19"/>
        </w:numPr>
        <w:spacing w:after="0"/>
        <w:ind w:left="1644" w:hanging="680"/>
        <w:rPr>
          <w:rFonts w:asciiTheme="minorHAnsi" w:hAnsiTheme="minorHAnsi" w:cstheme="minorHAnsi"/>
          <w:color w:val="auto"/>
        </w:rPr>
      </w:pPr>
      <w:r w:rsidRPr="00DC62E0">
        <w:rPr>
          <w:rFonts w:asciiTheme="minorHAnsi" w:hAnsiTheme="minorHAnsi" w:cstheme="minorHAnsi"/>
          <w:color w:val="auto"/>
        </w:rPr>
        <w:t>Charging Zone 3: Future Growth Areas</w:t>
      </w:r>
      <w:r w:rsidR="002013F8">
        <w:rPr>
          <w:rFonts w:asciiTheme="minorHAnsi" w:hAnsiTheme="minorHAnsi" w:cstheme="minorHAnsi"/>
          <w:color w:val="auto"/>
        </w:rPr>
        <w:t xml:space="preserve"> and outside the built-up area; p</w:t>
      </w:r>
      <w:r w:rsidRPr="00DC62E0">
        <w:rPr>
          <w:rFonts w:asciiTheme="minorHAnsi" w:hAnsiTheme="minorHAnsi" w:cstheme="minorHAnsi"/>
          <w:color w:val="auto"/>
        </w:rPr>
        <w:t xml:space="preserve">lus </w:t>
      </w:r>
      <w:r w:rsidR="002013F8" w:rsidRPr="00DC62E0">
        <w:rPr>
          <w:rFonts w:asciiTheme="minorHAnsi" w:hAnsiTheme="minorHAnsi" w:cstheme="minorHAnsi"/>
          <w:color w:val="auto"/>
        </w:rPr>
        <w:t xml:space="preserve">Watcombe Heights and </w:t>
      </w:r>
      <w:r w:rsidRPr="00DC62E0">
        <w:rPr>
          <w:rFonts w:asciiTheme="minorHAnsi" w:hAnsiTheme="minorHAnsi" w:cstheme="minorHAnsi"/>
          <w:color w:val="auto"/>
        </w:rPr>
        <w:t>Ilsham Valley, Torquay</w:t>
      </w:r>
      <w:r w:rsidR="002013F8">
        <w:rPr>
          <w:rFonts w:asciiTheme="minorHAnsi" w:hAnsiTheme="minorHAnsi" w:cstheme="minorHAnsi"/>
          <w:color w:val="auto"/>
        </w:rPr>
        <w:t xml:space="preserve"> </w:t>
      </w:r>
      <w:r w:rsidRPr="00DC62E0">
        <w:rPr>
          <w:rFonts w:asciiTheme="minorHAnsi" w:hAnsiTheme="minorHAnsi" w:cstheme="minorHAnsi"/>
          <w:color w:val="auto"/>
        </w:rPr>
        <w:t>and Bascombe Road, Churston).</w:t>
      </w:r>
    </w:p>
    <w:p w:rsidR="00134C91" w:rsidRPr="00134C91" w:rsidRDefault="00134C91" w:rsidP="00134C91"/>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 xml:space="preserve">The built-up area is defined by the area outside Policy C1 “Countryside and rural economy” or Policy C2 “Undeveloped coast” areas in the Adopted Torbay Local Plan 2012-30, although some high value urban areas are also included in Zone 3. </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The Charging Zones maps have been published on larger scale, OS based maps. These maps are designed primarily to be viewed electronically where they can be zoomed into.</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Residential schemes of 15 or more dwellings within Charging Zone 3 will not be charged CIL.  The Council will continue to negotiate Section 106 Obligations (s106) to cover the infrastructure needed to support their development as well as affordable housing.  It is considered that s106 and Section 278 (s278) Highways Agreements are more effective mechanism</w:t>
      </w:r>
      <w:r w:rsidR="00435294">
        <w:rPr>
          <w:rFonts w:asciiTheme="minorHAnsi" w:hAnsiTheme="minorHAnsi" w:cstheme="minorHAnsi"/>
          <w:color w:val="auto"/>
        </w:rPr>
        <w:t>s</w:t>
      </w:r>
      <w:r w:rsidRPr="00DC62E0">
        <w:rPr>
          <w:rFonts w:asciiTheme="minorHAnsi" w:hAnsiTheme="minorHAnsi" w:cstheme="minorHAnsi"/>
          <w:color w:val="auto"/>
        </w:rPr>
        <w:t xml:space="preserve"> for providing the infrastructure required by development in these areas.  </w:t>
      </w:r>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It is intended to seek CIL on larger out-of-town/district centre retail developments.</w:t>
      </w:r>
    </w:p>
    <w:p w:rsidR="00162B21" w:rsidRPr="00162B21" w:rsidRDefault="00DA53BB" w:rsidP="00162B21">
      <w:pPr>
        <w:pStyle w:val="Heading2"/>
      </w:pPr>
      <w:bookmarkStart w:id="3" w:name="_Toc483911479"/>
      <w:bookmarkEnd w:id="2"/>
      <w:r>
        <w:t>Where to find out more</w:t>
      </w:r>
      <w:bookmarkStart w:id="4" w:name="_Toc460489498"/>
      <w:bookmarkEnd w:id="3"/>
    </w:p>
    <w:p w:rsidR="00162B21" w:rsidRPr="00162B21" w:rsidRDefault="00162B21" w:rsidP="00162B21">
      <w:pPr>
        <w:pStyle w:val="Heading3"/>
        <w:rPr>
          <w:rFonts w:asciiTheme="minorHAnsi" w:hAnsiTheme="minorHAnsi" w:cstheme="minorHAnsi"/>
          <w:color w:val="auto"/>
        </w:rPr>
      </w:pPr>
      <w:r>
        <w:rPr>
          <w:rFonts w:asciiTheme="minorHAnsi" w:hAnsiTheme="minorHAnsi" w:cstheme="minorHAnsi"/>
          <w:color w:val="auto"/>
        </w:rPr>
        <w:t xml:space="preserve">The Council’s accompanying policies on CIL, including instalments and relationship to s106 Obligations are set out in a separate document. The Regulation 123 List of projects that the </w:t>
      </w:r>
      <w:r>
        <w:rPr>
          <w:rFonts w:asciiTheme="minorHAnsi" w:hAnsiTheme="minorHAnsi" w:cstheme="minorHAnsi"/>
          <w:color w:val="auto"/>
        </w:rPr>
        <w:lastRenderedPageBreak/>
        <w:t xml:space="preserve">Council intends to spend CIL on is also published separately.  These documents do not form part of the CIL Charging Schedule and may be amended without the need for a new examination.  The accompanying policies and Regulation 123 List are available online at </w:t>
      </w:r>
      <w:hyperlink r:id="rId13" w:history="1">
        <w:r w:rsidRPr="006F1D55">
          <w:rPr>
            <w:rStyle w:val="Hyperlink"/>
            <w:rFonts w:asciiTheme="minorHAnsi" w:hAnsiTheme="minorHAnsi" w:cstheme="minorHAnsi"/>
          </w:rPr>
          <w:t>www.torbay.gov.uk/CIL</w:t>
        </w:r>
      </w:hyperlink>
    </w:p>
    <w:p w:rsidR="003D186D" w:rsidRPr="00435294" w:rsidRDefault="00DA53BB" w:rsidP="00435294">
      <w:pPr>
        <w:pStyle w:val="Heading3"/>
        <w:rPr>
          <w:rFonts w:asciiTheme="minorHAnsi" w:hAnsiTheme="minorHAnsi" w:cstheme="minorHAnsi"/>
          <w:color w:val="auto"/>
        </w:rPr>
      </w:pPr>
      <w:r w:rsidRPr="00DC62E0">
        <w:rPr>
          <w:rFonts w:asciiTheme="minorHAnsi" w:hAnsiTheme="minorHAnsi" w:cstheme="minorHAnsi"/>
          <w:color w:val="auto"/>
        </w:rPr>
        <w:t xml:space="preserve">More detailed advice on CIL and the relevant Regulations (with amendments) can be found on the Planning Advisory Service website: </w:t>
      </w:r>
      <w:hyperlink r:id="rId14" w:history="1">
        <w:r w:rsidR="003D186D" w:rsidRPr="00435294">
          <w:rPr>
            <w:rStyle w:val="Hyperlink"/>
            <w:rFonts w:asciiTheme="minorHAnsi" w:hAnsiTheme="minorHAnsi" w:cstheme="minorHAnsi"/>
            <w:color w:val="auto"/>
          </w:rPr>
          <w:t>http://www.pas.gov.uk/community-infrastructure-levy</w:t>
        </w:r>
      </w:hyperlink>
    </w:p>
    <w:p w:rsidR="00DA53BB" w:rsidRPr="001D1C09" w:rsidRDefault="00DA53BB" w:rsidP="001D1C09">
      <w:pPr>
        <w:pStyle w:val="Heading3"/>
        <w:rPr>
          <w:rFonts w:asciiTheme="minorHAnsi" w:hAnsiTheme="minorHAnsi" w:cstheme="minorHAnsi"/>
          <w:color w:val="auto"/>
        </w:rPr>
      </w:pPr>
      <w:r w:rsidRPr="00DC62E0">
        <w:rPr>
          <w:rFonts w:asciiTheme="minorHAnsi" w:hAnsiTheme="minorHAnsi" w:cstheme="minorHAnsi"/>
          <w:color w:val="auto"/>
        </w:rPr>
        <w:t>The government’s online Planning Practice Guidance (PPG), Part 25 contains detailed advice on CIL and links to relevant Regulations:</w:t>
      </w:r>
      <w:r w:rsidR="001D1C09">
        <w:rPr>
          <w:rFonts w:asciiTheme="minorHAnsi" w:hAnsiTheme="minorHAnsi" w:cstheme="minorHAnsi"/>
          <w:color w:val="auto"/>
        </w:rPr>
        <w:t xml:space="preserve"> </w:t>
      </w:r>
      <w:hyperlink r:id="rId15" w:history="1">
        <w:r w:rsidR="00723E5C" w:rsidRPr="001D1C09">
          <w:rPr>
            <w:rStyle w:val="Hyperlink"/>
            <w:rFonts w:asciiTheme="minorHAnsi" w:hAnsiTheme="minorHAnsi" w:cstheme="minorHAnsi"/>
            <w:color w:val="auto"/>
          </w:rPr>
          <w:t>http://planningguidance.planningportal.gov.uk/blog/guidance/community-infrastructure-levy/</w:t>
        </w:r>
      </w:hyperlink>
    </w:p>
    <w:p w:rsidR="00DA53BB" w:rsidRPr="00DC62E0" w:rsidRDefault="00DA53BB" w:rsidP="00DA53BB">
      <w:pPr>
        <w:pStyle w:val="Heading3"/>
        <w:rPr>
          <w:rFonts w:asciiTheme="minorHAnsi" w:hAnsiTheme="minorHAnsi" w:cstheme="minorHAnsi"/>
          <w:color w:val="auto"/>
        </w:rPr>
      </w:pPr>
      <w:r w:rsidRPr="00DC62E0">
        <w:rPr>
          <w:rFonts w:asciiTheme="minorHAnsi" w:hAnsiTheme="minorHAnsi" w:cstheme="minorHAnsi"/>
          <w:color w:val="auto"/>
        </w:rPr>
        <w:t xml:space="preserve">Other details about CIL can be found on the Planning Portal’s CIL page: </w:t>
      </w:r>
    </w:p>
    <w:p w:rsidR="001D1C09" w:rsidRPr="001D1C09" w:rsidRDefault="00657CBC" w:rsidP="001D1C09">
      <w:pPr>
        <w:pStyle w:val="Heading3"/>
        <w:numPr>
          <w:ilvl w:val="0"/>
          <w:numId w:val="0"/>
        </w:numPr>
        <w:ind w:left="1004" w:firstLine="436"/>
      </w:pPr>
      <w:hyperlink r:id="rId16" w:history="1">
        <w:r w:rsidR="003D186D" w:rsidRPr="00DC62E0">
          <w:rPr>
            <w:rStyle w:val="Hyperlink"/>
            <w:rFonts w:asciiTheme="minorHAnsi" w:hAnsiTheme="minorHAnsi" w:cstheme="minorHAnsi"/>
            <w:color w:val="auto"/>
          </w:rPr>
          <w:t>http://www.planningportal.gov.uk/planning/applications/howtoapply/whattosubmit/cil</w:t>
        </w:r>
      </w:hyperlink>
    </w:p>
    <w:p w:rsidR="001D1C09" w:rsidRPr="006D7F51" w:rsidRDefault="001D1C09" w:rsidP="001D1C09">
      <w:pPr>
        <w:pStyle w:val="Heading3"/>
        <w:rPr>
          <w:rFonts w:asciiTheme="minorHAnsi" w:hAnsiTheme="minorHAnsi" w:cstheme="minorHAnsi"/>
          <w:color w:val="auto"/>
        </w:rPr>
      </w:pPr>
      <w:r>
        <w:rPr>
          <w:rFonts w:asciiTheme="minorHAnsi" w:hAnsiTheme="minorHAnsi" w:cstheme="minorHAnsi"/>
          <w:color w:val="auto"/>
        </w:rPr>
        <w:t>CIL forms may be downloaded from the Planning Portal.  Note that the “</w:t>
      </w:r>
      <w:r w:rsidR="005C543D">
        <w:rPr>
          <w:rFonts w:asciiTheme="minorHAnsi" w:hAnsiTheme="minorHAnsi" w:cstheme="minorHAnsi"/>
          <w:color w:val="auto"/>
        </w:rPr>
        <w:t>P</w:t>
      </w:r>
      <w:r>
        <w:rPr>
          <w:rFonts w:asciiTheme="minorHAnsi" w:hAnsiTheme="minorHAnsi" w:cstheme="minorHAnsi"/>
          <w:color w:val="auto"/>
        </w:rPr>
        <w:t>lanning Application- Additional Information Requirements Form</w:t>
      </w:r>
      <w:r w:rsidR="005C543D">
        <w:rPr>
          <w:rFonts w:asciiTheme="minorHAnsi" w:hAnsiTheme="minorHAnsi" w:cstheme="minorHAnsi"/>
          <w:color w:val="auto"/>
        </w:rPr>
        <w:t>”</w:t>
      </w:r>
      <w:r>
        <w:rPr>
          <w:rFonts w:asciiTheme="minorHAnsi" w:hAnsiTheme="minorHAnsi" w:cstheme="minorHAnsi"/>
          <w:color w:val="auto"/>
        </w:rPr>
        <w:t xml:space="preserve"> must be submitted with all planning applications. </w:t>
      </w:r>
      <w:r w:rsidR="006D7F51">
        <w:rPr>
          <w:rFonts w:asciiTheme="minorHAnsi" w:hAnsiTheme="minorHAnsi" w:cstheme="minorHAnsi"/>
          <w:color w:val="auto"/>
        </w:rPr>
        <w:t>The forms may be downloaded from</w:t>
      </w:r>
      <w:r>
        <w:rPr>
          <w:rFonts w:asciiTheme="minorHAnsi" w:hAnsiTheme="minorHAnsi" w:cstheme="minorHAnsi"/>
          <w:color w:val="auto"/>
        </w:rPr>
        <w:t>:</w:t>
      </w:r>
      <w:r w:rsidR="006D7F51">
        <w:rPr>
          <w:rFonts w:asciiTheme="minorHAnsi" w:hAnsiTheme="minorHAnsi" w:cstheme="minorHAnsi"/>
          <w:color w:val="auto"/>
        </w:rPr>
        <w:t xml:space="preserve"> </w:t>
      </w:r>
      <w:hyperlink r:id="rId17" w:history="1">
        <w:r w:rsidRPr="000D5632">
          <w:rPr>
            <w:rStyle w:val="Hyperlink"/>
          </w:rPr>
          <w:t>https://www.planningportal.co.uk/info/200126/applications/70/community_infrastructure_levy/5</w:t>
        </w:r>
      </w:hyperlink>
    </w:p>
    <w:p w:rsidR="00DA53BB" w:rsidRPr="00DB0E68" w:rsidRDefault="00DA53BB" w:rsidP="00DB0E68">
      <w:pPr>
        <w:pStyle w:val="Heading3"/>
        <w:rPr>
          <w:rFonts w:asciiTheme="minorHAnsi" w:hAnsiTheme="minorHAnsi" w:cstheme="minorHAnsi"/>
          <w:color w:val="auto"/>
        </w:rPr>
      </w:pPr>
      <w:r w:rsidRPr="00DC62E0">
        <w:rPr>
          <w:rFonts w:asciiTheme="minorHAnsi" w:hAnsiTheme="minorHAnsi" w:cstheme="minorHAnsi"/>
          <w:color w:val="auto"/>
        </w:rPr>
        <w:t xml:space="preserve">Details of viability evidence and infrastructure requirements are available online at: </w:t>
      </w:r>
      <w:hyperlink r:id="rId18" w:history="1">
        <w:r w:rsidR="003D186D" w:rsidRPr="00DB0E68">
          <w:rPr>
            <w:rStyle w:val="Hyperlink"/>
            <w:rFonts w:asciiTheme="minorHAnsi" w:hAnsiTheme="minorHAnsi" w:cstheme="minorHAnsi"/>
            <w:color w:val="auto"/>
          </w:rPr>
          <w:t>www.torbay.gov.uk/CIL</w:t>
        </w:r>
      </w:hyperlink>
    </w:p>
    <w:p w:rsidR="00EC739A" w:rsidRPr="00EB52D8" w:rsidRDefault="00EC739A">
      <w:pPr>
        <w:rPr>
          <w:rFonts w:asciiTheme="majorHAnsi" w:eastAsiaTheme="majorEastAsia" w:hAnsiTheme="majorHAnsi" w:cstheme="majorBidi"/>
          <w:b/>
          <w:bCs/>
          <w:sz w:val="36"/>
          <w:szCs w:val="36"/>
        </w:rPr>
      </w:pPr>
      <w:bookmarkStart w:id="5" w:name="_Toc460489500"/>
      <w:bookmarkEnd w:id="4"/>
      <w:r w:rsidRPr="00EB52D8">
        <w:br w:type="page"/>
      </w:r>
    </w:p>
    <w:p w:rsidR="006F24A3" w:rsidRPr="006F24A3" w:rsidRDefault="003D186D" w:rsidP="00BE6671">
      <w:pPr>
        <w:pStyle w:val="Heading2"/>
      </w:pPr>
      <w:bookmarkStart w:id="6" w:name="_Toc483911480"/>
      <w:bookmarkEnd w:id="5"/>
      <w:r>
        <w:lastRenderedPageBreak/>
        <w:t>Who pays CIL?</w:t>
      </w:r>
      <w:bookmarkEnd w:id="6"/>
    </w:p>
    <w:p w:rsidR="003D186D" w:rsidRPr="00800074" w:rsidRDefault="003D186D" w:rsidP="003D186D">
      <w:pPr>
        <w:pStyle w:val="Heading3"/>
        <w:rPr>
          <w:rFonts w:asciiTheme="minorHAnsi" w:hAnsiTheme="minorHAnsi" w:cstheme="minorHAnsi"/>
          <w:color w:val="auto"/>
        </w:rPr>
      </w:pPr>
      <w:bookmarkStart w:id="7" w:name="_Toc460489501"/>
      <w:r w:rsidRPr="00800074">
        <w:rPr>
          <w:rFonts w:asciiTheme="minorHAnsi" w:hAnsiTheme="minorHAnsi" w:cstheme="minorHAnsi"/>
          <w:color w:val="auto"/>
        </w:rPr>
        <w:t>CIL applies to developments that create more than 100 sq m gross internal floorspace of new development</w:t>
      </w:r>
      <w:r w:rsidR="00D14CA9">
        <w:rPr>
          <w:rFonts w:asciiTheme="minorHAnsi" w:hAnsiTheme="minorHAnsi" w:cstheme="minorHAnsi"/>
          <w:color w:val="auto"/>
        </w:rPr>
        <w:t xml:space="preserve">.  </w:t>
      </w:r>
      <w:r w:rsidR="00AF4B04">
        <w:rPr>
          <w:rFonts w:asciiTheme="minorHAnsi" w:hAnsiTheme="minorHAnsi" w:cstheme="minorHAnsi"/>
          <w:color w:val="auto"/>
        </w:rPr>
        <w:t xml:space="preserve">Where developments are above the threshold for CIL, it is levied on the entire amount of additional floorspace (not just the floorspace above the threshold). </w:t>
      </w:r>
      <w:r w:rsidR="00D14CA9">
        <w:rPr>
          <w:rFonts w:asciiTheme="minorHAnsi" w:hAnsiTheme="minorHAnsi" w:cstheme="minorHAnsi"/>
          <w:color w:val="auto"/>
        </w:rPr>
        <w:t>New dwellings</w:t>
      </w:r>
      <w:r w:rsidRPr="00800074">
        <w:rPr>
          <w:rFonts w:asciiTheme="minorHAnsi" w:hAnsiTheme="minorHAnsi" w:cstheme="minorHAnsi"/>
          <w:color w:val="auto"/>
        </w:rPr>
        <w:t xml:space="preserve"> are also liable to CIL even if less than 100 sq m, unless built by a “self-builder” and an exemption is obtained</w:t>
      </w:r>
      <w:r w:rsidR="005C543D">
        <w:rPr>
          <w:rFonts w:asciiTheme="minorHAnsi" w:hAnsiTheme="minorHAnsi" w:cstheme="minorHAnsi"/>
          <w:color w:val="auto"/>
        </w:rPr>
        <w:t xml:space="preserve"> before development commences</w:t>
      </w:r>
      <w:r w:rsidR="00D14CA9">
        <w:rPr>
          <w:rFonts w:asciiTheme="minorHAnsi" w:hAnsiTheme="minorHAnsi" w:cstheme="minorHAnsi"/>
          <w:color w:val="auto"/>
        </w:rPr>
        <w:t xml:space="preserve">.  </w:t>
      </w:r>
      <w:r w:rsidR="00D14CA9" w:rsidRPr="00800074">
        <w:rPr>
          <w:rFonts w:asciiTheme="minorHAnsi" w:hAnsiTheme="minorHAnsi" w:cstheme="minorHAnsi"/>
          <w:color w:val="auto"/>
        </w:rPr>
        <w:t>CIL is not collected if it would be less than £50.</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 xml:space="preserve">CIL only applies to places where people usually go, so does not cover buildings such as electricity sub-stations or plant rooms.  </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 xml:space="preserve">Social housing (as defined in the CIL Regulations) is exempt, as are charities so long as the development is used for charitable purposes. </w:t>
      </w:r>
      <w:r w:rsidR="005C543D">
        <w:rPr>
          <w:rFonts w:asciiTheme="minorHAnsi" w:hAnsiTheme="minorHAnsi" w:cstheme="minorHAnsi"/>
          <w:color w:val="auto"/>
        </w:rPr>
        <w:t xml:space="preserve">Exemption must be claimed before development commences. </w:t>
      </w:r>
      <w:r w:rsidRPr="00800074">
        <w:rPr>
          <w:rFonts w:asciiTheme="minorHAnsi" w:hAnsiTheme="minorHAnsi" w:cstheme="minorHAnsi"/>
          <w:color w:val="auto"/>
        </w:rPr>
        <w:t xml:space="preserve"> </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Note that CIL is payable on qualifying developments whether they require express planning permission or are permitted under the General Permitted Development Order (as amended)</w:t>
      </w:r>
      <w:r w:rsidR="009A3AAB" w:rsidRPr="00800074">
        <w:rPr>
          <w:rFonts w:asciiTheme="minorHAnsi" w:hAnsiTheme="minorHAnsi" w:cstheme="minorHAnsi"/>
          <w:color w:val="auto"/>
        </w:rPr>
        <w:t xml:space="preserve"> (GPDO)</w:t>
      </w:r>
      <w:r w:rsidRPr="00800074">
        <w:rPr>
          <w:rFonts w:asciiTheme="minorHAnsi" w:hAnsiTheme="minorHAnsi" w:cstheme="minorHAnsi"/>
          <w:color w:val="auto"/>
        </w:rPr>
        <w:t>, Prior Approval or Local Development Orders (LDOs).</w:t>
      </w:r>
      <w:r w:rsidR="00CA7999">
        <w:rPr>
          <w:rFonts w:asciiTheme="minorHAnsi" w:hAnsiTheme="minorHAnsi" w:cstheme="minorHAnsi"/>
          <w:color w:val="auto"/>
        </w:rPr>
        <w:t xml:space="preserve"> </w:t>
      </w:r>
      <w:r w:rsidR="00AC4240">
        <w:rPr>
          <w:rFonts w:asciiTheme="minorHAnsi" w:hAnsiTheme="minorHAnsi" w:cstheme="minorHAnsi"/>
          <w:color w:val="auto"/>
        </w:rPr>
        <w:t xml:space="preserve"> A legal definition is set out in Regulation 5 of the CIL Regulations. </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 xml:space="preserve">CIL will be used to help fund major infrastructure projects set out in the key infrastructure projects list (“Regulation 123” List). Should other infrastructure needs arise that require CIL funding, the Council will publish a revised Regulation 123 List.  </w:t>
      </w:r>
    </w:p>
    <w:p w:rsidR="003D186D" w:rsidRPr="00800074" w:rsidRDefault="003D186D" w:rsidP="003D186D">
      <w:pPr>
        <w:pStyle w:val="Heading3"/>
        <w:rPr>
          <w:rFonts w:asciiTheme="minorHAnsi" w:hAnsiTheme="minorHAnsi" w:cstheme="minorHAnsi"/>
          <w:color w:val="auto"/>
        </w:rPr>
      </w:pPr>
      <w:r w:rsidRPr="00800074">
        <w:rPr>
          <w:rFonts w:asciiTheme="minorHAnsi" w:hAnsiTheme="minorHAnsi" w:cstheme="minorHAnsi"/>
          <w:color w:val="auto"/>
        </w:rPr>
        <w:t xml:space="preserve">A “neighbourhood portion” of CIL must be spent in the neighbourhood in which CIL arises.  When Neighbourhood Plans </w:t>
      </w:r>
      <w:r w:rsidR="00266F13">
        <w:rPr>
          <w:rFonts w:asciiTheme="minorHAnsi" w:hAnsiTheme="minorHAnsi" w:cstheme="minorHAnsi"/>
          <w:color w:val="auto"/>
        </w:rPr>
        <w:t>are in place</w:t>
      </w:r>
      <w:r w:rsidR="00723E5C">
        <w:rPr>
          <w:rFonts w:asciiTheme="minorHAnsi" w:hAnsiTheme="minorHAnsi" w:cstheme="minorHAnsi"/>
          <w:color w:val="auto"/>
        </w:rPr>
        <w:t xml:space="preserve">, this will be 25%. </w:t>
      </w:r>
      <w:r w:rsidRPr="00800074">
        <w:rPr>
          <w:rFonts w:asciiTheme="minorHAnsi" w:hAnsiTheme="minorHAnsi" w:cstheme="minorHAnsi"/>
          <w:color w:val="auto"/>
        </w:rPr>
        <w:t xml:space="preserve">The proportion will be 15% until Neighbourhood Plans are </w:t>
      </w:r>
      <w:r w:rsidR="00266F13">
        <w:rPr>
          <w:rFonts w:asciiTheme="minorHAnsi" w:hAnsiTheme="minorHAnsi" w:cstheme="minorHAnsi"/>
          <w:color w:val="auto"/>
        </w:rPr>
        <w:t>in place</w:t>
      </w:r>
      <w:r w:rsidRPr="00800074">
        <w:rPr>
          <w:rFonts w:asciiTheme="minorHAnsi" w:hAnsiTheme="minorHAnsi" w:cstheme="minorHAnsi"/>
          <w:color w:val="auto"/>
        </w:rPr>
        <w:t xml:space="preserve">.  </w:t>
      </w:r>
      <w:r w:rsidR="00620FC3">
        <w:rPr>
          <w:rFonts w:asciiTheme="minorHAnsi" w:hAnsiTheme="minorHAnsi" w:cstheme="minorHAnsi"/>
          <w:color w:val="auto"/>
        </w:rPr>
        <w:t xml:space="preserve">“In place” is defined by CIL Regulation </w:t>
      </w:r>
      <w:proofErr w:type="gramStart"/>
      <w:r w:rsidR="00620FC3">
        <w:rPr>
          <w:rFonts w:asciiTheme="minorHAnsi" w:hAnsiTheme="minorHAnsi" w:cstheme="minorHAnsi"/>
          <w:color w:val="auto"/>
        </w:rPr>
        <w:t>59A(</w:t>
      </w:r>
      <w:proofErr w:type="gramEnd"/>
      <w:r w:rsidR="00620FC3">
        <w:rPr>
          <w:rFonts w:asciiTheme="minorHAnsi" w:hAnsiTheme="minorHAnsi" w:cstheme="minorHAnsi"/>
          <w:color w:val="auto"/>
        </w:rPr>
        <w:t>11)) as being</w:t>
      </w:r>
      <w:r w:rsidR="00620FC3" w:rsidRPr="00800074">
        <w:rPr>
          <w:rFonts w:asciiTheme="minorHAnsi" w:hAnsiTheme="minorHAnsi" w:cstheme="minorHAnsi"/>
          <w:color w:val="auto"/>
        </w:rPr>
        <w:t xml:space="preserve"> “made” </w:t>
      </w:r>
      <w:r w:rsidR="00620FC3">
        <w:rPr>
          <w:rFonts w:asciiTheme="minorHAnsi" w:hAnsiTheme="minorHAnsi" w:cstheme="minorHAnsi"/>
          <w:color w:val="auto"/>
        </w:rPr>
        <w:t>(</w:t>
      </w:r>
      <w:r w:rsidR="00620FC3" w:rsidRPr="00800074">
        <w:rPr>
          <w:rFonts w:asciiTheme="minorHAnsi" w:hAnsiTheme="minorHAnsi" w:cstheme="minorHAnsi"/>
          <w:color w:val="auto"/>
        </w:rPr>
        <w:t>adopted</w:t>
      </w:r>
      <w:r w:rsidR="00620FC3">
        <w:rPr>
          <w:rFonts w:asciiTheme="minorHAnsi" w:hAnsiTheme="minorHAnsi" w:cstheme="minorHAnsi"/>
          <w:color w:val="auto"/>
        </w:rPr>
        <w:t xml:space="preserve">) and extant. </w:t>
      </w:r>
    </w:p>
    <w:p w:rsidR="0046115D" w:rsidRPr="0046115D" w:rsidRDefault="003D186D" w:rsidP="005F214C">
      <w:pPr>
        <w:pStyle w:val="Heading2"/>
        <w:rPr>
          <w:lang w:val="en-GB"/>
        </w:rPr>
      </w:pPr>
      <w:bookmarkStart w:id="8" w:name="_Toc483911481"/>
      <w:bookmarkStart w:id="9" w:name="_Toc460489507"/>
      <w:bookmarkEnd w:id="7"/>
      <w:r>
        <w:rPr>
          <w:rFonts w:ascii="Arial" w:hAnsi="Arial" w:cs="Arial"/>
          <w:lang w:val="en-GB"/>
        </w:rPr>
        <w:t>Social housing and self-build housing exemptions</w:t>
      </w:r>
      <w:bookmarkEnd w:id="8"/>
    </w:p>
    <w:p w:rsidR="009A3AAB" w:rsidRPr="00800074" w:rsidRDefault="009A3AAB" w:rsidP="00DC62E0">
      <w:pPr>
        <w:pStyle w:val="Heading3"/>
        <w:rPr>
          <w:rFonts w:asciiTheme="minorHAnsi" w:hAnsiTheme="minorHAnsi" w:cstheme="minorHAnsi"/>
          <w:color w:val="auto"/>
          <w:lang w:val="en-GB"/>
        </w:rPr>
      </w:pPr>
      <w:bookmarkStart w:id="10" w:name="_Toc460489531"/>
      <w:bookmarkEnd w:id="9"/>
      <w:r w:rsidRPr="00800074">
        <w:rPr>
          <w:rFonts w:asciiTheme="minorHAnsi" w:hAnsiTheme="minorHAnsi" w:cstheme="minorHAnsi"/>
          <w:color w:val="auto"/>
          <w:lang w:val="en-GB"/>
        </w:rPr>
        <w:t xml:space="preserve">Social housing as defined in Regulation 49 of the CIL Regulations (as amended) and self-build/custom-build housing have a mandatory exemption from CIL.  </w:t>
      </w:r>
    </w:p>
    <w:p w:rsidR="007B4139" w:rsidRDefault="009A3AAB" w:rsidP="00DC62E0">
      <w:pPr>
        <w:pStyle w:val="Heading3"/>
        <w:rPr>
          <w:rFonts w:asciiTheme="minorHAnsi" w:hAnsiTheme="minorHAnsi" w:cstheme="minorHAnsi"/>
          <w:color w:val="auto"/>
          <w:lang w:val="en-GB"/>
        </w:rPr>
      </w:pPr>
      <w:r w:rsidRPr="00800074">
        <w:rPr>
          <w:rFonts w:asciiTheme="minorHAnsi" w:hAnsiTheme="minorHAnsi" w:cstheme="minorHAnsi"/>
          <w:color w:val="auto"/>
          <w:lang w:val="en-GB"/>
        </w:rPr>
        <w:t xml:space="preserve">Self-build/custom-build housing is defined in the CIL Regulations (as inserted in 2014).  </w:t>
      </w:r>
    </w:p>
    <w:p w:rsidR="00E63A4C" w:rsidRPr="007B4139" w:rsidRDefault="007B4139" w:rsidP="007B4139">
      <w:pPr>
        <w:pStyle w:val="Heading3"/>
        <w:rPr>
          <w:rFonts w:asciiTheme="minorHAnsi" w:hAnsiTheme="minorHAnsi" w:cstheme="minorHAnsi"/>
          <w:color w:val="auto"/>
          <w:lang w:val="en-GB"/>
        </w:rPr>
      </w:pPr>
      <w:r>
        <w:rPr>
          <w:rFonts w:asciiTheme="minorHAnsi" w:hAnsiTheme="minorHAnsi" w:cstheme="minorHAnsi"/>
          <w:color w:val="auto"/>
          <w:lang w:val="en-GB"/>
        </w:rPr>
        <w:t>Part 6 of the CIL Regulations (Regs 41-58)</w:t>
      </w:r>
      <w:r w:rsidR="009A3AAB" w:rsidRPr="00800074">
        <w:rPr>
          <w:rFonts w:asciiTheme="minorHAnsi" w:hAnsiTheme="minorHAnsi" w:cstheme="minorHAnsi"/>
          <w:color w:val="auto"/>
          <w:lang w:val="en-GB"/>
        </w:rPr>
        <w:t xml:space="preserve"> sets out procedures that must be followed in order for exemption</w:t>
      </w:r>
      <w:r>
        <w:rPr>
          <w:rFonts w:asciiTheme="minorHAnsi" w:hAnsiTheme="minorHAnsi" w:cstheme="minorHAnsi"/>
          <w:color w:val="auto"/>
          <w:lang w:val="en-GB"/>
        </w:rPr>
        <w:t>s</w:t>
      </w:r>
      <w:r w:rsidR="009A3AAB" w:rsidRPr="00800074">
        <w:rPr>
          <w:rFonts w:asciiTheme="minorHAnsi" w:hAnsiTheme="minorHAnsi" w:cstheme="minorHAnsi"/>
          <w:color w:val="auto"/>
          <w:lang w:val="en-GB"/>
        </w:rPr>
        <w:t xml:space="preserve"> to apply. </w:t>
      </w:r>
      <w:r w:rsidR="009A3AAB" w:rsidRPr="003A5E34">
        <w:rPr>
          <w:rFonts w:asciiTheme="minorHAnsi" w:hAnsiTheme="minorHAnsi" w:cstheme="minorHAnsi"/>
          <w:b/>
          <w:color w:val="672080" w:themeColor="text1"/>
          <w:lang w:val="en-GB"/>
        </w:rPr>
        <w:t>Exemption</w:t>
      </w:r>
      <w:r>
        <w:rPr>
          <w:rFonts w:asciiTheme="minorHAnsi" w:hAnsiTheme="minorHAnsi" w:cstheme="minorHAnsi"/>
          <w:b/>
          <w:color w:val="672080" w:themeColor="text1"/>
          <w:lang w:val="en-GB"/>
        </w:rPr>
        <w:t xml:space="preserve"> for CIL</w:t>
      </w:r>
      <w:r w:rsidR="009A3AAB" w:rsidRPr="003A5E34">
        <w:rPr>
          <w:rFonts w:asciiTheme="minorHAnsi" w:hAnsiTheme="minorHAnsi" w:cstheme="minorHAnsi"/>
          <w:b/>
          <w:color w:val="672080" w:themeColor="text1"/>
          <w:lang w:val="en-GB"/>
        </w:rPr>
        <w:t xml:space="preserve"> can only be claimed before development is commenced.</w:t>
      </w:r>
      <w:bookmarkStart w:id="11" w:name="_Toc460489535"/>
      <w:bookmarkEnd w:id="10"/>
    </w:p>
    <w:bookmarkEnd w:id="11"/>
    <w:p w:rsidR="00553EB3" w:rsidRDefault="00553EB3">
      <w:pPr>
        <w:rPr>
          <w:rFonts w:asciiTheme="majorHAnsi" w:eastAsiaTheme="majorEastAsia" w:hAnsiTheme="majorHAnsi" w:cstheme="majorBidi"/>
          <w:bCs/>
          <w:caps/>
          <w:color w:val="672080" w:themeColor="text1"/>
          <w:sz w:val="48"/>
          <w:szCs w:val="28"/>
          <w:highlight w:val="lightGray"/>
        </w:rPr>
      </w:pPr>
      <w:r>
        <w:rPr>
          <w:rFonts w:asciiTheme="majorHAnsi" w:eastAsiaTheme="majorEastAsia" w:hAnsiTheme="majorHAnsi" w:cstheme="majorBidi"/>
          <w:bCs/>
          <w:caps/>
          <w:color w:val="672080" w:themeColor="text1"/>
          <w:sz w:val="48"/>
          <w:szCs w:val="28"/>
          <w:highlight w:val="lightGray"/>
        </w:rPr>
        <w:br w:type="page"/>
      </w:r>
    </w:p>
    <w:p w:rsidR="00657964" w:rsidRPr="009A3AAB" w:rsidRDefault="009A3AAB" w:rsidP="005E3D7C">
      <w:pPr>
        <w:pStyle w:val="Heading1"/>
      </w:pPr>
      <w:bookmarkStart w:id="12" w:name="_Toc483911482"/>
      <w:bookmarkStart w:id="13" w:name="_Toc460489536"/>
      <w:r w:rsidRPr="009A3AAB">
        <w:lastRenderedPageBreak/>
        <w:t>Torbay CIL Charging Schedule</w:t>
      </w:r>
      <w:bookmarkEnd w:id="12"/>
      <w:r w:rsidRPr="009A3AAB">
        <w:t xml:space="preserve"> </w:t>
      </w:r>
      <w:bookmarkEnd w:id="13"/>
    </w:p>
    <w:p w:rsidR="008E4050" w:rsidRPr="008E4050" w:rsidRDefault="009A3AAB" w:rsidP="005F214C">
      <w:pPr>
        <w:pStyle w:val="Heading2"/>
      </w:pPr>
      <w:bookmarkStart w:id="14" w:name="_Toc483911483"/>
      <w:r>
        <w:t>Residential Development</w:t>
      </w:r>
      <w:bookmarkEnd w:id="14"/>
    </w:p>
    <w:p w:rsidR="009A3AAB" w:rsidRPr="00800074" w:rsidRDefault="009A3AAB" w:rsidP="009A3AAB">
      <w:pPr>
        <w:pStyle w:val="Heading3"/>
        <w:rPr>
          <w:rFonts w:asciiTheme="minorHAnsi" w:hAnsiTheme="minorHAnsi" w:cstheme="minorHAnsi"/>
          <w:color w:val="auto"/>
        </w:rPr>
      </w:pPr>
      <w:bookmarkStart w:id="15" w:name="_Toc460489556"/>
      <w:r w:rsidRPr="00800074">
        <w:rPr>
          <w:rFonts w:asciiTheme="minorHAnsi" w:hAnsiTheme="minorHAnsi" w:cstheme="minorHAnsi"/>
          <w:color w:val="auto"/>
        </w:rPr>
        <w:t xml:space="preserve">The Charging Schedule sets out </w:t>
      </w:r>
      <w:r w:rsidR="005C543D">
        <w:rPr>
          <w:rFonts w:asciiTheme="minorHAnsi" w:hAnsiTheme="minorHAnsi" w:cstheme="minorHAnsi"/>
          <w:color w:val="auto"/>
        </w:rPr>
        <w:t>three</w:t>
      </w:r>
      <w:r w:rsidRPr="00800074">
        <w:rPr>
          <w:rFonts w:asciiTheme="minorHAnsi" w:hAnsiTheme="minorHAnsi" w:cstheme="minorHAnsi"/>
          <w:color w:val="auto"/>
        </w:rPr>
        <w:t xml:space="preserve"> residential Charging Zones:</w:t>
      </w:r>
    </w:p>
    <w:p w:rsidR="009A3AAB" w:rsidRPr="00800074" w:rsidRDefault="009A3AAB" w:rsidP="009A3AAB">
      <w:pPr>
        <w:pStyle w:val="Heading3"/>
        <w:numPr>
          <w:ilvl w:val="0"/>
          <w:numId w:val="0"/>
        </w:numPr>
        <w:ind w:left="1439" w:hanging="435"/>
        <w:rPr>
          <w:rFonts w:asciiTheme="minorHAnsi" w:hAnsiTheme="minorHAnsi" w:cstheme="minorHAnsi"/>
          <w:color w:val="auto"/>
        </w:rPr>
      </w:pPr>
      <w:r w:rsidRPr="00DC62E0">
        <w:rPr>
          <w:rFonts w:asciiTheme="minorHAnsi" w:hAnsiTheme="minorHAnsi" w:cstheme="minorHAnsi"/>
          <w:color w:val="672080" w:themeColor="text1"/>
        </w:rPr>
        <w:t>1)</w:t>
      </w:r>
      <w:r w:rsidRPr="00DC62E0">
        <w:rPr>
          <w:rFonts w:asciiTheme="minorHAnsi" w:hAnsiTheme="minorHAnsi" w:cstheme="minorHAnsi"/>
          <w:color w:val="672080" w:themeColor="text1"/>
        </w:rPr>
        <w:tab/>
      </w:r>
      <w:r w:rsidRPr="00DC62E0">
        <w:rPr>
          <w:rFonts w:asciiTheme="minorHAnsi" w:hAnsiTheme="minorHAnsi" w:cstheme="minorHAnsi"/>
          <w:b/>
          <w:color w:val="672080" w:themeColor="text1"/>
        </w:rPr>
        <w:t>“Inner Urban” Built-up areas with lower development viability.</w:t>
      </w:r>
      <w:r w:rsidRPr="00800074">
        <w:rPr>
          <w:rFonts w:asciiTheme="minorHAnsi" w:hAnsiTheme="minorHAnsi" w:cstheme="minorHAnsi"/>
          <w:color w:val="auto"/>
        </w:rPr>
        <w:t xml:space="preserve"> </w:t>
      </w:r>
      <w:r w:rsidR="009D0CD6">
        <w:rPr>
          <w:rFonts w:asciiTheme="minorHAnsi" w:hAnsiTheme="minorHAnsi" w:cstheme="minorHAnsi"/>
          <w:color w:val="auto"/>
        </w:rPr>
        <w:t xml:space="preserve"> </w:t>
      </w:r>
      <w:r w:rsidR="009D0CD6" w:rsidRPr="00800074">
        <w:rPr>
          <w:rFonts w:asciiTheme="minorHAnsi" w:hAnsiTheme="minorHAnsi" w:cstheme="minorHAnsi"/>
          <w:color w:val="auto"/>
        </w:rPr>
        <w:t>Residential development of more than 3 dwellings will be charged CIL</w:t>
      </w:r>
      <w:r w:rsidR="009D0CD6">
        <w:rPr>
          <w:rFonts w:asciiTheme="minorHAnsi" w:hAnsiTheme="minorHAnsi" w:cstheme="minorHAnsi"/>
          <w:color w:val="auto"/>
        </w:rPr>
        <w:t xml:space="preserve"> at £30 per sq m</w:t>
      </w:r>
      <w:r w:rsidR="009D0CD6" w:rsidRPr="00800074">
        <w:rPr>
          <w:rFonts w:asciiTheme="minorHAnsi" w:hAnsiTheme="minorHAnsi" w:cstheme="minorHAnsi"/>
          <w:color w:val="auto"/>
        </w:rPr>
        <w:t>.</w:t>
      </w:r>
      <w:r w:rsidRPr="00800074">
        <w:rPr>
          <w:rFonts w:asciiTheme="minorHAnsi" w:hAnsiTheme="minorHAnsi" w:cstheme="minorHAnsi"/>
          <w:color w:val="auto"/>
        </w:rPr>
        <w:t xml:space="preserve">  Conditions or s106 Obligations will be sought to address site deliverability matters, and to make development legal in terms of its impact on Habitats Regulations matters etc.  </w:t>
      </w:r>
    </w:p>
    <w:p w:rsidR="009A3AAB" w:rsidRPr="00800074" w:rsidRDefault="009A3AAB" w:rsidP="009A3AAB">
      <w:pPr>
        <w:pStyle w:val="Heading3"/>
        <w:numPr>
          <w:ilvl w:val="0"/>
          <w:numId w:val="0"/>
        </w:numPr>
        <w:ind w:left="1439" w:hanging="435"/>
        <w:rPr>
          <w:rFonts w:asciiTheme="minorHAnsi" w:hAnsiTheme="minorHAnsi" w:cstheme="minorHAnsi"/>
          <w:color w:val="auto"/>
        </w:rPr>
      </w:pPr>
      <w:r w:rsidRPr="00DC62E0">
        <w:rPr>
          <w:rFonts w:asciiTheme="minorHAnsi" w:hAnsiTheme="minorHAnsi" w:cstheme="minorHAnsi"/>
          <w:color w:val="672080" w:themeColor="text1"/>
        </w:rPr>
        <w:t>2)</w:t>
      </w:r>
      <w:r w:rsidRPr="00DC62E0">
        <w:rPr>
          <w:rFonts w:asciiTheme="minorHAnsi" w:hAnsiTheme="minorHAnsi" w:cstheme="minorHAnsi"/>
          <w:color w:val="672080" w:themeColor="text1"/>
        </w:rPr>
        <w:tab/>
      </w:r>
      <w:r w:rsidRPr="00DC62E0">
        <w:rPr>
          <w:rFonts w:asciiTheme="minorHAnsi" w:hAnsiTheme="minorHAnsi" w:cstheme="minorHAnsi"/>
          <w:b/>
          <w:color w:val="672080" w:themeColor="text1"/>
        </w:rPr>
        <w:t>Elsewhere in the built-up area.</w:t>
      </w:r>
      <w:r w:rsidRPr="00800074">
        <w:rPr>
          <w:rFonts w:asciiTheme="minorHAnsi" w:hAnsiTheme="minorHAnsi" w:cstheme="minorHAnsi"/>
          <w:color w:val="auto"/>
        </w:rPr>
        <w:t xml:space="preserve">  Residential development of more than 3 dwellings will be charged CIL</w:t>
      </w:r>
      <w:r w:rsidR="007F33D0">
        <w:rPr>
          <w:rFonts w:asciiTheme="minorHAnsi" w:hAnsiTheme="minorHAnsi" w:cstheme="minorHAnsi"/>
          <w:color w:val="auto"/>
        </w:rPr>
        <w:t xml:space="preserve"> at £70 per sq m. </w:t>
      </w:r>
      <w:r w:rsidRPr="00800074">
        <w:rPr>
          <w:rFonts w:asciiTheme="minorHAnsi" w:hAnsiTheme="minorHAnsi" w:cstheme="minorHAnsi"/>
          <w:color w:val="auto"/>
        </w:rPr>
        <w:t xml:space="preserve"> </w:t>
      </w:r>
      <w:r w:rsidR="007F33D0">
        <w:rPr>
          <w:rFonts w:asciiTheme="minorHAnsi" w:hAnsiTheme="minorHAnsi" w:cstheme="minorHAnsi"/>
          <w:color w:val="auto"/>
        </w:rPr>
        <w:t>Charging Zone 2</w:t>
      </w:r>
      <w:r w:rsidRPr="00800074">
        <w:rPr>
          <w:rFonts w:asciiTheme="minorHAnsi" w:hAnsiTheme="minorHAnsi" w:cstheme="minorHAnsi"/>
          <w:color w:val="auto"/>
        </w:rPr>
        <w:t xml:space="preserve"> is defined as areas outside the Policy C1 “Countryside and rural economy” area or Policy C2 “Undeveloped coast area” in the Adopted Torbay Local Plan </w:t>
      </w:r>
      <w:r w:rsidR="007D3527" w:rsidRPr="00800074">
        <w:rPr>
          <w:rFonts w:asciiTheme="minorHAnsi" w:hAnsiTheme="minorHAnsi" w:cstheme="minorHAnsi"/>
          <w:color w:val="auto"/>
        </w:rPr>
        <w:t>(</w:t>
      </w:r>
      <w:r w:rsidRPr="00800074">
        <w:rPr>
          <w:rFonts w:asciiTheme="minorHAnsi" w:hAnsiTheme="minorHAnsi" w:cstheme="minorHAnsi"/>
          <w:color w:val="auto"/>
        </w:rPr>
        <w:t>2012-30</w:t>
      </w:r>
      <w:r w:rsidR="007D3527" w:rsidRPr="00800074">
        <w:rPr>
          <w:rFonts w:asciiTheme="minorHAnsi" w:hAnsiTheme="minorHAnsi" w:cstheme="minorHAnsi"/>
          <w:color w:val="auto"/>
        </w:rPr>
        <w:t>)</w:t>
      </w:r>
      <w:r w:rsidRPr="00800074">
        <w:rPr>
          <w:rFonts w:asciiTheme="minorHAnsi" w:hAnsiTheme="minorHAnsi" w:cstheme="minorHAnsi"/>
          <w:color w:val="auto"/>
        </w:rPr>
        <w:t xml:space="preserve">, that are not within Zone 1 or a Future Growth Area. In addition </w:t>
      </w:r>
      <w:r w:rsidR="007B4139">
        <w:rPr>
          <w:rFonts w:asciiTheme="minorHAnsi" w:hAnsiTheme="minorHAnsi" w:cstheme="minorHAnsi"/>
          <w:color w:val="auto"/>
        </w:rPr>
        <w:t xml:space="preserve">areas at </w:t>
      </w:r>
      <w:r w:rsidRPr="00800074">
        <w:rPr>
          <w:rFonts w:asciiTheme="minorHAnsi" w:hAnsiTheme="minorHAnsi" w:cstheme="minorHAnsi"/>
          <w:color w:val="auto"/>
        </w:rPr>
        <w:t>Watcombe Heights</w:t>
      </w:r>
      <w:r w:rsidR="007B4139">
        <w:rPr>
          <w:rFonts w:asciiTheme="minorHAnsi" w:hAnsiTheme="minorHAnsi" w:cstheme="minorHAnsi"/>
          <w:color w:val="auto"/>
        </w:rPr>
        <w:t>, and</w:t>
      </w:r>
      <w:r w:rsidRPr="00800074">
        <w:rPr>
          <w:rFonts w:asciiTheme="minorHAnsi" w:hAnsiTheme="minorHAnsi" w:cstheme="minorHAnsi"/>
          <w:color w:val="auto"/>
        </w:rPr>
        <w:t xml:space="preserve"> llsham Valley</w:t>
      </w:r>
      <w:r w:rsidR="007B4139">
        <w:rPr>
          <w:rFonts w:asciiTheme="minorHAnsi" w:hAnsiTheme="minorHAnsi" w:cstheme="minorHAnsi"/>
          <w:color w:val="auto"/>
        </w:rPr>
        <w:t>,</w:t>
      </w:r>
      <w:r w:rsidRPr="00800074">
        <w:rPr>
          <w:rFonts w:asciiTheme="minorHAnsi" w:hAnsiTheme="minorHAnsi" w:cstheme="minorHAnsi"/>
          <w:color w:val="auto"/>
        </w:rPr>
        <w:t xml:space="preserve"> Torquay</w:t>
      </w:r>
      <w:r w:rsidR="007B4139">
        <w:rPr>
          <w:rFonts w:asciiTheme="minorHAnsi" w:hAnsiTheme="minorHAnsi" w:cstheme="minorHAnsi"/>
          <w:color w:val="auto"/>
        </w:rPr>
        <w:t>;</w:t>
      </w:r>
      <w:r w:rsidRPr="00800074">
        <w:rPr>
          <w:rFonts w:asciiTheme="minorHAnsi" w:hAnsiTheme="minorHAnsi" w:cstheme="minorHAnsi"/>
          <w:color w:val="auto"/>
        </w:rPr>
        <w:t xml:space="preserve"> and Bascombe Road, Churston are not within Zone 2 (but are within Zone 3). </w:t>
      </w:r>
    </w:p>
    <w:p w:rsidR="009A3AAB" w:rsidRPr="00800074" w:rsidRDefault="009A3AAB" w:rsidP="009A3AAB">
      <w:pPr>
        <w:pStyle w:val="Heading3"/>
        <w:numPr>
          <w:ilvl w:val="0"/>
          <w:numId w:val="0"/>
        </w:numPr>
        <w:ind w:left="1439" w:hanging="435"/>
        <w:rPr>
          <w:rFonts w:asciiTheme="minorHAnsi" w:hAnsiTheme="minorHAnsi" w:cstheme="minorHAnsi"/>
          <w:color w:val="auto"/>
        </w:rPr>
      </w:pPr>
      <w:r w:rsidRPr="009D0CD6">
        <w:rPr>
          <w:rFonts w:asciiTheme="minorHAnsi" w:hAnsiTheme="minorHAnsi" w:cstheme="minorHAnsi"/>
          <w:color w:val="860060"/>
        </w:rPr>
        <w:t>3)</w:t>
      </w:r>
      <w:r w:rsidRPr="009D0CD6">
        <w:rPr>
          <w:rFonts w:asciiTheme="minorHAnsi" w:hAnsiTheme="minorHAnsi" w:cstheme="minorHAnsi"/>
          <w:color w:val="860060"/>
        </w:rPr>
        <w:tab/>
      </w:r>
      <w:r w:rsidRPr="009D0CD6">
        <w:rPr>
          <w:rFonts w:asciiTheme="minorHAnsi" w:hAnsiTheme="minorHAnsi" w:cstheme="minorHAnsi"/>
          <w:b/>
          <w:color w:val="860060"/>
        </w:rPr>
        <w:t>Future Growth Areas</w:t>
      </w:r>
      <w:r w:rsidR="007D3527" w:rsidRPr="009D0CD6">
        <w:rPr>
          <w:rFonts w:asciiTheme="minorHAnsi" w:hAnsiTheme="minorHAnsi" w:cstheme="minorHAnsi"/>
          <w:b/>
          <w:color w:val="860060"/>
        </w:rPr>
        <w:t xml:space="preserve"> as defined by the Local Plan, plus o</w:t>
      </w:r>
      <w:r w:rsidR="00800074" w:rsidRPr="009D0CD6">
        <w:rPr>
          <w:rFonts w:asciiTheme="minorHAnsi" w:hAnsiTheme="minorHAnsi" w:cstheme="minorHAnsi"/>
          <w:b/>
          <w:color w:val="860060"/>
        </w:rPr>
        <w:t xml:space="preserve">utside the built-up area, </w:t>
      </w:r>
      <w:r w:rsidR="007B4139">
        <w:rPr>
          <w:rFonts w:asciiTheme="minorHAnsi" w:hAnsiTheme="minorHAnsi" w:cstheme="minorHAnsi"/>
          <w:b/>
          <w:color w:val="860060"/>
        </w:rPr>
        <w:t xml:space="preserve">areas at </w:t>
      </w:r>
      <w:r w:rsidRPr="009D0CD6">
        <w:rPr>
          <w:rFonts w:asciiTheme="minorHAnsi" w:hAnsiTheme="minorHAnsi" w:cstheme="minorHAnsi"/>
          <w:b/>
          <w:color w:val="860060"/>
        </w:rPr>
        <w:t>Watcombe Heights and Ilsham Valley, Torquay</w:t>
      </w:r>
      <w:r w:rsidR="007B4139">
        <w:rPr>
          <w:rFonts w:asciiTheme="minorHAnsi" w:hAnsiTheme="minorHAnsi" w:cstheme="minorHAnsi"/>
          <w:b/>
          <w:color w:val="860060"/>
        </w:rPr>
        <w:t>;</w:t>
      </w:r>
      <w:r w:rsidRPr="009D0CD6">
        <w:rPr>
          <w:rFonts w:asciiTheme="minorHAnsi" w:hAnsiTheme="minorHAnsi" w:cstheme="minorHAnsi"/>
          <w:b/>
          <w:color w:val="860060"/>
        </w:rPr>
        <w:t xml:space="preserve"> and Bascombe Road, Churston</w:t>
      </w:r>
      <w:r w:rsidRPr="009D0CD6">
        <w:rPr>
          <w:rFonts w:asciiTheme="minorHAnsi" w:hAnsiTheme="minorHAnsi" w:cstheme="minorHAnsi"/>
          <w:b/>
          <w:color w:val="AB007C" w:themeColor="accent6"/>
        </w:rPr>
        <w:t>.</w:t>
      </w:r>
      <w:r w:rsidRPr="00800074">
        <w:rPr>
          <w:rFonts w:asciiTheme="minorHAnsi" w:hAnsiTheme="minorHAnsi" w:cstheme="minorHAnsi"/>
          <w:color w:val="auto"/>
        </w:rPr>
        <w:t xml:space="preserve">  Sites of 15 or more dwellings will be zero-rated for CIL, but s106/s278 Agreements will be sought to provide infrastructure and affordable housing in these areas.  CIL will be sought </w:t>
      </w:r>
      <w:r w:rsidR="007F33D0">
        <w:rPr>
          <w:rFonts w:asciiTheme="minorHAnsi" w:hAnsiTheme="minorHAnsi" w:cstheme="minorHAnsi"/>
          <w:color w:val="auto"/>
        </w:rPr>
        <w:t>for developments</w:t>
      </w:r>
      <w:r w:rsidRPr="00800074">
        <w:rPr>
          <w:rFonts w:asciiTheme="minorHAnsi" w:hAnsiTheme="minorHAnsi" w:cstheme="minorHAnsi"/>
          <w:color w:val="auto"/>
        </w:rPr>
        <w:t xml:space="preserve"> of 1-14 dwellings at £70 per sq m. </w:t>
      </w:r>
    </w:p>
    <w:p w:rsidR="003A5E34" w:rsidRPr="00C5474F" w:rsidRDefault="009A3AAB" w:rsidP="007D3527">
      <w:pPr>
        <w:pStyle w:val="Heading3"/>
        <w:rPr>
          <w:rFonts w:asciiTheme="minorHAnsi" w:hAnsiTheme="minorHAnsi" w:cstheme="minorHAnsi"/>
          <w:color w:val="auto"/>
        </w:rPr>
      </w:pPr>
      <w:r w:rsidRPr="00800074">
        <w:rPr>
          <w:rFonts w:asciiTheme="minorHAnsi" w:hAnsiTheme="minorHAnsi" w:cstheme="minorHAnsi"/>
          <w:color w:val="auto"/>
        </w:rPr>
        <w:t>The Council’s residential charging zones for CIL are summarised in the following table</w:t>
      </w:r>
      <w:r w:rsidR="007B4139">
        <w:rPr>
          <w:rFonts w:asciiTheme="minorHAnsi" w:hAnsiTheme="minorHAnsi" w:cstheme="minorHAnsi"/>
          <w:color w:val="auto"/>
        </w:rPr>
        <w:t xml:space="preserve"> </w:t>
      </w:r>
      <w:proofErr w:type="gramStart"/>
      <w:r w:rsidR="007B4139">
        <w:rPr>
          <w:rFonts w:asciiTheme="minorHAnsi" w:hAnsiTheme="minorHAnsi" w:cstheme="minorHAnsi"/>
          <w:color w:val="auto"/>
        </w:rPr>
        <w:t xml:space="preserve">and </w:t>
      </w:r>
      <w:r w:rsidRPr="00800074">
        <w:rPr>
          <w:rFonts w:asciiTheme="minorHAnsi" w:hAnsiTheme="minorHAnsi" w:cstheme="minorHAnsi"/>
          <w:color w:val="auto"/>
        </w:rPr>
        <w:t xml:space="preserve"> set</w:t>
      </w:r>
      <w:proofErr w:type="gramEnd"/>
      <w:r w:rsidRPr="00800074">
        <w:rPr>
          <w:rFonts w:asciiTheme="minorHAnsi" w:hAnsiTheme="minorHAnsi" w:cstheme="minorHAnsi"/>
          <w:color w:val="auto"/>
        </w:rPr>
        <w:t xml:space="preserve"> out more fu</w:t>
      </w:r>
      <w:r w:rsidR="007D3527" w:rsidRPr="00800074">
        <w:rPr>
          <w:rFonts w:asciiTheme="minorHAnsi" w:hAnsiTheme="minorHAnsi" w:cstheme="minorHAnsi"/>
          <w:color w:val="auto"/>
        </w:rPr>
        <w:t xml:space="preserve">lly in the following Figures 1 </w:t>
      </w:r>
      <w:r w:rsidR="00C5474F">
        <w:rPr>
          <w:rFonts w:asciiTheme="minorHAnsi" w:hAnsiTheme="minorHAnsi" w:cstheme="minorHAnsi"/>
          <w:color w:val="auto"/>
        </w:rPr>
        <w:t>–</w:t>
      </w:r>
      <w:r w:rsidR="007D3527" w:rsidRPr="00800074">
        <w:rPr>
          <w:rFonts w:asciiTheme="minorHAnsi" w:hAnsiTheme="minorHAnsi" w:cstheme="minorHAnsi"/>
          <w:color w:val="auto"/>
        </w:rPr>
        <w:t xml:space="preserve"> </w:t>
      </w:r>
      <w:r w:rsidR="00DC62E0">
        <w:rPr>
          <w:rFonts w:asciiTheme="minorHAnsi" w:hAnsiTheme="minorHAnsi" w:cstheme="minorHAnsi"/>
          <w:color w:val="auto"/>
        </w:rPr>
        <w:t>4</w:t>
      </w:r>
      <w:r w:rsidR="00C5474F">
        <w:rPr>
          <w:rFonts w:asciiTheme="minorHAnsi" w:hAnsiTheme="minorHAnsi" w:cstheme="minorHAnsi"/>
          <w:color w:val="auto"/>
        </w:rPr>
        <w:t xml:space="preserve"> and Charging Zone Map</w:t>
      </w:r>
      <w:r w:rsidR="004F6AF6">
        <w:rPr>
          <w:rFonts w:asciiTheme="minorHAnsi" w:hAnsiTheme="minorHAnsi" w:cstheme="minorHAnsi"/>
          <w:color w:val="auto"/>
        </w:rPr>
        <w:t>s</w:t>
      </w:r>
      <w:r w:rsidRPr="00800074">
        <w:rPr>
          <w:rFonts w:asciiTheme="minorHAnsi" w:hAnsiTheme="minorHAnsi" w:cstheme="minorHAnsi"/>
          <w:color w:val="auto"/>
        </w:rPr>
        <w:t xml:space="preserve">.  </w:t>
      </w:r>
      <w:r w:rsidR="00C5474F">
        <w:rPr>
          <w:rFonts w:asciiTheme="minorHAnsi" w:hAnsiTheme="minorHAnsi" w:cstheme="minorHAnsi"/>
          <w:color w:val="auto"/>
        </w:rPr>
        <w:t xml:space="preserve"> </w:t>
      </w:r>
      <w:r w:rsidRPr="00800074">
        <w:rPr>
          <w:rFonts w:asciiTheme="minorHAnsi" w:hAnsiTheme="minorHAnsi" w:cstheme="minorHAnsi"/>
          <w:color w:val="auto"/>
        </w:rPr>
        <w:t>Notes to the tables are set out on page 12</w:t>
      </w:r>
      <w:r w:rsidRPr="00C5474F">
        <w:rPr>
          <w:rFonts w:asciiTheme="minorHAnsi" w:hAnsiTheme="minorHAnsi" w:cstheme="minorHAnsi"/>
          <w:color w:val="auto"/>
        </w:rPr>
        <w:t>.</w:t>
      </w:r>
      <w:bookmarkEnd w:id="15"/>
      <w:r w:rsidR="007F33D0" w:rsidRPr="00C5474F">
        <w:rPr>
          <w:color w:val="auto"/>
        </w:rPr>
        <w:t xml:space="preserve"> </w:t>
      </w:r>
      <w:r w:rsidR="00C5474F">
        <w:rPr>
          <w:color w:val="auto"/>
        </w:rPr>
        <w:t xml:space="preserve"> </w:t>
      </w:r>
      <w:r w:rsidR="007F33D0" w:rsidRPr="00C5474F">
        <w:rPr>
          <w:color w:val="auto"/>
        </w:rPr>
        <w:t>The Charging Zone map pages correspond to the Adopted Torbay Local Plan Policies Map booklet pages.  These maps are intended primarily to be viewed electronically and may be zoomed.  If an instance arises that a site falls within two charging zones, the zone that the site is substantially within will apply.  If equally between two zones, the lower zone will apply.</w:t>
      </w:r>
    </w:p>
    <w:tbl>
      <w:tblPr>
        <w:tblW w:w="0" w:type="auto"/>
        <w:jc w:val="center"/>
        <w:tblCellMar>
          <w:left w:w="0" w:type="dxa"/>
          <w:right w:w="0" w:type="dxa"/>
        </w:tblCellMar>
        <w:tblLook w:val="04A0" w:firstRow="1" w:lastRow="0" w:firstColumn="1" w:lastColumn="0" w:noHBand="0" w:noVBand="1"/>
      </w:tblPr>
      <w:tblGrid>
        <w:gridCol w:w="4545"/>
        <w:gridCol w:w="1837"/>
        <w:gridCol w:w="1636"/>
        <w:gridCol w:w="2166"/>
      </w:tblGrid>
      <w:tr w:rsidR="003D7930" w:rsidRPr="00522C28" w:rsidTr="00522C28">
        <w:trPr>
          <w:jc w:val="center"/>
        </w:trPr>
        <w:tc>
          <w:tcPr>
            <w:tcW w:w="10204" w:type="dxa"/>
            <w:gridSpan w:val="4"/>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tcPr>
          <w:p w:rsidR="003D7930" w:rsidRPr="00522C28" w:rsidRDefault="003D7930" w:rsidP="003D7930">
            <w:pPr>
              <w:rPr>
                <w:b/>
                <w:bCs/>
                <w:color w:val="672080" w:themeColor="text1"/>
                <w:sz w:val="20"/>
                <w:szCs w:val="20"/>
              </w:rPr>
            </w:pPr>
            <w:r w:rsidRPr="00522C28">
              <w:rPr>
                <w:b/>
                <w:bCs/>
                <w:color w:val="672080" w:themeColor="text1"/>
                <w:sz w:val="20"/>
                <w:szCs w:val="20"/>
              </w:rPr>
              <w:t>Summary of Residential Charging Zones</w:t>
            </w:r>
          </w:p>
        </w:tc>
      </w:tr>
      <w:tr w:rsidR="003D7930" w:rsidRPr="003A5E34" w:rsidTr="00522C28">
        <w:trPr>
          <w:jc w:val="center"/>
        </w:trPr>
        <w:tc>
          <w:tcPr>
            <w:tcW w:w="4557" w:type="dxa"/>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hideMark/>
          </w:tcPr>
          <w:p w:rsidR="003D7930" w:rsidRPr="003A5E34" w:rsidRDefault="003D7930" w:rsidP="003D7930">
            <w:pPr>
              <w:rPr>
                <w:bCs/>
                <w:color w:val="672080" w:themeColor="text1"/>
                <w:sz w:val="20"/>
                <w:szCs w:val="20"/>
              </w:rPr>
            </w:pPr>
            <w:r w:rsidRPr="003A5E34">
              <w:rPr>
                <w:bCs/>
                <w:color w:val="672080" w:themeColor="text1"/>
                <w:sz w:val="20"/>
                <w:szCs w:val="20"/>
              </w:rPr>
              <w:t xml:space="preserve">Zone </w:t>
            </w:r>
          </w:p>
        </w:tc>
        <w:tc>
          <w:tcPr>
            <w:tcW w:w="5647" w:type="dxa"/>
            <w:gridSpan w:val="3"/>
            <w:tcBorders>
              <w:top w:val="single" w:sz="8" w:space="0" w:color="auto"/>
              <w:left w:val="nil"/>
              <w:bottom w:val="single" w:sz="8" w:space="0" w:color="auto"/>
              <w:right w:val="single" w:sz="8" w:space="0" w:color="auto"/>
            </w:tcBorders>
            <w:shd w:val="clear" w:color="auto" w:fill="DCD0E8"/>
            <w:tcMar>
              <w:top w:w="0" w:type="dxa"/>
              <w:left w:w="108" w:type="dxa"/>
              <w:bottom w:w="0" w:type="dxa"/>
              <w:right w:w="108" w:type="dxa"/>
            </w:tcMar>
            <w:hideMark/>
          </w:tcPr>
          <w:p w:rsidR="003D7930" w:rsidRPr="003A5E34" w:rsidRDefault="00C5474F" w:rsidP="003D7930">
            <w:pPr>
              <w:rPr>
                <w:bCs/>
                <w:color w:val="672080" w:themeColor="text1"/>
                <w:sz w:val="20"/>
                <w:szCs w:val="20"/>
              </w:rPr>
            </w:pPr>
            <w:r>
              <w:rPr>
                <w:bCs/>
                <w:color w:val="672080" w:themeColor="text1"/>
                <w:sz w:val="20"/>
                <w:szCs w:val="20"/>
              </w:rPr>
              <w:t xml:space="preserve">Number of dwellings and charge </w:t>
            </w:r>
            <w:r w:rsidR="003D7930" w:rsidRPr="003A5E34">
              <w:rPr>
                <w:bCs/>
                <w:color w:val="672080" w:themeColor="text1"/>
                <w:sz w:val="20"/>
                <w:szCs w:val="20"/>
              </w:rPr>
              <w:t>(£ per sq m)</w:t>
            </w:r>
          </w:p>
        </w:tc>
      </w:tr>
      <w:tr w:rsidR="003D7930" w:rsidRPr="00522C28" w:rsidTr="005C25A7">
        <w:trPr>
          <w:jc w:val="center"/>
        </w:trPr>
        <w:tc>
          <w:tcPr>
            <w:tcW w:w="4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D7930" w:rsidRPr="00522C28" w:rsidRDefault="003D7930" w:rsidP="003D7930">
            <w:pPr>
              <w:pStyle w:val="ListParagraph"/>
              <w:rPr>
                <w:sz w:val="20"/>
                <w:szCs w:val="20"/>
              </w:rPr>
            </w:pPr>
          </w:p>
        </w:tc>
        <w:tc>
          <w:tcPr>
            <w:tcW w:w="1840"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1-3 dwellings</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 xml:space="preserve">4-14 dwellings </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 xml:space="preserve">15+ dwellings </w:t>
            </w:r>
          </w:p>
        </w:tc>
      </w:tr>
      <w:tr w:rsidR="003D7930" w:rsidRPr="00522C28" w:rsidTr="005C25A7">
        <w:trPr>
          <w:jc w:val="center"/>
        </w:trPr>
        <w:tc>
          <w:tcPr>
            <w:tcW w:w="4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D7930" w:rsidRPr="00522C28" w:rsidRDefault="003D7930" w:rsidP="00C5474F">
            <w:pPr>
              <w:pStyle w:val="ListParagraph"/>
              <w:numPr>
                <w:ilvl w:val="0"/>
                <w:numId w:val="13"/>
              </w:numPr>
              <w:spacing w:after="0" w:line="240" w:lineRule="auto"/>
              <w:contextualSpacing w:val="0"/>
              <w:rPr>
                <w:sz w:val="20"/>
                <w:szCs w:val="20"/>
              </w:rPr>
            </w:pPr>
            <w:r w:rsidRPr="00522C28">
              <w:rPr>
                <w:sz w:val="20"/>
                <w:szCs w:val="20"/>
              </w:rPr>
              <w:t xml:space="preserve">Built up areas </w:t>
            </w:r>
            <w:r w:rsidR="00C5474F">
              <w:rPr>
                <w:sz w:val="20"/>
                <w:szCs w:val="20"/>
              </w:rPr>
              <w:t>with lower development viability</w:t>
            </w:r>
            <w:r w:rsidRPr="00522C28">
              <w:rPr>
                <w:sz w:val="20"/>
                <w:szCs w:val="20"/>
              </w:rPr>
              <w:t xml:space="preserve"> </w:t>
            </w:r>
          </w:p>
        </w:tc>
        <w:tc>
          <w:tcPr>
            <w:tcW w:w="1840"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Zero</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£30</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£30</w:t>
            </w:r>
          </w:p>
        </w:tc>
      </w:tr>
      <w:tr w:rsidR="003D7930" w:rsidRPr="00522C28" w:rsidTr="005C25A7">
        <w:trPr>
          <w:jc w:val="center"/>
        </w:trPr>
        <w:tc>
          <w:tcPr>
            <w:tcW w:w="4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pStyle w:val="ListParagraph"/>
              <w:numPr>
                <w:ilvl w:val="0"/>
                <w:numId w:val="13"/>
              </w:numPr>
              <w:spacing w:after="0" w:line="240" w:lineRule="auto"/>
              <w:contextualSpacing w:val="0"/>
              <w:rPr>
                <w:sz w:val="20"/>
                <w:szCs w:val="20"/>
              </w:rPr>
            </w:pPr>
            <w:r w:rsidRPr="00522C28">
              <w:rPr>
                <w:sz w:val="20"/>
                <w:szCs w:val="20"/>
              </w:rPr>
              <w:t xml:space="preserve">Elsewhere in the built up area </w:t>
            </w:r>
          </w:p>
        </w:tc>
        <w:tc>
          <w:tcPr>
            <w:tcW w:w="1840"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trike/>
                <w:sz w:val="20"/>
                <w:szCs w:val="20"/>
              </w:rPr>
            </w:pPr>
            <w:r w:rsidRPr="00522C28">
              <w:rPr>
                <w:sz w:val="20"/>
                <w:szCs w:val="20"/>
              </w:rPr>
              <w:t xml:space="preserve">Zero </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£70</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£70</w:t>
            </w:r>
          </w:p>
        </w:tc>
      </w:tr>
      <w:tr w:rsidR="003D7930" w:rsidRPr="00522C28" w:rsidTr="005C25A7">
        <w:trPr>
          <w:jc w:val="center"/>
        </w:trPr>
        <w:tc>
          <w:tcPr>
            <w:tcW w:w="4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7930" w:rsidRPr="00522C28" w:rsidRDefault="003D7930" w:rsidP="00C5474F">
            <w:pPr>
              <w:pStyle w:val="ListParagraph"/>
              <w:numPr>
                <w:ilvl w:val="0"/>
                <w:numId w:val="13"/>
              </w:numPr>
              <w:spacing w:after="0" w:line="240" w:lineRule="auto"/>
              <w:contextualSpacing w:val="0"/>
              <w:rPr>
                <w:sz w:val="20"/>
                <w:szCs w:val="20"/>
              </w:rPr>
            </w:pPr>
            <w:r w:rsidRPr="00522C28">
              <w:rPr>
                <w:sz w:val="20"/>
                <w:szCs w:val="20"/>
              </w:rPr>
              <w:t xml:space="preserve">Future Growth Areas, plus </w:t>
            </w:r>
            <w:r w:rsidR="00C5474F">
              <w:rPr>
                <w:sz w:val="20"/>
                <w:szCs w:val="20"/>
              </w:rPr>
              <w:t>o</w:t>
            </w:r>
            <w:r w:rsidRPr="00522C28">
              <w:rPr>
                <w:sz w:val="20"/>
                <w:szCs w:val="20"/>
              </w:rPr>
              <w:t xml:space="preserve">utside the built up area, plus Watcombe Heights, Ilsham Valley, Torquay, and Bascombe Road, Churston.  </w:t>
            </w:r>
          </w:p>
        </w:tc>
        <w:tc>
          <w:tcPr>
            <w:tcW w:w="1840"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£70</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z w:val="20"/>
                <w:szCs w:val="20"/>
              </w:rPr>
            </w:pPr>
            <w:r w:rsidRPr="00522C28">
              <w:rPr>
                <w:sz w:val="20"/>
                <w:szCs w:val="20"/>
              </w:rPr>
              <w:t>£70</w:t>
            </w:r>
          </w:p>
        </w:tc>
        <w:tc>
          <w:tcPr>
            <w:tcW w:w="2169" w:type="dxa"/>
            <w:tcBorders>
              <w:top w:val="nil"/>
              <w:left w:val="nil"/>
              <w:bottom w:val="single" w:sz="8" w:space="0" w:color="auto"/>
              <w:right w:val="single" w:sz="8" w:space="0" w:color="auto"/>
            </w:tcBorders>
            <w:tcMar>
              <w:top w:w="0" w:type="dxa"/>
              <w:left w:w="108" w:type="dxa"/>
              <w:bottom w:w="0" w:type="dxa"/>
              <w:right w:w="108" w:type="dxa"/>
            </w:tcMar>
            <w:hideMark/>
          </w:tcPr>
          <w:p w:rsidR="003D7930" w:rsidRPr="00522C28" w:rsidRDefault="003D7930" w:rsidP="003D7930">
            <w:pPr>
              <w:rPr>
                <w:strike/>
                <w:sz w:val="20"/>
                <w:szCs w:val="20"/>
              </w:rPr>
            </w:pPr>
            <w:r w:rsidRPr="00522C28">
              <w:rPr>
                <w:sz w:val="20"/>
                <w:szCs w:val="20"/>
              </w:rPr>
              <w:t>Zero</w:t>
            </w:r>
            <w:r w:rsidR="00800074" w:rsidRPr="00522C28">
              <w:rPr>
                <w:sz w:val="20"/>
                <w:szCs w:val="20"/>
              </w:rPr>
              <w:t xml:space="preserve"> </w:t>
            </w:r>
            <w:r w:rsidRPr="00522C28">
              <w:rPr>
                <w:sz w:val="20"/>
                <w:szCs w:val="20"/>
              </w:rPr>
              <w:t>- s106 Obligations will be used to secure infrastructure funding.</w:t>
            </w:r>
          </w:p>
        </w:tc>
      </w:tr>
    </w:tbl>
    <w:p w:rsidR="00601DC0" w:rsidRDefault="00601DC0" w:rsidP="00134C91"/>
    <w:p w:rsidR="007F33D0" w:rsidRPr="00A743EC" w:rsidRDefault="00601DC0" w:rsidP="00134C91">
      <w:r>
        <w:br w:type="page"/>
      </w:r>
    </w:p>
    <w:tbl>
      <w:tblPr>
        <w:tblW w:w="10227" w:type="dxa"/>
        <w:jc w:val="center"/>
        <w:tblCellMar>
          <w:left w:w="0" w:type="dxa"/>
          <w:right w:w="0" w:type="dxa"/>
        </w:tblCellMar>
        <w:tblLook w:val="04A0" w:firstRow="1" w:lastRow="0" w:firstColumn="1" w:lastColumn="0" w:noHBand="0" w:noVBand="1"/>
      </w:tblPr>
      <w:tblGrid>
        <w:gridCol w:w="3083"/>
        <w:gridCol w:w="4167"/>
        <w:gridCol w:w="2977"/>
      </w:tblGrid>
      <w:tr w:rsidR="00800074" w:rsidRPr="00522C28" w:rsidTr="00522C28">
        <w:trPr>
          <w:jc w:val="center"/>
        </w:trPr>
        <w:tc>
          <w:tcPr>
            <w:tcW w:w="10227" w:type="dxa"/>
            <w:gridSpan w:val="3"/>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tcPr>
          <w:p w:rsidR="00800074" w:rsidRPr="00522C28" w:rsidRDefault="006B69AA" w:rsidP="00800074">
            <w:pPr>
              <w:spacing w:after="0" w:line="240" w:lineRule="auto"/>
              <w:rPr>
                <w:rFonts w:ascii="Arial" w:eastAsia="Times New Roman" w:hAnsi="Arial" w:cs="Arial"/>
                <w:b/>
                <w:bCs/>
                <w:color w:val="672080" w:themeColor="text1"/>
                <w:sz w:val="20"/>
                <w:szCs w:val="20"/>
                <w:lang w:bidi="ar-SA"/>
              </w:rPr>
            </w:pPr>
            <w:r w:rsidRPr="00522C28">
              <w:rPr>
                <w:rFonts w:ascii="Arial" w:eastAsia="Times New Roman" w:hAnsi="Arial" w:cs="Arial"/>
                <w:b/>
                <w:bCs/>
                <w:color w:val="672080" w:themeColor="text1"/>
                <w:sz w:val="20"/>
                <w:szCs w:val="20"/>
                <w:lang w:bidi="ar-SA"/>
              </w:rPr>
              <w:lastRenderedPageBreak/>
              <w:t>F</w:t>
            </w:r>
            <w:r w:rsidR="00800074" w:rsidRPr="00522C28">
              <w:rPr>
                <w:rFonts w:ascii="Arial" w:eastAsia="Times New Roman" w:hAnsi="Arial" w:cs="Arial"/>
                <w:b/>
                <w:bCs/>
                <w:color w:val="672080" w:themeColor="text1"/>
                <w:sz w:val="20"/>
                <w:szCs w:val="20"/>
                <w:lang w:bidi="ar-SA"/>
              </w:rPr>
              <w:t>igure 1:  Residential Charging Zone 1 Inner Urban Built-up areas based on the 20% most deprived LSOAs (excluding Future Growth Areas).</w:t>
            </w:r>
          </w:p>
          <w:p w:rsidR="00800074" w:rsidRPr="00522C28" w:rsidRDefault="00800074" w:rsidP="00800074">
            <w:pPr>
              <w:spacing w:after="0" w:line="240" w:lineRule="auto"/>
              <w:rPr>
                <w:rFonts w:ascii="Arial" w:eastAsia="Times New Roman" w:hAnsi="Arial" w:cs="Arial"/>
                <w:b/>
                <w:bCs/>
                <w:color w:val="672080" w:themeColor="text1"/>
                <w:sz w:val="20"/>
                <w:szCs w:val="20"/>
                <w:lang w:bidi="ar-SA"/>
              </w:rPr>
            </w:pPr>
          </w:p>
          <w:p w:rsidR="00800074" w:rsidRPr="00DC62E0" w:rsidRDefault="00800074" w:rsidP="00800074">
            <w:pPr>
              <w:spacing w:after="0" w:line="240" w:lineRule="auto"/>
              <w:rPr>
                <w:rFonts w:ascii="Arial" w:eastAsia="Times New Roman" w:hAnsi="Arial" w:cs="Arial"/>
                <w:bCs/>
                <w:color w:val="672080" w:themeColor="text1"/>
                <w:sz w:val="20"/>
                <w:szCs w:val="20"/>
                <w:lang w:bidi="ar-SA"/>
              </w:rPr>
            </w:pPr>
            <w:r w:rsidRPr="00DC62E0">
              <w:rPr>
                <w:rFonts w:ascii="Arial" w:eastAsia="Times New Roman" w:hAnsi="Arial" w:cs="Arial"/>
                <w:bCs/>
                <w:color w:val="672080" w:themeColor="text1"/>
                <w:sz w:val="20"/>
                <w:szCs w:val="20"/>
                <w:lang w:bidi="ar-SA"/>
              </w:rPr>
              <w:t>CIL Charging Schedule and relationship to s106 Obligations: Residential Development (Use Classes C3, C4 and sui generis hostel. See Note 1)</w:t>
            </w:r>
          </w:p>
          <w:p w:rsidR="00800074" w:rsidRPr="00522C28" w:rsidRDefault="00800074" w:rsidP="00800074">
            <w:pPr>
              <w:spacing w:after="0" w:line="240" w:lineRule="auto"/>
              <w:rPr>
                <w:rFonts w:ascii="Arial" w:eastAsia="Calibri" w:hAnsi="Arial" w:cs="Arial"/>
                <w:b/>
                <w:bCs/>
                <w:color w:val="000000"/>
                <w:sz w:val="20"/>
                <w:szCs w:val="20"/>
                <w:lang w:bidi="ar-SA"/>
              </w:rPr>
            </w:pPr>
          </w:p>
        </w:tc>
      </w:tr>
      <w:tr w:rsidR="00800074" w:rsidRPr="00522C28" w:rsidTr="005C25A7">
        <w:trPr>
          <w:jc w:val="center"/>
        </w:trPr>
        <w:tc>
          <w:tcPr>
            <w:tcW w:w="308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0074" w:rsidRPr="00522C28" w:rsidRDefault="00800074" w:rsidP="00800074">
            <w:pPr>
              <w:spacing w:after="0" w:line="240" w:lineRule="auto"/>
              <w:rPr>
                <w:rFonts w:ascii="Arial" w:eastAsia="Calibri" w:hAnsi="Arial" w:cs="Arial"/>
                <w:i/>
                <w:color w:val="000000"/>
                <w:sz w:val="20"/>
                <w:szCs w:val="20"/>
                <w:highlight w:val="yellow"/>
                <w:lang w:bidi="ar-SA"/>
              </w:rPr>
            </w:pPr>
          </w:p>
        </w:tc>
        <w:tc>
          <w:tcPr>
            <w:tcW w:w="416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642E6D" w:rsidP="00800074">
            <w:pPr>
              <w:spacing w:after="0" w:line="240" w:lineRule="auto"/>
              <w:rPr>
                <w:rFonts w:ascii="Arial" w:eastAsia="Times New Roman" w:hAnsi="Arial" w:cs="Arial"/>
                <w:b/>
                <w:sz w:val="20"/>
                <w:szCs w:val="20"/>
                <w:lang w:bidi="ar-SA"/>
              </w:rPr>
            </w:pPr>
            <w:r w:rsidRPr="00522C28">
              <w:rPr>
                <w:rFonts w:ascii="Arial" w:eastAsia="Times New Roman" w:hAnsi="Arial" w:cs="Arial"/>
                <w:b/>
                <w:sz w:val="20"/>
                <w:szCs w:val="20"/>
                <w:lang w:bidi="ar-SA"/>
              </w:rPr>
              <w:t>s</w:t>
            </w:r>
            <w:r w:rsidR="00800074" w:rsidRPr="00522C28">
              <w:rPr>
                <w:rFonts w:ascii="Arial" w:eastAsia="Times New Roman" w:hAnsi="Arial" w:cs="Arial"/>
                <w:b/>
                <w:sz w:val="20"/>
                <w:szCs w:val="20"/>
                <w:lang w:bidi="ar-SA"/>
              </w:rPr>
              <w:t xml:space="preserve">106 (for information)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CIL</w:t>
            </w:r>
          </w:p>
        </w:tc>
      </w:tr>
      <w:tr w:rsidR="00800074" w:rsidRPr="00522C28" w:rsidTr="005C25A7">
        <w:trPr>
          <w:jc w:val="center"/>
        </w:trPr>
        <w:tc>
          <w:tcPr>
            <w:tcW w:w="3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1-3 net new dwellings </w:t>
            </w:r>
          </w:p>
        </w:tc>
        <w:tc>
          <w:tcPr>
            <w:tcW w:w="4167" w:type="dxa"/>
            <w:tcBorders>
              <w:top w:val="nil"/>
              <w:left w:val="nil"/>
              <w:bottom w:val="single" w:sz="8" w:space="0" w:color="auto"/>
              <w:right w:val="single" w:sz="8" w:space="0" w:color="auto"/>
            </w:tcBorders>
            <w:tcMar>
              <w:top w:w="0" w:type="dxa"/>
              <w:left w:w="108" w:type="dxa"/>
              <w:bottom w:w="0" w:type="dxa"/>
              <w:right w:w="108" w:type="dxa"/>
            </w:tcMar>
          </w:tcPr>
          <w:p w:rsidR="00800074"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(Including access, direct highway works, flooding and biodiversity, matters to make development acceptable in terms of Habitats Regulations and other legal matters). </w:t>
            </w:r>
          </w:p>
          <w:p w:rsidR="00C927E0" w:rsidRDefault="00C927E0" w:rsidP="00800074">
            <w:pPr>
              <w:spacing w:after="0" w:line="240" w:lineRule="auto"/>
              <w:rPr>
                <w:rFonts w:ascii="Arial" w:eastAsia="Times New Roman" w:hAnsi="Arial" w:cs="Arial"/>
                <w:color w:val="000000"/>
                <w:sz w:val="20"/>
                <w:szCs w:val="20"/>
                <w:lang w:bidi="ar-SA"/>
              </w:rPr>
            </w:pPr>
          </w:p>
          <w:p w:rsidR="00C927E0" w:rsidRPr="00522C28" w:rsidRDefault="00C927E0"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color w:val="000000"/>
                <w:sz w:val="20"/>
                <w:szCs w:val="20"/>
                <w:lang w:bidi="ar-SA"/>
              </w:rPr>
              <w:t xml:space="preserve">Note that affordable housing </w:t>
            </w:r>
            <w:r>
              <w:rPr>
                <w:rFonts w:ascii="Arial" w:eastAsia="Times New Roman" w:hAnsi="Arial" w:cs="Arial"/>
                <w:color w:val="000000"/>
                <w:sz w:val="20"/>
                <w:szCs w:val="20"/>
                <w:lang w:bidi="ar-SA"/>
              </w:rPr>
              <w:t xml:space="preserve">is </w:t>
            </w:r>
            <w:r w:rsidRPr="00522C28">
              <w:rPr>
                <w:rFonts w:ascii="Arial" w:eastAsia="Times New Roman" w:hAnsi="Arial" w:cs="Arial"/>
                <w:color w:val="000000"/>
                <w:sz w:val="20"/>
                <w:szCs w:val="20"/>
                <w:lang w:bidi="ar-SA"/>
              </w:rPr>
              <w:t xml:space="preserve">sought on greenfield sites of </w:t>
            </w:r>
            <w:r w:rsidRPr="00C927E0">
              <w:rPr>
                <w:rFonts w:ascii="Arial" w:eastAsia="Times New Roman" w:hAnsi="Arial" w:cs="Arial"/>
                <w:color w:val="000000"/>
                <w:sz w:val="20"/>
                <w:szCs w:val="20"/>
                <w:lang w:bidi="ar-SA"/>
              </w:rPr>
              <w:t>3 or more</w:t>
            </w:r>
            <w:r w:rsidRPr="00522C28">
              <w:rPr>
                <w:rFonts w:ascii="Arial" w:eastAsia="Times New Roman" w:hAnsi="Arial" w:cs="Arial"/>
                <w:color w:val="000000"/>
                <w:sz w:val="20"/>
                <w:szCs w:val="20"/>
                <w:lang w:bidi="ar-SA"/>
              </w:rPr>
              <w:t xml:space="preserve"> dwellings (see Note 2).</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 xml:space="preserve">Zero </w:t>
            </w:r>
          </w:p>
        </w:tc>
      </w:tr>
      <w:tr w:rsidR="00800074" w:rsidRPr="00522C28" w:rsidTr="005C25A7">
        <w:trPr>
          <w:trHeight w:val="685"/>
          <w:jc w:val="center"/>
        </w:trPr>
        <w:tc>
          <w:tcPr>
            <w:tcW w:w="30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Developments of 4 -14 net new dwellings.</w:t>
            </w:r>
          </w:p>
        </w:tc>
        <w:tc>
          <w:tcPr>
            <w:tcW w:w="4167" w:type="dxa"/>
            <w:tcBorders>
              <w:top w:val="nil"/>
              <w:left w:val="nil"/>
              <w:bottom w:val="single" w:sz="8" w:space="0" w:color="auto"/>
              <w:right w:val="single" w:sz="8" w:space="0" w:color="auto"/>
            </w:tcBorders>
            <w:tcMar>
              <w:top w:w="0" w:type="dxa"/>
              <w:left w:w="108" w:type="dxa"/>
              <w:bottom w:w="0" w:type="dxa"/>
              <w:right w:w="108" w:type="dxa"/>
            </w:tcMar>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except for direct site deliverability matters (see above).</w:t>
            </w:r>
          </w:p>
          <w:p w:rsidR="00800074" w:rsidRPr="00522C28" w:rsidRDefault="00800074" w:rsidP="00800074">
            <w:pPr>
              <w:spacing w:after="0" w:line="240" w:lineRule="auto"/>
              <w:rPr>
                <w:rFonts w:ascii="Arial" w:eastAsia="Calibri" w:hAnsi="Arial" w:cs="Arial"/>
                <w:color w:val="000000"/>
                <w:sz w:val="20"/>
                <w:szCs w:val="20"/>
                <w:lang w:bidi="ar-SA"/>
              </w:rPr>
            </w:pPr>
          </w:p>
          <w:p w:rsidR="00800074" w:rsidRPr="00522C28" w:rsidRDefault="00800074" w:rsidP="00AF4B04">
            <w:pPr>
              <w:spacing w:after="0" w:line="240" w:lineRule="auto"/>
              <w:rPr>
                <w:rFonts w:ascii="Arial" w:eastAsia="Calibri" w:hAnsi="Arial" w:cs="Arial"/>
                <w:color w:val="000000"/>
                <w:sz w:val="20"/>
                <w:szCs w:val="20"/>
                <w:lang w:bidi="ar-SA"/>
              </w:rPr>
            </w:pPr>
            <w:r w:rsidRPr="00522C28">
              <w:rPr>
                <w:rFonts w:ascii="Arial" w:eastAsia="Times New Roman" w:hAnsi="Arial" w:cs="Arial"/>
                <w:color w:val="000000"/>
                <w:sz w:val="20"/>
                <w:szCs w:val="20"/>
                <w:lang w:bidi="ar-SA"/>
              </w:rPr>
              <w:t xml:space="preserve">Note that affordable housing </w:t>
            </w:r>
            <w:r w:rsidR="00AF4B04">
              <w:rPr>
                <w:rFonts w:ascii="Arial" w:eastAsia="Times New Roman" w:hAnsi="Arial" w:cs="Arial"/>
                <w:color w:val="000000"/>
                <w:sz w:val="20"/>
                <w:szCs w:val="20"/>
                <w:lang w:bidi="ar-SA"/>
              </w:rPr>
              <w:t xml:space="preserve">is </w:t>
            </w:r>
            <w:r w:rsidR="00AF4B04" w:rsidRPr="00522C28">
              <w:rPr>
                <w:rFonts w:ascii="Arial" w:eastAsia="Times New Roman" w:hAnsi="Arial" w:cs="Arial"/>
                <w:color w:val="000000"/>
                <w:sz w:val="20"/>
                <w:szCs w:val="20"/>
                <w:lang w:bidi="ar-SA"/>
              </w:rPr>
              <w:t>sought</w:t>
            </w:r>
            <w:r w:rsidRPr="00522C28">
              <w:rPr>
                <w:rFonts w:ascii="Arial" w:eastAsia="Times New Roman" w:hAnsi="Arial" w:cs="Arial"/>
                <w:color w:val="000000"/>
                <w:sz w:val="20"/>
                <w:szCs w:val="20"/>
                <w:lang w:bidi="ar-SA"/>
              </w:rPr>
              <w:t xml:space="preserve"> on greenfield sites of </w:t>
            </w:r>
            <w:r w:rsidRPr="00C927E0">
              <w:rPr>
                <w:rFonts w:ascii="Arial" w:eastAsia="Times New Roman" w:hAnsi="Arial" w:cs="Arial"/>
                <w:color w:val="000000"/>
                <w:sz w:val="20"/>
                <w:szCs w:val="20"/>
                <w:lang w:bidi="ar-SA"/>
              </w:rPr>
              <w:t>3 or more</w:t>
            </w:r>
            <w:r w:rsidRPr="00522C28">
              <w:rPr>
                <w:rFonts w:ascii="Arial" w:eastAsia="Times New Roman" w:hAnsi="Arial" w:cs="Arial"/>
                <w:color w:val="000000"/>
                <w:sz w:val="20"/>
                <w:szCs w:val="20"/>
                <w:lang w:bidi="ar-SA"/>
              </w:rPr>
              <w:t xml:space="preserve"> dwellings (see Note 2).</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£30 per sq m</w:t>
            </w:r>
            <w:r w:rsidRPr="00522C28">
              <w:rPr>
                <w:rFonts w:ascii="Arial" w:eastAsia="Times New Roman" w:hAnsi="Arial" w:cs="Arial"/>
                <w:color w:val="000000"/>
                <w:sz w:val="20"/>
                <w:szCs w:val="20"/>
                <w:lang w:bidi="ar-SA"/>
              </w:rPr>
              <w:t xml:space="preserve"> of chargeable floorspace.</w:t>
            </w:r>
          </w:p>
        </w:tc>
      </w:tr>
      <w:tr w:rsidR="00800074" w:rsidRPr="00522C28" w:rsidTr="005C25A7">
        <w:trPr>
          <w:trHeight w:val="643"/>
          <w:jc w:val="center"/>
        </w:trPr>
        <w:tc>
          <w:tcPr>
            <w:tcW w:w="308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Developments of 15+ net new dwellings.</w:t>
            </w:r>
          </w:p>
        </w:tc>
        <w:tc>
          <w:tcPr>
            <w:tcW w:w="4167" w:type="dxa"/>
            <w:tcBorders>
              <w:top w:val="nil"/>
              <w:left w:val="nil"/>
              <w:bottom w:val="single" w:sz="4"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(see above). </w:t>
            </w:r>
          </w:p>
          <w:p w:rsidR="00800074" w:rsidRPr="00522C28" w:rsidRDefault="00800074" w:rsidP="00800074">
            <w:pPr>
              <w:spacing w:after="0" w:line="240" w:lineRule="auto"/>
              <w:rPr>
                <w:rFonts w:ascii="Arial" w:eastAsia="Calibri" w:hAnsi="Arial" w:cs="Arial"/>
                <w:color w:val="000000"/>
                <w:sz w:val="20"/>
                <w:szCs w:val="20"/>
                <w:lang w:bidi="ar-SA"/>
              </w:rPr>
            </w:pPr>
          </w:p>
          <w:p w:rsidR="00800074" w:rsidRPr="00522C28" w:rsidRDefault="00800074" w:rsidP="00800074">
            <w:pPr>
              <w:spacing w:after="0" w:line="240" w:lineRule="auto"/>
              <w:rPr>
                <w:rFonts w:ascii="Calibri" w:eastAsia="Times New Roman" w:hAnsi="Calibri" w:cs="Arial"/>
                <w:sz w:val="20"/>
                <w:szCs w:val="20"/>
                <w:lang w:bidi="ar-SA"/>
              </w:rPr>
            </w:pPr>
            <w:r w:rsidRPr="00522C28">
              <w:rPr>
                <w:rFonts w:ascii="Arial" w:eastAsia="Times New Roman" w:hAnsi="Arial" w:cs="Arial"/>
                <w:color w:val="000000"/>
                <w:sz w:val="20"/>
                <w:szCs w:val="20"/>
                <w:lang w:bidi="ar-SA"/>
              </w:rPr>
              <w:t xml:space="preserve">Note that affordable housing is sought on sites of 15+ dwellings  (see Note 2)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 xml:space="preserve">£30 per sq m </w:t>
            </w:r>
            <w:r w:rsidRPr="00522C28">
              <w:rPr>
                <w:rFonts w:ascii="Arial" w:eastAsia="Times New Roman" w:hAnsi="Arial" w:cs="Arial"/>
                <w:bCs/>
                <w:color w:val="000000"/>
                <w:sz w:val="20"/>
                <w:szCs w:val="20"/>
                <w:lang w:bidi="ar-SA"/>
              </w:rPr>
              <w:t>of chargeable floorspace</w:t>
            </w:r>
            <w:r w:rsidRPr="00522C28">
              <w:rPr>
                <w:rFonts w:ascii="Arial" w:eastAsia="Times New Roman" w:hAnsi="Arial" w:cs="Arial"/>
                <w:b/>
                <w:bCs/>
                <w:color w:val="000000"/>
                <w:sz w:val="20"/>
                <w:szCs w:val="20"/>
                <w:lang w:bidi="ar-SA"/>
              </w:rPr>
              <w:t xml:space="preserve"> </w:t>
            </w:r>
          </w:p>
        </w:tc>
      </w:tr>
    </w:tbl>
    <w:p w:rsidR="00DC22FB" w:rsidRDefault="00DC22FB" w:rsidP="007D3527"/>
    <w:tbl>
      <w:tblPr>
        <w:tblW w:w="10227" w:type="dxa"/>
        <w:jc w:val="center"/>
        <w:tblCellMar>
          <w:left w:w="0" w:type="dxa"/>
          <w:right w:w="0" w:type="dxa"/>
        </w:tblCellMar>
        <w:tblLook w:val="04A0" w:firstRow="1" w:lastRow="0" w:firstColumn="1" w:lastColumn="0" w:noHBand="0" w:noVBand="1"/>
      </w:tblPr>
      <w:tblGrid>
        <w:gridCol w:w="2978"/>
        <w:gridCol w:w="4272"/>
        <w:gridCol w:w="2977"/>
      </w:tblGrid>
      <w:tr w:rsidR="00800074" w:rsidRPr="00522C28" w:rsidTr="00522C28">
        <w:trPr>
          <w:jc w:val="center"/>
        </w:trPr>
        <w:tc>
          <w:tcPr>
            <w:tcW w:w="10227" w:type="dxa"/>
            <w:gridSpan w:val="3"/>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tcPr>
          <w:p w:rsidR="00800074" w:rsidRPr="00522C28" w:rsidRDefault="00800074" w:rsidP="00800074">
            <w:pPr>
              <w:spacing w:after="0" w:line="240" w:lineRule="auto"/>
              <w:rPr>
                <w:rFonts w:ascii="Arial" w:eastAsia="Times New Roman" w:hAnsi="Arial" w:cs="Arial"/>
                <w:b/>
                <w:bCs/>
                <w:color w:val="672080" w:themeColor="text1"/>
                <w:sz w:val="20"/>
                <w:szCs w:val="20"/>
                <w:lang w:bidi="ar-SA"/>
              </w:rPr>
            </w:pPr>
            <w:r w:rsidRPr="00522C28">
              <w:rPr>
                <w:rFonts w:ascii="Arial" w:eastAsia="Times New Roman" w:hAnsi="Arial" w:cs="Arial"/>
                <w:b/>
                <w:bCs/>
                <w:color w:val="672080" w:themeColor="text1"/>
                <w:sz w:val="20"/>
                <w:szCs w:val="20"/>
                <w:lang w:bidi="ar-SA"/>
              </w:rPr>
              <w:t>Figure 2: Residential Charging Zone 2:  Elsewhere i</w:t>
            </w:r>
            <w:r w:rsidR="009158F2">
              <w:rPr>
                <w:rFonts w:ascii="Arial" w:eastAsia="Times New Roman" w:hAnsi="Arial" w:cs="Arial"/>
                <w:b/>
                <w:bCs/>
                <w:color w:val="672080" w:themeColor="text1"/>
                <w:sz w:val="20"/>
                <w:szCs w:val="20"/>
                <w:lang w:bidi="ar-SA"/>
              </w:rPr>
              <w:t xml:space="preserve">n the built up area, excluding Charging Zone 1, </w:t>
            </w:r>
            <w:r w:rsidRPr="00522C28">
              <w:rPr>
                <w:rFonts w:ascii="Arial" w:eastAsia="Times New Roman" w:hAnsi="Arial" w:cs="Arial"/>
                <w:b/>
                <w:bCs/>
                <w:color w:val="672080" w:themeColor="text1"/>
                <w:sz w:val="20"/>
                <w:szCs w:val="20"/>
                <w:lang w:bidi="ar-SA"/>
              </w:rPr>
              <w:t>and Watcombe Heights and Ilsham Valley, Torquay, and Bascombe Road, Churston.</w:t>
            </w:r>
          </w:p>
          <w:p w:rsidR="00800074" w:rsidRPr="00522C28" w:rsidRDefault="00800074" w:rsidP="00800074">
            <w:pPr>
              <w:spacing w:after="0" w:line="240" w:lineRule="auto"/>
              <w:rPr>
                <w:rFonts w:ascii="Arial" w:eastAsia="Times New Roman" w:hAnsi="Arial" w:cs="Arial"/>
                <w:b/>
                <w:bCs/>
                <w:color w:val="672080" w:themeColor="text1"/>
                <w:sz w:val="20"/>
                <w:szCs w:val="20"/>
                <w:lang w:bidi="ar-SA"/>
              </w:rPr>
            </w:pPr>
          </w:p>
          <w:p w:rsidR="00800074" w:rsidRPr="00DC62E0" w:rsidRDefault="00800074" w:rsidP="00800074">
            <w:pPr>
              <w:spacing w:after="0" w:line="240" w:lineRule="auto"/>
              <w:rPr>
                <w:rFonts w:ascii="Arial" w:eastAsia="Times New Roman" w:hAnsi="Arial" w:cs="Arial"/>
                <w:bCs/>
                <w:color w:val="672080" w:themeColor="text1"/>
                <w:sz w:val="20"/>
                <w:szCs w:val="20"/>
                <w:highlight w:val="yellow"/>
                <w:lang w:bidi="ar-SA"/>
              </w:rPr>
            </w:pPr>
            <w:r w:rsidRPr="00DC62E0">
              <w:rPr>
                <w:rFonts w:ascii="Arial" w:eastAsia="Times New Roman" w:hAnsi="Arial" w:cs="Arial"/>
                <w:bCs/>
                <w:color w:val="672080" w:themeColor="text1"/>
                <w:sz w:val="20"/>
                <w:szCs w:val="20"/>
                <w:lang w:bidi="ar-SA"/>
              </w:rPr>
              <w:t>CIL Charging Schedule and relationship to s106 Obligations: Residential Development (Use Classes C3, C4 and sui generis hostel) (See note 1).</w:t>
            </w:r>
          </w:p>
          <w:p w:rsidR="00800074" w:rsidRPr="00522C28" w:rsidRDefault="00800074" w:rsidP="00800074">
            <w:pPr>
              <w:spacing w:after="0" w:line="240" w:lineRule="auto"/>
              <w:rPr>
                <w:rFonts w:ascii="Arial" w:eastAsia="Times New Roman" w:hAnsi="Arial" w:cs="Arial"/>
                <w:b/>
                <w:bCs/>
                <w:color w:val="000000"/>
                <w:sz w:val="20"/>
                <w:szCs w:val="20"/>
                <w:lang w:bidi="ar-SA"/>
              </w:rPr>
            </w:pPr>
          </w:p>
        </w:tc>
      </w:tr>
      <w:tr w:rsidR="00800074" w:rsidRPr="00522C28" w:rsidTr="005C25A7">
        <w:trPr>
          <w:jc w:val="center"/>
        </w:trPr>
        <w:tc>
          <w:tcPr>
            <w:tcW w:w="2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0074" w:rsidRPr="00522C28" w:rsidRDefault="00800074" w:rsidP="00800074">
            <w:pPr>
              <w:spacing w:after="0" w:line="240" w:lineRule="auto"/>
              <w:rPr>
                <w:rFonts w:ascii="Arial" w:eastAsia="Calibri" w:hAnsi="Arial" w:cs="Arial"/>
                <w:color w:val="000000"/>
                <w:sz w:val="20"/>
                <w:szCs w:val="20"/>
                <w:lang w:bidi="ar-SA"/>
              </w:rPr>
            </w:pPr>
          </w:p>
        </w:tc>
        <w:tc>
          <w:tcPr>
            <w:tcW w:w="42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0074" w:rsidRPr="00522C28" w:rsidRDefault="00D86AC8"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s</w:t>
            </w:r>
            <w:r w:rsidR="00800074" w:rsidRPr="00522C28">
              <w:rPr>
                <w:rFonts w:ascii="Arial" w:eastAsia="Times New Roman" w:hAnsi="Arial" w:cs="Arial"/>
                <w:b/>
                <w:bCs/>
                <w:color w:val="000000"/>
                <w:sz w:val="20"/>
                <w:szCs w:val="20"/>
                <w:lang w:bidi="ar-SA"/>
              </w:rPr>
              <w:t>106 for information</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CIL</w:t>
            </w:r>
          </w:p>
        </w:tc>
      </w:tr>
      <w:tr w:rsidR="00800074" w:rsidRPr="00522C28" w:rsidTr="005C25A7">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1-3 net new dwellings </w:t>
            </w:r>
          </w:p>
        </w:tc>
        <w:tc>
          <w:tcPr>
            <w:tcW w:w="4272"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(Including access, direct highway works, flooding and biodiversity, matters to make development acceptable in terms of Habitats Regulations and other legal matters). </w:t>
            </w:r>
          </w:p>
          <w:p w:rsidR="00800074" w:rsidRPr="00522C28" w:rsidRDefault="00800074" w:rsidP="00800074">
            <w:pPr>
              <w:spacing w:after="0" w:line="240" w:lineRule="auto"/>
              <w:rPr>
                <w:rFonts w:ascii="Arial" w:eastAsia="Times New Roman" w:hAnsi="Arial" w:cs="Arial"/>
                <w:color w:val="000000"/>
                <w:sz w:val="20"/>
                <w:szCs w:val="20"/>
                <w:lang w:bidi="ar-SA"/>
              </w:rPr>
            </w:pPr>
          </w:p>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color w:val="000000"/>
                <w:sz w:val="20"/>
                <w:szCs w:val="20"/>
                <w:lang w:bidi="ar-SA"/>
              </w:rPr>
              <w:t xml:space="preserve">Note that affordable housing is sought on greenfield sites of 3 or more dwellings (see Note 2).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b/>
                <w:bCs/>
                <w:color w:val="FF0000"/>
                <w:sz w:val="20"/>
                <w:szCs w:val="20"/>
                <w:u w:val="single"/>
                <w:lang w:bidi="ar-SA"/>
              </w:rPr>
            </w:pPr>
            <w:r w:rsidRPr="00522C28">
              <w:rPr>
                <w:rFonts w:ascii="Arial" w:eastAsia="Times New Roman" w:hAnsi="Arial" w:cs="Arial"/>
                <w:b/>
                <w:bCs/>
                <w:color w:val="000000"/>
                <w:sz w:val="20"/>
                <w:szCs w:val="20"/>
                <w:lang w:bidi="ar-SA"/>
              </w:rPr>
              <w:t>Zero</w:t>
            </w:r>
          </w:p>
        </w:tc>
      </w:tr>
      <w:tr w:rsidR="00800074" w:rsidRPr="00522C28" w:rsidTr="005C25A7">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Developments of 4-14 net new dwellings.</w:t>
            </w:r>
          </w:p>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color w:val="000000"/>
                <w:sz w:val="20"/>
                <w:szCs w:val="20"/>
                <w:lang w:bidi="ar-SA"/>
              </w:rPr>
              <w:t xml:space="preserve"> </w:t>
            </w:r>
          </w:p>
        </w:tc>
        <w:tc>
          <w:tcPr>
            <w:tcW w:w="4272"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(see above). </w:t>
            </w:r>
          </w:p>
          <w:p w:rsidR="00800074" w:rsidRPr="00522C28" w:rsidRDefault="00800074" w:rsidP="00800074">
            <w:pPr>
              <w:spacing w:after="0" w:line="240" w:lineRule="auto"/>
              <w:rPr>
                <w:rFonts w:ascii="Arial" w:eastAsia="Calibri" w:hAnsi="Arial" w:cs="Arial"/>
                <w:strike/>
                <w:color w:val="000000"/>
                <w:sz w:val="20"/>
                <w:szCs w:val="20"/>
                <w:lang w:bidi="ar-SA"/>
              </w:rPr>
            </w:pPr>
          </w:p>
          <w:p w:rsidR="00800074" w:rsidRPr="00522C28" w:rsidRDefault="00800074" w:rsidP="00800074">
            <w:pPr>
              <w:spacing w:after="0" w:line="240" w:lineRule="auto"/>
              <w:rPr>
                <w:rFonts w:ascii="Arial" w:eastAsia="Calibri" w:hAnsi="Arial" w:cs="Arial"/>
                <w:strike/>
                <w:color w:val="000000"/>
                <w:sz w:val="20"/>
                <w:szCs w:val="20"/>
                <w:lang w:bidi="ar-SA"/>
              </w:rPr>
            </w:pPr>
            <w:r w:rsidRPr="00522C28">
              <w:rPr>
                <w:rFonts w:ascii="Arial" w:eastAsia="Times New Roman" w:hAnsi="Arial" w:cs="Arial"/>
                <w:color w:val="000000"/>
                <w:sz w:val="20"/>
                <w:szCs w:val="20"/>
                <w:lang w:bidi="ar-SA"/>
              </w:rPr>
              <w:t>Note that affordable housing is sought on greenfield sites of 3 or more dwellings (see Note 2).</w:t>
            </w:r>
          </w:p>
          <w:p w:rsidR="00800074" w:rsidRPr="00522C28" w:rsidRDefault="00800074" w:rsidP="00800074">
            <w:pPr>
              <w:spacing w:after="0" w:line="240" w:lineRule="auto"/>
              <w:rPr>
                <w:rFonts w:ascii="Arial" w:eastAsia="Calibri" w:hAnsi="Arial" w:cs="Arial"/>
                <w:color w:val="000000"/>
                <w:sz w:val="20"/>
                <w:szCs w:val="20"/>
                <w:lang w:bidi="ar-SA"/>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£70 per sq m</w:t>
            </w:r>
            <w:r w:rsidRPr="00522C28">
              <w:rPr>
                <w:rFonts w:ascii="Arial" w:eastAsia="Times New Roman" w:hAnsi="Arial" w:cs="Arial"/>
                <w:color w:val="000000"/>
                <w:sz w:val="20"/>
                <w:szCs w:val="20"/>
                <w:lang w:bidi="ar-SA"/>
              </w:rPr>
              <w:t xml:space="preserve"> of chargeable floor space.</w:t>
            </w:r>
          </w:p>
        </w:tc>
      </w:tr>
      <w:tr w:rsidR="00800074" w:rsidRPr="00522C28" w:rsidTr="005C25A7">
        <w:trPr>
          <w:jc w:val="center"/>
        </w:trPr>
        <w:tc>
          <w:tcPr>
            <w:tcW w:w="2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074" w:rsidRPr="00522C28" w:rsidRDefault="00800074" w:rsidP="009158F2">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15+ net new dwellings </w:t>
            </w:r>
          </w:p>
        </w:tc>
        <w:tc>
          <w:tcPr>
            <w:tcW w:w="4272"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(see above). </w:t>
            </w:r>
          </w:p>
          <w:p w:rsidR="00800074" w:rsidRPr="00522C28" w:rsidRDefault="00800074" w:rsidP="00800074">
            <w:pPr>
              <w:spacing w:after="0" w:line="240" w:lineRule="auto"/>
              <w:rPr>
                <w:rFonts w:ascii="Arial" w:eastAsia="Times New Roman" w:hAnsi="Arial" w:cs="Arial"/>
                <w:color w:val="000000"/>
                <w:sz w:val="20"/>
                <w:szCs w:val="20"/>
                <w:lang w:bidi="ar-SA"/>
              </w:rPr>
            </w:pPr>
          </w:p>
          <w:p w:rsidR="00800074" w:rsidRPr="00522C28" w:rsidRDefault="00800074" w:rsidP="00800074">
            <w:pPr>
              <w:spacing w:after="0" w:line="240" w:lineRule="auto"/>
              <w:rPr>
                <w:rFonts w:ascii="Arial" w:eastAsia="Times New Roman" w:hAnsi="Arial" w:cs="Arial"/>
                <w:bCs/>
                <w:color w:val="000000"/>
                <w:sz w:val="20"/>
                <w:szCs w:val="20"/>
                <w:lang w:bidi="ar-SA"/>
              </w:rPr>
            </w:pPr>
            <w:r w:rsidRPr="00522C28">
              <w:rPr>
                <w:rFonts w:ascii="Arial" w:eastAsia="Calibri" w:hAnsi="Arial" w:cs="Arial"/>
                <w:color w:val="000000"/>
                <w:sz w:val="20"/>
                <w:szCs w:val="20"/>
                <w:lang w:bidi="ar-SA"/>
              </w:rPr>
              <w:t>Affordable housing is sought on sites of 15+dwellings. (See Note 2).</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00074" w:rsidRPr="00522C28" w:rsidRDefault="00800074" w:rsidP="00800074">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£70 per sq m</w:t>
            </w:r>
            <w:r w:rsidRPr="00522C28">
              <w:rPr>
                <w:rFonts w:ascii="Arial" w:eastAsia="Times New Roman" w:hAnsi="Arial" w:cs="Arial"/>
                <w:color w:val="000000"/>
                <w:sz w:val="20"/>
                <w:szCs w:val="20"/>
                <w:lang w:bidi="ar-SA"/>
              </w:rPr>
              <w:t xml:space="preserve"> of chargeable floor space.</w:t>
            </w:r>
          </w:p>
        </w:tc>
      </w:tr>
    </w:tbl>
    <w:p w:rsidR="00800074" w:rsidRDefault="00800074" w:rsidP="007D3527"/>
    <w:p w:rsidR="00800074" w:rsidRDefault="00800074" w:rsidP="007D3527"/>
    <w:tbl>
      <w:tblPr>
        <w:tblW w:w="9920" w:type="dxa"/>
        <w:jc w:val="center"/>
        <w:tblCellMar>
          <w:left w:w="0" w:type="dxa"/>
          <w:right w:w="0" w:type="dxa"/>
        </w:tblCellMar>
        <w:tblLook w:val="04A0" w:firstRow="1" w:lastRow="0" w:firstColumn="1" w:lastColumn="0" w:noHBand="0" w:noVBand="1"/>
      </w:tblPr>
      <w:tblGrid>
        <w:gridCol w:w="2836"/>
        <w:gridCol w:w="4674"/>
        <w:gridCol w:w="2410"/>
      </w:tblGrid>
      <w:tr w:rsidR="00D86AC8" w:rsidRPr="00522C28" w:rsidTr="00522C28">
        <w:trPr>
          <w:trHeight w:val="1429"/>
          <w:jc w:val="center"/>
        </w:trPr>
        <w:tc>
          <w:tcPr>
            <w:tcW w:w="9920" w:type="dxa"/>
            <w:gridSpan w:val="3"/>
            <w:tcBorders>
              <w:top w:val="single" w:sz="8" w:space="0" w:color="auto"/>
              <w:left w:val="single" w:sz="8" w:space="0" w:color="auto"/>
              <w:bottom w:val="single" w:sz="8" w:space="0" w:color="auto"/>
              <w:right w:val="single" w:sz="8" w:space="0" w:color="auto"/>
            </w:tcBorders>
            <w:shd w:val="clear" w:color="auto" w:fill="DCD0E8"/>
            <w:tcMar>
              <w:top w:w="0" w:type="dxa"/>
              <w:left w:w="108" w:type="dxa"/>
              <w:bottom w:w="0" w:type="dxa"/>
              <w:right w:w="108" w:type="dxa"/>
            </w:tcMar>
          </w:tcPr>
          <w:p w:rsidR="00D86AC8" w:rsidRPr="00522C28" w:rsidRDefault="00D86AC8" w:rsidP="00D86AC8">
            <w:pPr>
              <w:spacing w:after="0" w:line="240" w:lineRule="auto"/>
              <w:rPr>
                <w:rFonts w:ascii="Arial" w:eastAsia="Times New Roman" w:hAnsi="Arial" w:cs="Arial"/>
                <w:b/>
                <w:bCs/>
                <w:color w:val="672080" w:themeColor="text1"/>
                <w:sz w:val="20"/>
                <w:szCs w:val="20"/>
                <w:lang w:bidi="ar-SA"/>
              </w:rPr>
            </w:pPr>
            <w:r w:rsidRPr="00522C28">
              <w:rPr>
                <w:rFonts w:ascii="Arial" w:eastAsia="Times New Roman" w:hAnsi="Arial" w:cs="Arial"/>
                <w:b/>
                <w:bCs/>
                <w:color w:val="672080" w:themeColor="text1"/>
                <w:sz w:val="20"/>
                <w:szCs w:val="20"/>
                <w:lang w:bidi="ar-SA"/>
              </w:rPr>
              <w:t xml:space="preserve">Figure 3: Residential Charging Zone 3:    Within Future Growth Areas, or Outside the Built Up Area (i.e. within the Countryside Area or Undeveloped Coast), plus Watcombe Heights and Ilsham Valley, Torquay and Bascombe Road, Churston. </w:t>
            </w:r>
          </w:p>
          <w:p w:rsidR="00D86AC8" w:rsidRPr="00522C28" w:rsidRDefault="00D86AC8" w:rsidP="00D86AC8">
            <w:pPr>
              <w:spacing w:after="0" w:line="240" w:lineRule="auto"/>
              <w:rPr>
                <w:rFonts w:ascii="Arial" w:eastAsia="Times New Roman" w:hAnsi="Arial" w:cs="Arial"/>
                <w:b/>
                <w:bCs/>
                <w:color w:val="672080" w:themeColor="text1"/>
                <w:sz w:val="20"/>
                <w:szCs w:val="20"/>
                <w:u w:val="single"/>
                <w:lang w:bidi="ar-SA"/>
              </w:rPr>
            </w:pPr>
          </w:p>
          <w:p w:rsidR="00D86AC8" w:rsidRPr="00DC62E0" w:rsidRDefault="00D86AC8" w:rsidP="00D86AC8">
            <w:pPr>
              <w:spacing w:after="0" w:line="240" w:lineRule="auto"/>
              <w:rPr>
                <w:rFonts w:ascii="Arial" w:eastAsia="Times New Roman" w:hAnsi="Arial" w:cs="Arial"/>
                <w:bCs/>
                <w:color w:val="000000"/>
                <w:sz w:val="20"/>
                <w:szCs w:val="20"/>
                <w:lang w:bidi="ar-SA"/>
              </w:rPr>
            </w:pPr>
            <w:r w:rsidRPr="00DC62E0">
              <w:rPr>
                <w:rFonts w:ascii="Arial" w:eastAsia="Times New Roman" w:hAnsi="Arial" w:cs="Arial"/>
                <w:bCs/>
                <w:color w:val="672080" w:themeColor="text1"/>
                <w:sz w:val="20"/>
                <w:szCs w:val="20"/>
                <w:lang w:bidi="ar-SA"/>
              </w:rPr>
              <w:t>CIL Charging Schedule and relationship to s106 Obligations: Residential Development (Use Classes C3, C4 and sui generis hostel (see note 1).</w:t>
            </w:r>
            <w:r w:rsidRPr="00DC62E0">
              <w:rPr>
                <w:rFonts w:ascii="Arial" w:eastAsia="Times New Roman" w:hAnsi="Arial" w:cs="Arial"/>
                <w:bCs/>
                <w:color w:val="000000"/>
                <w:sz w:val="20"/>
                <w:szCs w:val="20"/>
                <w:lang w:bidi="ar-SA"/>
              </w:rPr>
              <w:t xml:space="preserve"> </w:t>
            </w:r>
          </w:p>
        </w:tc>
      </w:tr>
      <w:tr w:rsidR="00D86AC8" w:rsidRPr="00522C28" w:rsidTr="005C25A7">
        <w:trPr>
          <w:jc w:val="center"/>
        </w:trPr>
        <w:tc>
          <w:tcPr>
            <w:tcW w:w="28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86AC8" w:rsidRPr="00522C28" w:rsidRDefault="00D86AC8" w:rsidP="00D86AC8">
            <w:pPr>
              <w:spacing w:after="0" w:line="240" w:lineRule="auto"/>
              <w:rPr>
                <w:rFonts w:ascii="Arial" w:eastAsia="Calibri" w:hAnsi="Arial" w:cs="Arial"/>
                <w:color w:val="000000"/>
                <w:sz w:val="20"/>
                <w:szCs w:val="20"/>
                <w:lang w:bidi="ar-SA"/>
              </w:rPr>
            </w:pPr>
          </w:p>
        </w:tc>
        <w:tc>
          <w:tcPr>
            <w:tcW w:w="46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 xml:space="preserve">s106 for information </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b/>
                <w:bCs/>
                <w:color w:val="000000"/>
                <w:sz w:val="20"/>
                <w:szCs w:val="20"/>
                <w:lang w:bidi="ar-SA"/>
              </w:rPr>
            </w:pPr>
            <w:r w:rsidRPr="00522C28">
              <w:rPr>
                <w:rFonts w:ascii="Arial" w:eastAsia="Times New Roman" w:hAnsi="Arial" w:cs="Arial"/>
                <w:b/>
                <w:bCs/>
                <w:color w:val="000000"/>
                <w:sz w:val="20"/>
                <w:szCs w:val="20"/>
                <w:lang w:bidi="ar-SA"/>
              </w:rPr>
              <w:t>CIL</w:t>
            </w:r>
          </w:p>
        </w:tc>
      </w:tr>
      <w:tr w:rsidR="00D86AC8" w:rsidRPr="00522C28" w:rsidTr="005C25A7">
        <w:trPr>
          <w:jc w:val="center"/>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1-3 net new dwellings </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(Including access, direct highway works, flooding and biodiversity, matters to make development acceptable in terms of Habitats Regulations and other legal matters). </w:t>
            </w:r>
          </w:p>
          <w:p w:rsidR="00D86AC8" w:rsidRPr="00522C28" w:rsidRDefault="00D86AC8" w:rsidP="00D86AC8">
            <w:pPr>
              <w:spacing w:after="0" w:line="240" w:lineRule="auto"/>
              <w:rPr>
                <w:rFonts w:ascii="Arial" w:eastAsia="Times New Roman" w:hAnsi="Arial" w:cs="Arial"/>
                <w:color w:val="000000"/>
                <w:sz w:val="20"/>
                <w:szCs w:val="20"/>
                <w:lang w:bidi="ar-SA"/>
              </w:rPr>
            </w:pPr>
          </w:p>
          <w:p w:rsidR="00D86AC8" w:rsidRPr="00522C28" w:rsidRDefault="00D86AC8" w:rsidP="00D86AC8">
            <w:pPr>
              <w:spacing w:after="0" w:line="240" w:lineRule="auto"/>
              <w:rPr>
                <w:rFonts w:ascii="Arial" w:eastAsia="Times New Roman" w:hAnsi="Arial" w:cs="Arial"/>
                <w:color w:val="000000"/>
                <w:sz w:val="20"/>
                <w:szCs w:val="20"/>
                <w:lang w:bidi="ar-SA"/>
              </w:rPr>
            </w:pPr>
            <w:r w:rsidRPr="00522C28">
              <w:rPr>
                <w:rFonts w:ascii="Arial" w:eastAsia="Calibri" w:hAnsi="Arial" w:cs="Arial"/>
                <w:color w:val="000000"/>
                <w:sz w:val="20"/>
                <w:szCs w:val="20"/>
                <w:lang w:bidi="ar-SA"/>
              </w:rPr>
              <w:t xml:space="preserve">Affordable housing </w:t>
            </w:r>
            <w:r w:rsidR="009158F2">
              <w:rPr>
                <w:rFonts w:ascii="Arial" w:eastAsia="Calibri" w:hAnsi="Arial" w:cs="Arial"/>
                <w:color w:val="000000"/>
                <w:sz w:val="20"/>
                <w:szCs w:val="20"/>
                <w:lang w:bidi="ar-SA"/>
              </w:rPr>
              <w:t xml:space="preserve">is sought </w:t>
            </w:r>
            <w:r w:rsidRPr="00522C28">
              <w:rPr>
                <w:rFonts w:ascii="Arial" w:eastAsia="Calibri" w:hAnsi="Arial" w:cs="Arial"/>
                <w:color w:val="000000"/>
                <w:sz w:val="20"/>
                <w:szCs w:val="20"/>
                <w:lang w:bidi="ar-SA"/>
              </w:rPr>
              <w:t>on greenfield sites of 3+ dwellings (see note 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£70 per sq m</w:t>
            </w:r>
            <w:r w:rsidRPr="00522C28">
              <w:rPr>
                <w:rFonts w:ascii="Arial" w:eastAsia="Times New Roman" w:hAnsi="Arial" w:cs="Arial"/>
                <w:color w:val="000000"/>
                <w:sz w:val="20"/>
                <w:szCs w:val="20"/>
                <w:lang w:bidi="ar-SA"/>
              </w:rPr>
              <w:t xml:space="preserve"> of chargeable floor space.</w:t>
            </w:r>
          </w:p>
        </w:tc>
      </w:tr>
      <w:tr w:rsidR="00D86AC8" w:rsidRPr="00522C28" w:rsidTr="005C25A7">
        <w:trPr>
          <w:jc w:val="center"/>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 xml:space="preserve">Developments of 4-14 net new dwellings </w:t>
            </w:r>
          </w:p>
          <w:p w:rsidR="00D86AC8" w:rsidRPr="00522C28" w:rsidRDefault="00D86AC8" w:rsidP="00D86AC8">
            <w:pPr>
              <w:spacing w:after="0" w:line="240" w:lineRule="auto"/>
              <w:rPr>
                <w:rFonts w:ascii="Arial" w:eastAsia="Calibri" w:hAnsi="Arial" w:cs="Arial"/>
                <w:color w:val="000000"/>
                <w:sz w:val="20"/>
                <w:szCs w:val="20"/>
                <w:lang w:bidi="ar-SA"/>
              </w:rPr>
            </w:pPr>
            <w:r w:rsidRPr="00522C28">
              <w:rPr>
                <w:rFonts w:ascii="Arial" w:eastAsia="Times New Roman" w:hAnsi="Arial" w:cs="Arial"/>
                <w:color w:val="000000"/>
                <w:sz w:val="20"/>
                <w:szCs w:val="20"/>
                <w:lang w:bidi="ar-SA"/>
              </w:rPr>
              <w:t xml:space="preserve"> </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color w:val="000000"/>
                <w:sz w:val="20"/>
                <w:szCs w:val="20"/>
                <w:lang w:bidi="ar-SA"/>
              </w:rPr>
            </w:pPr>
            <w:r w:rsidRPr="00522C28">
              <w:rPr>
                <w:rFonts w:ascii="Arial" w:eastAsia="Times New Roman" w:hAnsi="Arial" w:cs="Arial"/>
                <w:bCs/>
                <w:color w:val="000000"/>
                <w:sz w:val="20"/>
                <w:szCs w:val="20"/>
                <w:lang w:bidi="ar-SA"/>
              </w:rPr>
              <w:t xml:space="preserve">Zero, </w:t>
            </w:r>
            <w:r w:rsidRPr="00522C28">
              <w:rPr>
                <w:rFonts w:ascii="Arial" w:eastAsia="Times New Roman" w:hAnsi="Arial" w:cs="Arial"/>
                <w:color w:val="000000"/>
                <w:sz w:val="20"/>
                <w:szCs w:val="20"/>
                <w:lang w:bidi="ar-SA"/>
              </w:rPr>
              <w:t xml:space="preserve">except for direct site deliverability matters (see above). </w:t>
            </w:r>
          </w:p>
          <w:p w:rsidR="00D86AC8" w:rsidRPr="00522C28" w:rsidRDefault="00D86AC8" w:rsidP="00D86AC8">
            <w:pPr>
              <w:spacing w:after="0" w:line="240" w:lineRule="auto"/>
              <w:rPr>
                <w:rFonts w:ascii="Arial" w:eastAsia="Times New Roman" w:hAnsi="Arial" w:cs="Arial"/>
                <w:color w:val="000000"/>
                <w:sz w:val="20"/>
                <w:szCs w:val="20"/>
                <w:lang w:bidi="ar-SA"/>
              </w:rPr>
            </w:pPr>
          </w:p>
          <w:p w:rsidR="00D86AC8" w:rsidRPr="00522C28" w:rsidRDefault="00D86AC8" w:rsidP="009158F2">
            <w:pPr>
              <w:spacing w:after="0" w:line="240" w:lineRule="auto"/>
              <w:rPr>
                <w:rFonts w:ascii="Arial" w:eastAsia="Calibri" w:hAnsi="Arial" w:cs="Arial"/>
                <w:color w:val="000000"/>
                <w:sz w:val="20"/>
                <w:szCs w:val="20"/>
                <w:lang w:bidi="ar-SA"/>
              </w:rPr>
            </w:pPr>
            <w:r w:rsidRPr="00522C28">
              <w:rPr>
                <w:rFonts w:ascii="Arial" w:eastAsia="Calibri" w:hAnsi="Arial" w:cs="Arial"/>
                <w:color w:val="000000"/>
                <w:sz w:val="20"/>
                <w:szCs w:val="20"/>
                <w:lang w:bidi="ar-SA"/>
              </w:rPr>
              <w:t xml:space="preserve">Affordable housing </w:t>
            </w:r>
            <w:r w:rsidR="009158F2">
              <w:rPr>
                <w:rFonts w:ascii="Arial" w:eastAsia="Calibri" w:hAnsi="Arial" w:cs="Arial"/>
                <w:color w:val="000000"/>
                <w:sz w:val="20"/>
                <w:szCs w:val="20"/>
                <w:lang w:bidi="ar-SA"/>
              </w:rPr>
              <w:t xml:space="preserve">is sought </w:t>
            </w:r>
            <w:r w:rsidRPr="00522C28">
              <w:rPr>
                <w:rFonts w:ascii="Arial" w:eastAsia="Calibri" w:hAnsi="Arial" w:cs="Arial"/>
                <w:color w:val="000000"/>
                <w:sz w:val="20"/>
                <w:szCs w:val="20"/>
                <w:lang w:bidi="ar-SA"/>
              </w:rPr>
              <w:t>on greenfield sites, of 3+ dwellings</w:t>
            </w:r>
            <w:r w:rsidR="009158F2">
              <w:rPr>
                <w:rFonts w:ascii="Arial" w:eastAsia="Calibri" w:hAnsi="Arial" w:cs="Arial"/>
                <w:color w:val="000000"/>
                <w:sz w:val="20"/>
                <w:szCs w:val="20"/>
                <w:lang w:bidi="ar-SA"/>
              </w:rPr>
              <w:t>.</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color w:val="000000"/>
                <w:sz w:val="20"/>
                <w:szCs w:val="20"/>
                <w:lang w:bidi="ar-SA"/>
              </w:rPr>
            </w:pPr>
            <w:r w:rsidRPr="00522C28">
              <w:rPr>
                <w:rFonts w:ascii="Arial" w:eastAsia="Times New Roman" w:hAnsi="Arial" w:cs="Arial"/>
                <w:b/>
                <w:bCs/>
                <w:color w:val="000000"/>
                <w:sz w:val="20"/>
                <w:szCs w:val="20"/>
                <w:lang w:bidi="ar-SA"/>
              </w:rPr>
              <w:t>£70 per sq m</w:t>
            </w:r>
            <w:r w:rsidRPr="00522C28">
              <w:rPr>
                <w:rFonts w:ascii="Arial" w:eastAsia="Times New Roman" w:hAnsi="Arial" w:cs="Arial"/>
                <w:color w:val="000000"/>
                <w:sz w:val="20"/>
                <w:szCs w:val="20"/>
                <w:lang w:bidi="ar-SA"/>
              </w:rPr>
              <w:t xml:space="preserve"> of chargeable floor space.</w:t>
            </w:r>
          </w:p>
        </w:tc>
      </w:tr>
      <w:tr w:rsidR="00D86AC8" w:rsidRPr="00522C28" w:rsidTr="005C25A7">
        <w:trPr>
          <w:jc w:val="center"/>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86AC8" w:rsidRPr="00522C28" w:rsidRDefault="00D86AC8" w:rsidP="009158F2">
            <w:pPr>
              <w:spacing w:after="0" w:line="240" w:lineRule="auto"/>
              <w:rPr>
                <w:rFonts w:ascii="Arial" w:eastAsia="Times New Roman" w:hAnsi="Arial" w:cs="Arial"/>
                <w:b/>
                <w:bCs/>
                <w:color w:val="000000"/>
                <w:sz w:val="20"/>
                <w:szCs w:val="20"/>
                <w:lang w:bidi="ar-SA"/>
              </w:rPr>
            </w:pPr>
            <w:r w:rsidRPr="00522C28">
              <w:rPr>
                <w:rFonts w:ascii="Arial" w:eastAsia="Times New Roman" w:hAnsi="Arial" w:cs="Arial"/>
                <w:b/>
                <w:bCs/>
                <w:color w:val="000000"/>
                <w:sz w:val="20"/>
                <w:szCs w:val="20"/>
                <w:lang w:bidi="ar-SA"/>
              </w:rPr>
              <w:t xml:space="preserve">Developments of 15+ net new dwellings </w:t>
            </w:r>
          </w:p>
        </w:tc>
        <w:tc>
          <w:tcPr>
            <w:tcW w:w="4674"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Calibri" w:hAnsi="Arial" w:cs="Arial"/>
                <w:color w:val="000000"/>
                <w:sz w:val="20"/>
                <w:szCs w:val="20"/>
                <w:lang w:bidi="ar-SA"/>
              </w:rPr>
            </w:pPr>
            <w:r w:rsidRPr="00522C28">
              <w:rPr>
                <w:rFonts w:ascii="Arial" w:eastAsia="Times New Roman" w:hAnsi="Arial" w:cs="Arial"/>
                <w:color w:val="000000"/>
                <w:sz w:val="20"/>
                <w:szCs w:val="20"/>
                <w:lang w:bidi="ar-SA"/>
              </w:rPr>
              <w:t>s106 Contributions to cover infrastructure needed to make development sustainable</w:t>
            </w:r>
            <w:r w:rsidR="009158F2">
              <w:rPr>
                <w:rFonts w:ascii="Arial" w:eastAsia="Times New Roman" w:hAnsi="Arial" w:cs="Arial"/>
                <w:color w:val="000000"/>
                <w:sz w:val="20"/>
                <w:szCs w:val="20"/>
                <w:lang w:bidi="ar-SA"/>
              </w:rPr>
              <w:t>:</w:t>
            </w:r>
          </w:p>
          <w:p w:rsidR="00D86AC8" w:rsidRPr="00522C28" w:rsidRDefault="00D86AC8" w:rsidP="00D86AC8">
            <w:pPr>
              <w:numPr>
                <w:ilvl w:val="0"/>
                <w:numId w:val="14"/>
              </w:numPr>
              <w:spacing w:after="0" w:line="240" w:lineRule="auto"/>
              <w:rPr>
                <w:rFonts w:ascii="Arial" w:eastAsia="Times New Roman" w:hAnsi="Arial" w:cs="Arial"/>
                <w:color w:val="000000"/>
                <w:sz w:val="20"/>
                <w:szCs w:val="20"/>
                <w:lang w:bidi="ar-SA"/>
              </w:rPr>
            </w:pPr>
            <w:r w:rsidRPr="00522C28">
              <w:rPr>
                <w:rFonts w:ascii="Arial" w:eastAsia="Times New Roman" w:hAnsi="Arial" w:cs="Arial"/>
                <w:color w:val="000000"/>
                <w:sz w:val="20"/>
                <w:szCs w:val="20"/>
                <w:lang w:bidi="ar-SA"/>
              </w:rPr>
              <w:t xml:space="preserve">Direct site deliverability matters. </w:t>
            </w:r>
          </w:p>
          <w:p w:rsidR="00D86AC8" w:rsidRPr="00522C28" w:rsidRDefault="00D86AC8" w:rsidP="00D86AC8">
            <w:pPr>
              <w:numPr>
                <w:ilvl w:val="0"/>
                <w:numId w:val="14"/>
              </w:numPr>
              <w:spacing w:after="0" w:line="240" w:lineRule="auto"/>
              <w:rPr>
                <w:rFonts w:ascii="Arial" w:eastAsia="Times New Roman" w:hAnsi="Arial" w:cs="Arial"/>
                <w:color w:val="000000"/>
                <w:sz w:val="20"/>
                <w:szCs w:val="20"/>
                <w:lang w:bidi="ar-SA"/>
              </w:rPr>
            </w:pPr>
            <w:r w:rsidRPr="00522C28">
              <w:rPr>
                <w:rFonts w:ascii="Arial" w:eastAsia="Times New Roman" w:hAnsi="Arial" w:cs="Arial"/>
                <w:color w:val="000000"/>
                <w:sz w:val="20"/>
                <w:szCs w:val="20"/>
                <w:lang w:bidi="ar-SA"/>
              </w:rPr>
              <w:t xml:space="preserve">Affordable Housing (see Note 2). </w:t>
            </w:r>
          </w:p>
          <w:p w:rsidR="00D86AC8" w:rsidRPr="009158F2" w:rsidRDefault="00D86AC8" w:rsidP="009158F2">
            <w:pPr>
              <w:pStyle w:val="ListParagraph"/>
              <w:numPr>
                <w:ilvl w:val="0"/>
                <w:numId w:val="14"/>
              </w:numPr>
              <w:spacing w:after="0" w:line="240" w:lineRule="auto"/>
              <w:rPr>
                <w:rFonts w:ascii="Arial" w:eastAsia="Times New Roman" w:hAnsi="Arial" w:cs="Arial"/>
                <w:bCs/>
                <w:color w:val="000000"/>
                <w:sz w:val="20"/>
                <w:szCs w:val="20"/>
                <w:lang w:bidi="ar-SA"/>
              </w:rPr>
            </w:pPr>
            <w:r w:rsidRPr="009158F2">
              <w:rPr>
                <w:rFonts w:ascii="Arial" w:eastAsia="Times New Roman" w:hAnsi="Arial" w:cs="Arial"/>
                <w:color w:val="000000"/>
                <w:sz w:val="20"/>
                <w:szCs w:val="20"/>
                <w:lang w:bidi="ar-SA"/>
              </w:rPr>
              <w:t xml:space="preserve">Sustainable development </w:t>
            </w:r>
            <w:r w:rsidRPr="009158F2">
              <w:rPr>
                <w:rFonts w:ascii="Arial" w:eastAsia="Times New Roman" w:hAnsi="Arial" w:cs="Arial"/>
                <w:sz w:val="20"/>
                <w:szCs w:val="20"/>
                <w:lang w:bidi="ar-SA"/>
              </w:rPr>
              <w:t>contributions necessary to make the development acceptable in planning terms.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D86AC8" w:rsidRPr="00522C28" w:rsidRDefault="00D86AC8" w:rsidP="00D86AC8">
            <w:pPr>
              <w:spacing w:after="0" w:line="240" w:lineRule="auto"/>
              <w:rPr>
                <w:rFonts w:ascii="Arial" w:eastAsia="Times New Roman" w:hAnsi="Arial" w:cs="Arial"/>
                <w:b/>
                <w:bCs/>
                <w:sz w:val="20"/>
                <w:szCs w:val="20"/>
                <w:lang w:bidi="ar-SA"/>
              </w:rPr>
            </w:pPr>
            <w:r w:rsidRPr="00522C28">
              <w:rPr>
                <w:rFonts w:ascii="Arial" w:eastAsia="Times New Roman" w:hAnsi="Arial" w:cs="Arial"/>
                <w:b/>
                <w:sz w:val="20"/>
                <w:szCs w:val="20"/>
                <w:lang w:bidi="ar-SA"/>
              </w:rPr>
              <w:t>Zero</w:t>
            </w:r>
            <w:r w:rsidRPr="00522C28">
              <w:rPr>
                <w:rFonts w:ascii="Arial" w:eastAsia="Times New Roman" w:hAnsi="Arial" w:cs="Arial"/>
                <w:sz w:val="20"/>
                <w:szCs w:val="20"/>
                <w:lang w:bidi="ar-SA"/>
              </w:rPr>
              <w:t xml:space="preserve"> </w:t>
            </w:r>
          </w:p>
        </w:tc>
      </w:tr>
    </w:tbl>
    <w:p w:rsidR="009158F2" w:rsidRDefault="009158F2" w:rsidP="007D3527"/>
    <w:p w:rsidR="009158F2" w:rsidRDefault="009158F2">
      <w:r>
        <w:br w:type="page"/>
      </w:r>
    </w:p>
    <w:p w:rsidR="003B0D4E" w:rsidRDefault="003B0D4E" w:rsidP="007D3527"/>
    <w:tbl>
      <w:tblPr>
        <w:tblW w:w="9498" w:type="dxa"/>
        <w:jc w:val="center"/>
        <w:tblCellMar>
          <w:left w:w="0" w:type="dxa"/>
          <w:right w:w="0" w:type="dxa"/>
        </w:tblCellMar>
        <w:tblLook w:val="04A0" w:firstRow="1" w:lastRow="0" w:firstColumn="1" w:lastColumn="0" w:noHBand="0" w:noVBand="1"/>
      </w:tblPr>
      <w:tblGrid>
        <w:gridCol w:w="9498"/>
      </w:tblGrid>
      <w:tr w:rsidR="003B0D4E" w:rsidRPr="003B0D4E" w:rsidTr="003B0D4E">
        <w:trPr>
          <w:trHeight w:val="643"/>
          <w:jc w:val="center"/>
        </w:trPr>
        <w:tc>
          <w:tcPr>
            <w:tcW w:w="9498" w:type="dxa"/>
            <w:tcBorders>
              <w:top w:val="single" w:sz="4" w:space="0" w:color="auto"/>
              <w:left w:val="single" w:sz="8" w:space="0" w:color="auto"/>
              <w:bottom w:val="nil"/>
              <w:right w:val="single" w:sz="8" w:space="0" w:color="auto"/>
            </w:tcBorders>
            <w:tcMar>
              <w:top w:w="0" w:type="dxa"/>
              <w:left w:w="108" w:type="dxa"/>
              <w:bottom w:w="0" w:type="dxa"/>
              <w:right w:w="108" w:type="dxa"/>
            </w:tcMar>
            <w:hideMark/>
          </w:tcPr>
          <w:p w:rsidR="003B0D4E" w:rsidRPr="003B0D4E" w:rsidRDefault="003B0D4E" w:rsidP="003B0D4E">
            <w:pPr>
              <w:rPr>
                <w:b/>
                <w:color w:val="672080" w:themeColor="text1"/>
              </w:rPr>
            </w:pPr>
            <w:r w:rsidRPr="003B0D4E">
              <w:rPr>
                <w:b/>
                <w:color w:val="672080" w:themeColor="text1"/>
              </w:rPr>
              <w:t xml:space="preserve">Notes to Residential Charging Schedule tables </w:t>
            </w:r>
          </w:p>
          <w:p w:rsidR="003B0D4E" w:rsidRPr="003B0D4E" w:rsidRDefault="003B0D4E" w:rsidP="003B0D4E">
            <w:pPr>
              <w:rPr>
                <w:color w:val="000000"/>
                <w:sz w:val="20"/>
                <w:szCs w:val="20"/>
              </w:rPr>
            </w:pPr>
            <w:r w:rsidRPr="003A5E34">
              <w:rPr>
                <w:b/>
                <w:color w:val="672080" w:themeColor="text1"/>
                <w:sz w:val="20"/>
                <w:szCs w:val="20"/>
              </w:rPr>
              <w:t>Note 1:</w:t>
            </w:r>
            <w:r w:rsidRPr="003B0D4E">
              <w:rPr>
                <w:b/>
                <w:color w:val="000000"/>
                <w:sz w:val="20"/>
                <w:szCs w:val="20"/>
              </w:rPr>
              <w:t xml:space="preserve"> </w:t>
            </w:r>
            <w:r w:rsidRPr="003B0D4E">
              <w:rPr>
                <w:color w:val="000000"/>
                <w:sz w:val="20"/>
                <w:szCs w:val="20"/>
              </w:rPr>
              <w:t xml:space="preserve">Residential includes dwellings within Use Classes C3 and C4 and sui generis Houses in Multiple Occupation (HMOs).  It includes sheltered housing, where extra care is </w:t>
            </w:r>
            <w:r w:rsidRPr="003A5E34">
              <w:rPr>
                <w:b/>
                <w:color w:val="672080" w:themeColor="text1"/>
                <w:sz w:val="20"/>
                <w:szCs w:val="20"/>
              </w:rPr>
              <w:t>not</w:t>
            </w:r>
            <w:r w:rsidRPr="003B0D4E">
              <w:rPr>
                <w:color w:val="000000"/>
                <w:sz w:val="20"/>
                <w:szCs w:val="20"/>
              </w:rPr>
              <w:t xml:space="preserve"> provided.   </w:t>
            </w:r>
          </w:p>
          <w:p w:rsidR="003B0D4E" w:rsidRDefault="003B0D4E" w:rsidP="003B0D4E">
            <w:pPr>
              <w:rPr>
                <w:color w:val="000000"/>
                <w:sz w:val="20"/>
                <w:szCs w:val="20"/>
              </w:rPr>
            </w:pPr>
            <w:r w:rsidRPr="003B0D4E">
              <w:rPr>
                <w:color w:val="000000"/>
                <w:sz w:val="20"/>
                <w:szCs w:val="20"/>
              </w:rPr>
              <w:t xml:space="preserve">Extra care housing and student halls of residence will be zero rated for CIL, so long as secured for such use through condition or legal agreement. </w:t>
            </w:r>
          </w:p>
          <w:p w:rsidR="00C927E0" w:rsidRPr="003B0D4E" w:rsidRDefault="00C927E0" w:rsidP="003B0D4E">
            <w:pPr>
              <w:rPr>
                <w:color w:val="000000"/>
                <w:sz w:val="20"/>
                <w:szCs w:val="20"/>
              </w:rPr>
            </w:pPr>
            <w:r>
              <w:rPr>
                <w:color w:val="000000"/>
                <w:sz w:val="20"/>
                <w:szCs w:val="20"/>
              </w:rPr>
              <w:t xml:space="preserve">Regard will be had to how much development a site could reasonably be expected to accommodate, and attempts to under-develop sites in order to avoid CIL liability will be resisted. </w:t>
            </w:r>
          </w:p>
          <w:p w:rsidR="003B0D4E" w:rsidRPr="003B0D4E" w:rsidRDefault="003B0D4E" w:rsidP="003B0D4E">
            <w:pPr>
              <w:pStyle w:val="NormalWeb"/>
              <w:spacing w:line="276" w:lineRule="auto"/>
              <w:rPr>
                <w:rFonts w:ascii="Arial" w:hAnsi="Arial" w:cs="Arial"/>
                <w:iCs/>
                <w:color w:val="101010"/>
                <w:sz w:val="20"/>
                <w:szCs w:val="20"/>
              </w:rPr>
            </w:pPr>
            <w:r w:rsidRPr="003A5E34">
              <w:rPr>
                <w:rFonts w:ascii="Arial" w:hAnsi="Arial" w:cs="Arial"/>
                <w:b/>
                <w:iCs/>
                <w:color w:val="672080" w:themeColor="text1"/>
                <w:sz w:val="20"/>
                <w:szCs w:val="20"/>
              </w:rPr>
              <w:t>Extra Care Housing will be taken to mean:</w:t>
            </w:r>
            <w:r w:rsidRPr="003B0D4E">
              <w:rPr>
                <w:rFonts w:ascii="Arial" w:hAnsi="Arial" w:cs="Arial"/>
                <w:b/>
                <w:iCs/>
                <w:color w:val="101010"/>
                <w:sz w:val="20"/>
                <w:szCs w:val="20"/>
              </w:rPr>
              <w:t xml:space="preserve"> </w:t>
            </w:r>
            <w:r w:rsidRPr="003B0D4E">
              <w:rPr>
                <w:rFonts w:ascii="Arial" w:hAnsi="Arial" w:cs="Arial"/>
                <w:iCs/>
                <w:color w:val="101010"/>
                <w:sz w:val="20"/>
                <w:szCs w:val="20"/>
              </w:rPr>
              <w:t xml:space="preserve"> Housing designed with the needs of frailer older people in mind and with varying levels of care and support available on site. People who live in Extra Care Housing have their own self contained homes, their own front doors and a legal right to occupy the property. Extra Care Housing is also known as very sheltered housing, assisted living, or simply as 'housing with care'.  It comes in many built forms, including blocks of flats, bungalow estates and retirement villages. It can provide an alternative to a care home.  In addition to the communal facilities often found in sheltered housing (residents' lounge, guest suite, laundry),  Extra Care includes additional flexible care packages that must be purchased as a condition of occupancy,  and additional facilities such as restaurant or dining room, health &amp; fitness facilities, hobby rooms and computer rooms. </w:t>
            </w:r>
            <w:r w:rsidR="003F6654">
              <w:rPr>
                <w:rFonts w:ascii="Arial" w:hAnsi="Arial" w:cs="Arial"/>
                <w:iCs/>
                <w:color w:val="101010"/>
                <w:sz w:val="20"/>
                <w:szCs w:val="20"/>
              </w:rPr>
              <w:t xml:space="preserve"> </w:t>
            </w:r>
            <w:r w:rsidRPr="003B0D4E">
              <w:rPr>
                <w:rFonts w:ascii="Arial" w:hAnsi="Arial" w:cs="Arial"/>
                <w:iCs/>
                <w:color w:val="101010"/>
                <w:sz w:val="20"/>
                <w:szCs w:val="20"/>
              </w:rPr>
              <w:t xml:space="preserve">Domestic support and personal care are available, usually provided by on-site staff. Properties can be rented, owned or part owned/part rented.  Occupation is governed by eligibility criteria which prospective residents have to meet”. </w:t>
            </w:r>
          </w:p>
          <w:p w:rsidR="003B0D4E" w:rsidRPr="003B0D4E" w:rsidRDefault="003B0D4E" w:rsidP="003B0D4E">
            <w:pPr>
              <w:pStyle w:val="NormalWeb"/>
              <w:spacing w:line="276" w:lineRule="auto"/>
              <w:rPr>
                <w:rFonts w:ascii="Arial" w:hAnsi="Arial" w:cs="Arial"/>
                <w:iCs/>
                <w:color w:val="101010"/>
                <w:sz w:val="20"/>
                <w:szCs w:val="20"/>
              </w:rPr>
            </w:pPr>
            <w:r w:rsidRPr="003B0D4E">
              <w:rPr>
                <w:rFonts w:ascii="Arial" w:hAnsi="Arial" w:cs="Arial"/>
                <w:sz w:val="20"/>
                <w:szCs w:val="20"/>
              </w:rPr>
              <w:t>Sheltered or retirement dwellings which are not extra care units as per the above definition, will be considered to be residential units that are liable to CIL.</w:t>
            </w:r>
          </w:p>
          <w:p w:rsidR="003B0D4E" w:rsidRPr="003B0D4E" w:rsidRDefault="003B0D4E" w:rsidP="003B0D4E">
            <w:pPr>
              <w:pStyle w:val="NormalWeb"/>
              <w:spacing w:line="276" w:lineRule="auto"/>
              <w:rPr>
                <w:rFonts w:ascii="Arial" w:hAnsi="Arial" w:cs="Arial"/>
                <w:iCs/>
                <w:color w:val="101010"/>
                <w:sz w:val="20"/>
                <w:szCs w:val="20"/>
              </w:rPr>
            </w:pPr>
            <w:r w:rsidRPr="003B0D4E">
              <w:rPr>
                <w:rFonts w:ascii="Arial" w:hAnsi="Arial" w:cs="Arial"/>
                <w:iCs/>
                <w:color w:val="101010"/>
                <w:sz w:val="20"/>
                <w:szCs w:val="20"/>
              </w:rPr>
              <w:t>CIL is not sought on extensions t</w:t>
            </w:r>
            <w:r w:rsidR="003A5E34">
              <w:rPr>
                <w:rFonts w:ascii="Arial" w:hAnsi="Arial" w:cs="Arial"/>
                <w:iCs/>
                <w:color w:val="101010"/>
                <w:sz w:val="20"/>
                <w:szCs w:val="20"/>
              </w:rPr>
              <w:t xml:space="preserve">o dwelling houses, unless these </w:t>
            </w:r>
            <w:r w:rsidRPr="003B0D4E">
              <w:rPr>
                <w:rFonts w:ascii="Arial" w:hAnsi="Arial" w:cs="Arial"/>
                <w:iCs/>
                <w:color w:val="101010"/>
                <w:sz w:val="20"/>
                <w:szCs w:val="20"/>
              </w:rPr>
              <w:t>result in the original house being substanti</w:t>
            </w:r>
            <w:r w:rsidR="003A5E34">
              <w:rPr>
                <w:rFonts w:ascii="Arial" w:hAnsi="Arial" w:cs="Arial"/>
                <w:iCs/>
                <w:color w:val="101010"/>
                <w:sz w:val="20"/>
                <w:szCs w:val="20"/>
              </w:rPr>
              <w:t xml:space="preserve">ally demolished </w:t>
            </w:r>
            <w:r w:rsidRPr="003B0D4E">
              <w:rPr>
                <w:rFonts w:ascii="Arial" w:hAnsi="Arial" w:cs="Arial"/>
                <w:iCs/>
                <w:color w:val="101010"/>
                <w:sz w:val="20"/>
                <w:szCs w:val="20"/>
              </w:rPr>
              <w:t xml:space="preserve">and replaced. </w:t>
            </w:r>
          </w:p>
          <w:p w:rsidR="003B0D4E" w:rsidRPr="003B0D4E" w:rsidRDefault="003B0D4E" w:rsidP="003B0D4E">
            <w:pPr>
              <w:rPr>
                <w:color w:val="000000"/>
                <w:sz w:val="20"/>
                <w:szCs w:val="20"/>
              </w:rPr>
            </w:pPr>
            <w:r w:rsidRPr="003A5E34">
              <w:rPr>
                <w:b/>
                <w:color w:val="672080" w:themeColor="text1"/>
                <w:sz w:val="20"/>
                <w:szCs w:val="20"/>
              </w:rPr>
              <w:t>Social Housing</w:t>
            </w:r>
            <w:r w:rsidRPr="003B0D4E">
              <w:rPr>
                <w:sz w:val="20"/>
                <w:szCs w:val="20"/>
              </w:rPr>
              <w:t xml:space="preserve">, as defined by Regulation 49-50 of the CIL Regulations, is exempt from CIL where the requirements of the CIL Regulations have been met. </w:t>
            </w:r>
          </w:p>
          <w:p w:rsidR="003B0D4E" w:rsidRPr="003B0D4E" w:rsidRDefault="003B0D4E" w:rsidP="003B0D4E">
            <w:pPr>
              <w:rPr>
                <w:sz w:val="20"/>
                <w:szCs w:val="20"/>
              </w:rPr>
            </w:pPr>
            <w:r w:rsidRPr="003B0D4E">
              <w:rPr>
                <w:color w:val="000000"/>
                <w:sz w:val="20"/>
                <w:szCs w:val="20"/>
              </w:rPr>
              <w:t xml:space="preserve">Self-build and custom-build housing are exempt from CIL so long as an exemption is claimed before the commencement of development. </w:t>
            </w:r>
            <w:r w:rsidR="003F6654">
              <w:rPr>
                <w:color w:val="000000"/>
                <w:sz w:val="20"/>
                <w:szCs w:val="20"/>
              </w:rPr>
              <w:t>(</w:t>
            </w:r>
            <w:r w:rsidRPr="003B0D4E">
              <w:rPr>
                <w:color w:val="000000"/>
                <w:sz w:val="20"/>
                <w:szCs w:val="20"/>
              </w:rPr>
              <w:t xml:space="preserve">See PPG paragraph </w:t>
            </w:r>
            <w:r w:rsidRPr="003B0D4E">
              <w:rPr>
                <w:sz w:val="20"/>
                <w:szCs w:val="20"/>
              </w:rPr>
              <w:t>25-141-20140612</w:t>
            </w:r>
            <w:r w:rsidR="003F6654">
              <w:rPr>
                <w:sz w:val="20"/>
                <w:szCs w:val="20"/>
              </w:rPr>
              <w:t>)</w:t>
            </w:r>
            <w:r w:rsidRPr="003B0D4E">
              <w:rPr>
                <w:sz w:val="20"/>
                <w:szCs w:val="20"/>
              </w:rPr>
              <w:t xml:space="preserve">. </w:t>
            </w:r>
          </w:p>
          <w:p w:rsidR="003B0D4E" w:rsidRPr="003B0D4E" w:rsidRDefault="003B0D4E" w:rsidP="003B0D4E">
            <w:pPr>
              <w:rPr>
                <w:sz w:val="20"/>
                <w:szCs w:val="20"/>
              </w:rPr>
            </w:pPr>
            <w:r w:rsidRPr="003B0D4E">
              <w:rPr>
                <w:sz w:val="20"/>
                <w:szCs w:val="20"/>
              </w:rPr>
              <w:t>Charitable institutions, e.g. churches are exempt from CIL, so long as the development is used primarily for charitable purposes. (See Regulations 43-44 of the CIL Regulations).</w:t>
            </w:r>
          </w:p>
        </w:tc>
      </w:tr>
      <w:tr w:rsidR="003B0D4E" w:rsidRPr="003B0D4E" w:rsidTr="003B0D4E">
        <w:trPr>
          <w:trHeight w:val="643"/>
          <w:jc w:val="center"/>
        </w:trPr>
        <w:tc>
          <w:tcPr>
            <w:tcW w:w="9498" w:type="dxa"/>
            <w:tcBorders>
              <w:top w:val="nil"/>
              <w:left w:val="single" w:sz="8" w:space="0" w:color="auto"/>
              <w:bottom w:val="nil"/>
              <w:right w:val="single" w:sz="8" w:space="0" w:color="auto"/>
            </w:tcBorders>
            <w:tcMar>
              <w:top w:w="0" w:type="dxa"/>
              <w:left w:w="108" w:type="dxa"/>
              <w:bottom w:w="0" w:type="dxa"/>
              <w:right w:w="108" w:type="dxa"/>
            </w:tcMar>
            <w:hideMark/>
          </w:tcPr>
          <w:p w:rsidR="003B0D4E" w:rsidRPr="003B0D4E" w:rsidRDefault="003B0D4E" w:rsidP="003B0D4E">
            <w:pPr>
              <w:rPr>
                <w:color w:val="FF0000"/>
                <w:sz w:val="20"/>
                <w:szCs w:val="20"/>
                <w:u w:val="single"/>
              </w:rPr>
            </w:pPr>
            <w:r w:rsidRPr="003A5E34">
              <w:rPr>
                <w:b/>
                <w:color w:val="672080" w:themeColor="text1"/>
                <w:sz w:val="20"/>
                <w:szCs w:val="20"/>
              </w:rPr>
              <w:t>Note 2</w:t>
            </w:r>
            <w:r w:rsidRPr="003B0D4E">
              <w:rPr>
                <w:b/>
                <w:color w:val="000000"/>
                <w:sz w:val="20"/>
                <w:szCs w:val="20"/>
              </w:rPr>
              <w:t xml:space="preserve">:  </w:t>
            </w:r>
            <w:r w:rsidRPr="003B0D4E">
              <w:rPr>
                <w:color w:val="000000"/>
                <w:sz w:val="20"/>
                <w:szCs w:val="20"/>
              </w:rPr>
              <w:t>Affordable housing requirements are set out in Policy H2 of the Adopted Torbay Local Plan 2012-30</w:t>
            </w:r>
            <w:r w:rsidRPr="003B0D4E">
              <w:rPr>
                <w:sz w:val="20"/>
                <w:szCs w:val="20"/>
              </w:rPr>
              <w:t xml:space="preserve">.  The Council has regard to material considerations governing site size thresholds: </w:t>
            </w:r>
            <w:r w:rsidR="003F6654">
              <w:rPr>
                <w:sz w:val="20"/>
                <w:szCs w:val="20"/>
              </w:rPr>
              <w:t>n</w:t>
            </w:r>
            <w:r w:rsidRPr="003B0D4E">
              <w:rPr>
                <w:sz w:val="20"/>
                <w:szCs w:val="20"/>
              </w:rPr>
              <w:t>amely the Written Ministerial Statement of 28/11/2014</w:t>
            </w:r>
            <w:r w:rsidR="003F6654">
              <w:rPr>
                <w:sz w:val="20"/>
                <w:szCs w:val="20"/>
              </w:rPr>
              <w:t xml:space="preserve">. </w:t>
            </w:r>
            <w:r w:rsidRPr="003B0D4E">
              <w:rPr>
                <w:sz w:val="20"/>
                <w:szCs w:val="20"/>
              </w:rPr>
              <w:t xml:space="preserve"> </w:t>
            </w:r>
            <w:r w:rsidR="003F6654">
              <w:rPr>
                <w:sz w:val="20"/>
                <w:szCs w:val="20"/>
              </w:rPr>
              <w:t>H</w:t>
            </w:r>
            <w:r w:rsidRPr="003B0D4E">
              <w:rPr>
                <w:sz w:val="20"/>
                <w:szCs w:val="20"/>
              </w:rPr>
              <w:t>owever,</w:t>
            </w:r>
            <w:r w:rsidR="003F6654">
              <w:rPr>
                <w:sz w:val="20"/>
                <w:szCs w:val="20"/>
              </w:rPr>
              <w:t xml:space="preserve"> full </w:t>
            </w:r>
            <w:r w:rsidRPr="003B0D4E">
              <w:rPr>
                <w:sz w:val="20"/>
                <w:szCs w:val="20"/>
              </w:rPr>
              <w:t>Council resolved on 2</w:t>
            </w:r>
            <w:r w:rsidRPr="003B0D4E">
              <w:rPr>
                <w:sz w:val="20"/>
                <w:szCs w:val="20"/>
                <w:vertAlign w:val="superscript"/>
              </w:rPr>
              <w:t>nd</w:t>
            </w:r>
            <w:r w:rsidRPr="003B0D4E">
              <w:rPr>
                <w:sz w:val="20"/>
                <w:szCs w:val="20"/>
              </w:rPr>
              <w:t xml:space="preserve"> February 2017 to retain the threshold set out in the Adopted Torbay Local Plan.</w:t>
            </w:r>
          </w:p>
          <w:p w:rsidR="003B0D4E" w:rsidRPr="003B0D4E" w:rsidRDefault="003B0D4E" w:rsidP="003B0D4E">
            <w:pPr>
              <w:rPr>
                <w:color w:val="000000"/>
                <w:sz w:val="20"/>
                <w:szCs w:val="20"/>
              </w:rPr>
            </w:pPr>
            <w:r w:rsidRPr="003B0D4E">
              <w:rPr>
                <w:color w:val="000000"/>
                <w:sz w:val="20"/>
                <w:szCs w:val="20"/>
              </w:rPr>
              <w:t>An element of affordable housing is sought on greenfield sites of</w:t>
            </w:r>
            <w:r w:rsidR="003F6654">
              <w:rPr>
                <w:color w:val="000000"/>
                <w:sz w:val="20"/>
                <w:szCs w:val="20"/>
              </w:rPr>
              <w:t xml:space="preserve"> 3+ dwellings</w:t>
            </w:r>
            <w:r w:rsidRPr="003B0D4E">
              <w:rPr>
                <w:color w:val="000000"/>
                <w:sz w:val="20"/>
                <w:szCs w:val="20"/>
              </w:rPr>
              <w:t xml:space="preserve"> and brownfield </w:t>
            </w:r>
            <w:r>
              <w:rPr>
                <w:color w:val="000000"/>
                <w:sz w:val="20"/>
                <w:szCs w:val="20"/>
              </w:rPr>
              <w:t xml:space="preserve">sites of 15 or more dwellings. </w:t>
            </w:r>
            <w:r w:rsidRPr="003B0D4E">
              <w:rPr>
                <w:color w:val="000000"/>
                <w:sz w:val="20"/>
                <w:szCs w:val="20"/>
              </w:rPr>
              <w:t>However, this may be reduced to zero in areas of deprivation, where this would encourage investment.</w:t>
            </w:r>
            <w:r>
              <w:rPr>
                <w:color w:val="000000"/>
                <w:sz w:val="20"/>
                <w:szCs w:val="20"/>
              </w:rPr>
              <w:t xml:space="preserve"> </w:t>
            </w:r>
            <w:r w:rsidRPr="003B0D4E">
              <w:rPr>
                <w:color w:val="000000"/>
                <w:sz w:val="20"/>
                <w:szCs w:val="20"/>
              </w:rPr>
              <w:t xml:space="preserve">Liability for CIL will also be a material consideration. </w:t>
            </w:r>
          </w:p>
        </w:tc>
      </w:tr>
      <w:tr w:rsidR="003B0D4E" w:rsidRPr="003B0D4E" w:rsidTr="003B0D4E">
        <w:trPr>
          <w:trHeight w:val="736"/>
          <w:jc w:val="center"/>
        </w:trPr>
        <w:tc>
          <w:tcPr>
            <w:tcW w:w="949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3B0D4E" w:rsidRPr="003B0D4E" w:rsidRDefault="003B0D4E" w:rsidP="003B0D4E">
            <w:pPr>
              <w:rPr>
                <w:b/>
                <w:color w:val="000000"/>
                <w:sz w:val="20"/>
                <w:szCs w:val="20"/>
              </w:rPr>
            </w:pPr>
            <w:r w:rsidRPr="003A5E34">
              <w:rPr>
                <w:b/>
                <w:color w:val="672080" w:themeColor="text1"/>
                <w:sz w:val="20"/>
                <w:szCs w:val="20"/>
              </w:rPr>
              <w:t>Note 3</w:t>
            </w:r>
            <w:r w:rsidRPr="003B0D4E">
              <w:rPr>
                <w:b/>
                <w:color w:val="000000"/>
                <w:sz w:val="20"/>
                <w:szCs w:val="20"/>
              </w:rPr>
              <w:t xml:space="preserve">: </w:t>
            </w:r>
            <w:r w:rsidRPr="003B0D4E">
              <w:rPr>
                <w:color w:val="000000"/>
                <w:sz w:val="20"/>
                <w:szCs w:val="20"/>
              </w:rPr>
              <w:t>Outside the built up area is defined a</w:t>
            </w:r>
            <w:r w:rsidR="00162B21">
              <w:rPr>
                <w:color w:val="000000"/>
                <w:sz w:val="20"/>
                <w:szCs w:val="20"/>
              </w:rPr>
              <w:t>s areas within the Countryside</w:t>
            </w:r>
            <w:r w:rsidRPr="003B0D4E">
              <w:rPr>
                <w:color w:val="000000"/>
                <w:sz w:val="20"/>
                <w:szCs w:val="20"/>
              </w:rPr>
              <w:t xml:space="preserve"> area (Policy C1) </w:t>
            </w:r>
            <w:r w:rsidRPr="003B0D4E">
              <w:rPr>
                <w:sz w:val="20"/>
                <w:szCs w:val="20"/>
              </w:rPr>
              <w:t>or Undeveloped coast (Policy C2) in the Adopted Torbay Local Plan 2012-30.   The built up area is defined as areas</w:t>
            </w:r>
            <w:r w:rsidRPr="003B0D4E">
              <w:rPr>
                <w:b/>
                <w:sz w:val="20"/>
                <w:szCs w:val="20"/>
              </w:rPr>
              <w:t xml:space="preserve"> </w:t>
            </w:r>
            <w:r w:rsidRPr="003B0D4E">
              <w:rPr>
                <w:sz w:val="20"/>
                <w:szCs w:val="20"/>
              </w:rPr>
              <w:t>not so designated.   For the purpose of CIL, Watcombe Heights and Ilsham Valley, Torquay and land a</w:t>
            </w:r>
            <w:r w:rsidR="003F6654">
              <w:rPr>
                <w:sz w:val="20"/>
                <w:szCs w:val="20"/>
              </w:rPr>
              <w:t>t</w:t>
            </w:r>
            <w:r w:rsidRPr="003B0D4E">
              <w:rPr>
                <w:sz w:val="20"/>
                <w:szCs w:val="20"/>
              </w:rPr>
              <w:t xml:space="preserve"> Bascombe Road, Churston are within Zone 3</w:t>
            </w:r>
            <w:r w:rsidRPr="003B0D4E">
              <w:rPr>
                <w:b/>
                <w:sz w:val="20"/>
                <w:szCs w:val="20"/>
              </w:rPr>
              <w:t>.</w:t>
            </w:r>
            <w:r w:rsidRPr="003B0D4E">
              <w:rPr>
                <w:b/>
                <w:color w:val="000000"/>
                <w:sz w:val="20"/>
                <w:szCs w:val="20"/>
              </w:rPr>
              <w:t xml:space="preserve"> </w:t>
            </w:r>
          </w:p>
          <w:p w:rsidR="003B0D4E" w:rsidRPr="003B0D4E" w:rsidRDefault="003B0D4E" w:rsidP="003F6654">
            <w:pPr>
              <w:spacing w:after="0"/>
              <w:rPr>
                <w:b/>
                <w:color w:val="000000"/>
                <w:sz w:val="20"/>
                <w:szCs w:val="20"/>
              </w:rPr>
            </w:pPr>
            <w:r w:rsidRPr="003A5E34">
              <w:rPr>
                <w:b/>
                <w:color w:val="672080" w:themeColor="text1"/>
                <w:sz w:val="20"/>
                <w:szCs w:val="20"/>
              </w:rPr>
              <w:t>Note 4</w:t>
            </w:r>
            <w:r w:rsidRPr="003B0D4E">
              <w:rPr>
                <w:b/>
                <w:color w:val="000000"/>
                <w:sz w:val="20"/>
                <w:szCs w:val="20"/>
              </w:rPr>
              <w:t xml:space="preserve">: </w:t>
            </w:r>
            <w:r w:rsidRPr="003B0D4E">
              <w:rPr>
                <w:color w:val="000000"/>
                <w:sz w:val="20"/>
                <w:szCs w:val="20"/>
              </w:rPr>
              <w:t xml:space="preserve">Future </w:t>
            </w:r>
            <w:r w:rsidR="003F6654">
              <w:rPr>
                <w:color w:val="000000"/>
                <w:sz w:val="20"/>
                <w:szCs w:val="20"/>
              </w:rPr>
              <w:t>G</w:t>
            </w:r>
            <w:r w:rsidRPr="003B0D4E">
              <w:rPr>
                <w:color w:val="000000"/>
                <w:sz w:val="20"/>
                <w:szCs w:val="20"/>
              </w:rPr>
              <w:t>rowth Areas are designated in the Adopted Torbay Local Plan 2012-30.</w:t>
            </w:r>
            <w:r w:rsidRPr="003B0D4E">
              <w:rPr>
                <w:b/>
                <w:color w:val="000000"/>
                <w:sz w:val="20"/>
                <w:szCs w:val="20"/>
              </w:rPr>
              <w:t xml:space="preserve"> </w:t>
            </w:r>
          </w:p>
        </w:tc>
      </w:tr>
    </w:tbl>
    <w:p w:rsidR="003B0D4E" w:rsidRDefault="003B0D4E" w:rsidP="007D3527"/>
    <w:p w:rsidR="00840C5F" w:rsidRDefault="00840C5F" w:rsidP="00840C5F">
      <w:pPr>
        <w:pStyle w:val="Heading2"/>
      </w:pPr>
      <w:bookmarkStart w:id="16" w:name="_Toc483911484"/>
      <w:r>
        <w:lastRenderedPageBreak/>
        <w:t>Commercial Development</w:t>
      </w:r>
      <w:bookmarkEnd w:id="16"/>
    </w:p>
    <w:p w:rsidR="00840C5F" w:rsidRPr="00840C5F" w:rsidRDefault="00840C5F" w:rsidP="00840C5F">
      <w:pPr>
        <w:pStyle w:val="Heading3"/>
        <w:rPr>
          <w:color w:val="auto"/>
        </w:rPr>
      </w:pPr>
      <w:r w:rsidRPr="00840C5F">
        <w:rPr>
          <w:color w:val="auto"/>
        </w:rPr>
        <w:t>CIL is liable on out-of-town centre retail and food and drink development of more than 300 sq m</w:t>
      </w:r>
      <w:r w:rsidR="004F6AF6">
        <w:rPr>
          <w:color w:val="auto"/>
        </w:rPr>
        <w:t>,</w:t>
      </w:r>
      <w:r w:rsidRPr="00840C5F">
        <w:rPr>
          <w:color w:val="auto"/>
        </w:rPr>
        <w:t xml:space="preserve"> at £120 per sq m). </w:t>
      </w:r>
      <w:r w:rsidR="00D84CCB">
        <w:rPr>
          <w:color w:val="auto"/>
        </w:rPr>
        <w:t xml:space="preserve"> </w:t>
      </w:r>
      <w:r w:rsidR="00D84CCB" w:rsidRPr="00D84CCB">
        <w:rPr>
          <w:color w:val="auto"/>
          <w:highlight w:val="yellow"/>
        </w:rPr>
        <w:t>Where development results in more than 300 sq</w:t>
      </w:r>
      <w:r w:rsidR="00657CBC">
        <w:rPr>
          <w:color w:val="auto"/>
          <w:highlight w:val="yellow"/>
        </w:rPr>
        <w:t>.</w:t>
      </w:r>
      <w:r w:rsidR="00D84CCB" w:rsidRPr="00D84CCB">
        <w:rPr>
          <w:color w:val="auto"/>
          <w:highlight w:val="yellow"/>
        </w:rPr>
        <w:t xml:space="preserve"> m</w:t>
      </w:r>
      <w:r w:rsidR="00657CBC">
        <w:rPr>
          <w:color w:val="auto"/>
          <w:highlight w:val="yellow"/>
        </w:rPr>
        <w:t>.</w:t>
      </w:r>
      <w:r w:rsidR="00D84CCB" w:rsidRPr="00D84CCB">
        <w:rPr>
          <w:color w:val="auto"/>
          <w:highlight w:val="yellow"/>
        </w:rPr>
        <w:t xml:space="preserve"> </w:t>
      </w:r>
      <w:r w:rsidR="00CD2E75">
        <w:rPr>
          <w:color w:val="auto"/>
          <w:highlight w:val="yellow"/>
        </w:rPr>
        <w:t xml:space="preserve">of additional </w:t>
      </w:r>
      <w:r w:rsidR="00D84CCB" w:rsidRPr="00D84CCB">
        <w:rPr>
          <w:color w:val="auto"/>
          <w:highlight w:val="yellow"/>
        </w:rPr>
        <w:t>floorspace, CIL is levied on all new floorspace</w:t>
      </w:r>
      <w:r w:rsidR="00D84CCB">
        <w:rPr>
          <w:color w:val="auto"/>
        </w:rPr>
        <w:t xml:space="preserve">. </w:t>
      </w:r>
      <w:r w:rsidRPr="00840C5F">
        <w:rPr>
          <w:color w:val="auto"/>
        </w:rPr>
        <w:t xml:space="preserve"> </w:t>
      </w:r>
    </w:p>
    <w:p w:rsidR="00840C5F" w:rsidRPr="00840C5F" w:rsidRDefault="00840C5F" w:rsidP="00840C5F">
      <w:pPr>
        <w:pStyle w:val="Heading3"/>
        <w:rPr>
          <w:color w:val="auto"/>
        </w:rPr>
      </w:pPr>
      <w:r w:rsidRPr="00840C5F">
        <w:rPr>
          <w:color w:val="auto"/>
        </w:rPr>
        <w:t xml:space="preserve">The Council’s viability evidence indicates that town centre retail would not </w:t>
      </w:r>
      <w:bookmarkStart w:id="17" w:name="_GoBack"/>
      <w:bookmarkEnd w:id="17"/>
      <w:r w:rsidRPr="00840C5F">
        <w:rPr>
          <w:color w:val="auto"/>
        </w:rPr>
        <w:t>be viable with CIL.  This viability position also applies to St Marychurch and Preston District Centres; but not The Willows District Centre, which operates as an out-of-town retail park.</w:t>
      </w:r>
    </w:p>
    <w:p w:rsidR="00840C5F" w:rsidRPr="00840C5F" w:rsidRDefault="00840C5F" w:rsidP="00840C5F">
      <w:pPr>
        <w:pStyle w:val="Heading3"/>
        <w:rPr>
          <w:color w:val="auto"/>
        </w:rPr>
      </w:pPr>
      <w:r w:rsidRPr="00840C5F">
        <w:rPr>
          <w:color w:val="auto"/>
        </w:rPr>
        <w:t xml:space="preserve">The viability evidence indicates that other commercial/employment uses would not be viable with a CIL. </w:t>
      </w:r>
    </w:p>
    <w:p w:rsidR="00D86AC8" w:rsidRPr="004F6AF6" w:rsidRDefault="00840C5F" w:rsidP="007D3527">
      <w:pPr>
        <w:pStyle w:val="Heading3"/>
        <w:rPr>
          <w:color w:val="auto"/>
        </w:rPr>
      </w:pPr>
      <w:r w:rsidRPr="00840C5F">
        <w:rPr>
          <w:color w:val="auto"/>
        </w:rPr>
        <w:t xml:space="preserve">Figure 5 sets out the CIL for commercial development. The Charging Zones Map included at Appendix 1.  </w:t>
      </w: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3287"/>
        <w:gridCol w:w="3763"/>
      </w:tblGrid>
      <w:tr w:rsidR="003B0D4E" w:rsidRPr="003B0D4E" w:rsidTr="00522C28">
        <w:trPr>
          <w:jc w:val="center"/>
        </w:trPr>
        <w:tc>
          <w:tcPr>
            <w:tcW w:w="9886" w:type="dxa"/>
            <w:gridSpan w:val="3"/>
            <w:shd w:val="clear" w:color="auto" w:fill="DCD0E8"/>
          </w:tcPr>
          <w:p w:rsidR="006B69AA" w:rsidRDefault="006B69AA" w:rsidP="006B69AA">
            <w:pPr>
              <w:spacing w:after="0" w:line="240" w:lineRule="auto"/>
              <w:rPr>
                <w:rFonts w:cstheme="minorHAnsi"/>
                <w:b/>
                <w:color w:val="672080" w:themeColor="text1"/>
                <w:sz w:val="20"/>
                <w:szCs w:val="20"/>
              </w:rPr>
            </w:pPr>
          </w:p>
          <w:p w:rsidR="003B0D4E" w:rsidRDefault="003B0D4E" w:rsidP="006B69AA">
            <w:pPr>
              <w:spacing w:after="0" w:line="240" w:lineRule="auto"/>
              <w:rPr>
                <w:rFonts w:cstheme="minorHAnsi"/>
                <w:b/>
                <w:color w:val="672080" w:themeColor="text1"/>
                <w:sz w:val="20"/>
                <w:szCs w:val="20"/>
              </w:rPr>
            </w:pPr>
            <w:r w:rsidRPr="003B0D4E">
              <w:rPr>
                <w:rFonts w:cstheme="minorHAnsi"/>
                <w:b/>
                <w:color w:val="672080" w:themeColor="text1"/>
                <w:sz w:val="20"/>
                <w:szCs w:val="20"/>
              </w:rPr>
              <w:t xml:space="preserve">Figure 4: CIL Charging Schedule: Commercial </w:t>
            </w:r>
            <w:r>
              <w:rPr>
                <w:rFonts w:cstheme="minorHAnsi"/>
                <w:b/>
                <w:color w:val="672080" w:themeColor="text1"/>
                <w:sz w:val="20"/>
                <w:szCs w:val="20"/>
              </w:rPr>
              <w:t>and Non-</w:t>
            </w:r>
            <w:r w:rsidR="005C25A7">
              <w:rPr>
                <w:rFonts w:cstheme="minorHAnsi"/>
                <w:b/>
                <w:color w:val="672080" w:themeColor="text1"/>
                <w:sz w:val="20"/>
                <w:szCs w:val="20"/>
              </w:rPr>
              <w:t xml:space="preserve">Residential </w:t>
            </w:r>
            <w:r w:rsidRPr="003B0D4E">
              <w:rPr>
                <w:rFonts w:cstheme="minorHAnsi"/>
                <w:b/>
                <w:color w:val="672080" w:themeColor="text1"/>
                <w:sz w:val="20"/>
                <w:szCs w:val="20"/>
              </w:rPr>
              <w:t xml:space="preserve">Development </w:t>
            </w:r>
          </w:p>
          <w:p w:rsidR="006B69AA" w:rsidRPr="003B0D4E" w:rsidRDefault="006B69AA" w:rsidP="006B69AA">
            <w:pPr>
              <w:spacing w:after="0" w:line="240" w:lineRule="auto"/>
              <w:rPr>
                <w:rFonts w:cstheme="minorHAnsi"/>
                <w:b/>
                <w:color w:val="672080" w:themeColor="text1"/>
                <w:sz w:val="20"/>
                <w:szCs w:val="20"/>
              </w:rPr>
            </w:pPr>
          </w:p>
        </w:tc>
      </w:tr>
      <w:tr w:rsidR="003B0D4E" w:rsidRPr="003A5E34" w:rsidTr="00522C28">
        <w:trPr>
          <w:jc w:val="center"/>
        </w:trPr>
        <w:tc>
          <w:tcPr>
            <w:tcW w:w="2836" w:type="dxa"/>
            <w:shd w:val="clear" w:color="auto" w:fill="DCD0E8"/>
          </w:tcPr>
          <w:p w:rsidR="003B0D4E" w:rsidRPr="003A5E34" w:rsidRDefault="003B0D4E" w:rsidP="003B0D4E">
            <w:pPr>
              <w:rPr>
                <w:rFonts w:cstheme="minorHAnsi"/>
                <w:color w:val="672080" w:themeColor="text1"/>
                <w:sz w:val="20"/>
                <w:szCs w:val="20"/>
              </w:rPr>
            </w:pPr>
            <w:r w:rsidRPr="003A5E34">
              <w:rPr>
                <w:rFonts w:cstheme="minorHAnsi"/>
                <w:color w:val="672080" w:themeColor="text1"/>
                <w:sz w:val="20"/>
                <w:szCs w:val="20"/>
              </w:rPr>
              <w:t>Type of Development</w:t>
            </w:r>
          </w:p>
        </w:tc>
        <w:tc>
          <w:tcPr>
            <w:tcW w:w="7050" w:type="dxa"/>
            <w:gridSpan w:val="2"/>
            <w:shd w:val="clear" w:color="auto" w:fill="DCD0E8"/>
          </w:tcPr>
          <w:p w:rsidR="003B0D4E" w:rsidRPr="003A5E34" w:rsidRDefault="003B0D4E" w:rsidP="003B0D4E">
            <w:pPr>
              <w:jc w:val="center"/>
              <w:rPr>
                <w:rFonts w:cstheme="minorHAnsi"/>
                <w:color w:val="672080" w:themeColor="text1"/>
                <w:sz w:val="20"/>
                <w:szCs w:val="20"/>
              </w:rPr>
            </w:pPr>
            <w:r w:rsidRPr="003A5E34">
              <w:rPr>
                <w:rFonts w:cstheme="minorHAnsi"/>
                <w:color w:val="672080" w:themeColor="text1"/>
                <w:sz w:val="20"/>
                <w:szCs w:val="20"/>
              </w:rPr>
              <w:t>Development Charging Zone</w:t>
            </w:r>
          </w:p>
        </w:tc>
      </w:tr>
      <w:tr w:rsidR="003B0D4E" w:rsidRPr="003B0D4E" w:rsidTr="005C25A7">
        <w:trPr>
          <w:jc w:val="center"/>
        </w:trPr>
        <w:tc>
          <w:tcPr>
            <w:tcW w:w="2836" w:type="dxa"/>
          </w:tcPr>
          <w:p w:rsidR="003B0D4E" w:rsidRPr="003B0D4E" w:rsidRDefault="003B0D4E" w:rsidP="003B0D4E">
            <w:pPr>
              <w:rPr>
                <w:rFonts w:cstheme="minorHAnsi"/>
                <w:sz w:val="20"/>
                <w:szCs w:val="20"/>
              </w:rPr>
            </w:pPr>
          </w:p>
        </w:tc>
        <w:tc>
          <w:tcPr>
            <w:tcW w:w="3287" w:type="dxa"/>
          </w:tcPr>
          <w:p w:rsidR="003B0D4E" w:rsidRPr="003B0D4E" w:rsidRDefault="003B0D4E" w:rsidP="003B0D4E">
            <w:pPr>
              <w:rPr>
                <w:rFonts w:cstheme="minorHAnsi"/>
                <w:b/>
                <w:sz w:val="20"/>
                <w:szCs w:val="20"/>
              </w:rPr>
            </w:pPr>
            <w:r w:rsidRPr="003B0D4E">
              <w:rPr>
                <w:rFonts w:cstheme="minorHAnsi"/>
                <w:b/>
                <w:sz w:val="20"/>
                <w:szCs w:val="20"/>
              </w:rPr>
              <w:t>1) Town Centres, St</w:t>
            </w:r>
            <w:r w:rsidR="005C25A7">
              <w:rPr>
                <w:rFonts w:cstheme="minorHAnsi"/>
                <w:b/>
                <w:sz w:val="20"/>
                <w:szCs w:val="20"/>
              </w:rPr>
              <w:t>.</w:t>
            </w:r>
            <w:r w:rsidRPr="003B0D4E">
              <w:rPr>
                <w:rFonts w:cstheme="minorHAnsi"/>
                <w:b/>
                <w:sz w:val="20"/>
                <w:szCs w:val="20"/>
              </w:rPr>
              <w:t xml:space="preserve"> Marychurch and Preston District Centres </w:t>
            </w:r>
          </w:p>
        </w:tc>
        <w:tc>
          <w:tcPr>
            <w:tcW w:w="3763" w:type="dxa"/>
          </w:tcPr>
          <w:p w:rsidR="003B0D4E" w:rsidRPr="003B0D4E" w:rsidRDefault="003B0D4E" w:rsidP="003B0D4E">
            <w:pPr>
              <w:rPr>
                <w:rFonts w:cstheme="minorHAnsi"/>
                <w:b/>
                <w:sz w:val="20"/>
                <w:szCs w:val="20"/>
              </w:rPr>
            </w:pPr>
            <w:r w:rsidRPr="003B0D4E">
              <w:rPr>
                <w:rFonts w:cstheme="minorHAnsi"/>
                <w:b/>
                <w:sz w:val="20"/>
                <w:szCs w:val="20"/>
              </w:rPr>
              <w:t>2) Everywhere else (including The Willows District Centre).</w:t>
            </w:r>
          </w:p>
          <w:p w:rsidR="003B0D4E" w:rsidRPr="003B0D4E" w:rsidRDefault="003B0D4E" w:rsidP="003B0D4E">
            <w:pPr>
              <w:rPr>
                <w:rFonts w:cstheme="minorHAnsi"/>
                <w:b/>
                <w:sz w:val="20"/>
                <w:szCs w:val="20"/>
              </w:rPr>
            </w:pPr>
          </w:p>
        </w:tc>
      </w:tr>
      <w:tr w:rsidR="003B0D4E" w:rsidRPr="003B0D4E" w:rsidTr="005C25A7">
        <w:trPr>
          <w:trHeight w:val="381"/>
          <w:jc w:val="center"/>
        </w:trPr>
        <w:tc>
          <w:tcPr>
            <w:tcW w:w="2836" w:type="dxa"/>
          </w:tcPr>
          <w:p w:rsidR="003B0D4E" w:rsidRPr="003B0D4E" w:rsidRDefault="003B0D4E" w:rsidP="003B0D4E">
            <w:pPr>
              <w:rPr>
                <w:rFonts w:cstheme="minorHAnsi"/>
                <w:sz w:val="20"/>
                <w:szCs w:val="20"/>
              </w:rPr>
            </w:pPr>
            <w:r w:rsidRPr="003B0D4E">
              <w:rPr>
                <w:rFonts w:cstheme="minorHAnsi"/>
                <w:sz w:val="20"/>
                <w:szCs w:val="20"/>
              </w:rPr>
              <w:t xml:space="preserve">Class A1 retail less than 300 sq m. </w:t>
            </w:r>
          </w:p>
        </w:tc>
        <w:tc>
          <w:tcPr>
            <w:tcW w:w="3287" w:type="dxa"/>
          </w:tcPr>
          <w:p w:rsidR="003B0D4E" w:rsidRPr="003B0D4E" w:rsidRDefault="00162B21" w:rsidP="003B0D4E">
            <w:pPr>
              <w:rPr>
                <w:rFonts w:cstheme="minorHAnsi"/>
                <w:sz w:val="20"/>
                <w:szCs w:val="20"/>
              </w:rPr>
            </w:pPr>
            <w:r>
              <w:rPr>
                <w:rFonts w:cstheme="minorHAnsi"/>
                <w:sz w:val="20"/>
                <w:szCs w:val="20"/>
              </w:rPr>
              <w:t>Zero</w:t>
            </w:r>
          </w:p>
        </w:tc>
        <w:tc>
          <w:tcPr>
            <w:tcW w:w="3763" w:type="dxa"/>
          </w:tcPr>
          <w:p w:rsidR="003B0D4E" w:rsidRPr="003B0D4E" w:rsidRDefault="00162B21" w:rsidP="003B0D4E">
            <w:pPr>
              <w:rPr>
                <w:rFonts w:cstheme="minorHAnsi"/>
                <w:sz w:val="20"/>
                <w:szCs w:val="20"/>
              </w:rPr>
            </w:pPr>
            <w:r>
              <w:rPr>
                <w:rFonts w:cstheme="minorHAnsi"/>
                <w:sz w:val="20"/>
                <w:szCs w:val="20"/>
              </w:rPr>
              <w:t>Zero</w:t>
            </w:r>
          </w:p>
        </w:tc>
      </w:tr>
      <w:tr w:rsidR="003B0D4E" w:rsidRPr="003B0D4E" w:rsidTr="005C25A7">
        <w:trPr>
          <w:trHeight w:val="604"/>
          <w:jc w:val="center"/>
        </w:trPr>
        <w:tc>
          <w:tcPr>
            <w:tcW w:w="2836" w:type="dxa"/>
          </w:tcPr>
          <w:p w:rsidR="003B0D4E" w:rsidRPr="003B0D4E" w:rsidRDefault="003B0D4E" w:rsidP="003B0D4E">
            <w:pPr>
              <w:rPr>
                <w:rFonts w:cstheme="minorHAnsi"/>
                <w:sz w:val="20"/>
                <w:szCs w:val="20"/>
              </w:rPr>
            </w:pPr>
            <w:r w:rsidRPr="003B0D4E">
              <w:rPr>
                <w:rFonts w:cstheme="minorHAnsi"/>
                <w:sz w:val="20"/>
                <w:szCs w:val="20"/>
              </w:rPr>
              <w:t xml:space="preserve">Class A1 retail over 300 sq m. (see Note 2).  </w:t>
            </w:r>
          </w:p>
        </w:tc>
        <w:tc>
          <w:tcPr>
            <w:tcW w:w="3287" w:type="dxa"/>
          </w:tcPr>
          <w:p w:rsidR="003B0D4E" w:rsidRPr="003B0D4E" w:rsidRDefault="00162B21" w:rsidP="003B0D4E">
            <w:pPr>
              <w:rPr>
                <w:rFonts w:cstheme="minorHAnsi"/>
                <w:sz w:val="20"/>
                <w:szCs w:val="20"/>
              </w:rPr>
            </w:pPr>
            <w:r>
              <w:rPr>
                <w:rFonts w:cstheme="minorHAnsi"/>
                <w:sz w:val="20"/>
                <w:szCs w:val="20"/>
              </w:rPr>
              <w:t>Zero</w:t>
            </w:r>
          </w:p>
        </w:tc>
        <w:tc>
          <w:tcPr>
            <w:tcW w:w="3763" w:type="dxa"/>
          </w:tcPr>
          <w:p w:rsidR="003B0D4E" w:rsidRPr="003B0D4E" w:rsidRDefault="003B0D4E" w:rsidP="003B0D4E">
            <w:pPr>
              <w:rPr>
                <w:rFonts w:cstheme="minorHAnsi"/>
                <w:sz w:val="20"/>
                <w:szCs w:val="20"/>
              </w:rPr>
            </w:pPr>
            <w:r w:rsidRPr="003B0D4E">
              <w:rPr>
                <w:rFonts w:cstheme="minorHAnsi"/>
                <w:sz w:val="20"/>
                <w:szCs w:val="20"/>
              </w:rPr>
              <w:t xml:space="preserve">£120 per sq m </w:t>
            </w:r>
          </w:p>
        </w:tc>
      </w:tr>
      <w:tr w:rsidR="003B0D4E" w:rsidRPr="003B0D4E" w:rsidTr="005C25A7">
        <w:trPr>
          <w:jc w:val="center"/>
        </w:trPr>
        <w:tc>
          <w:tcPr>
            <w:tcW w:w="2836" w:type="dxa"/>
          </w:tcPr>
          <w:p w:rsidR="003B0D4E" w:rsidRPr="003B0D4E" w:rsidRDefault="003B0D4E" w:rsidP="003B0D4E">
            <w:pPr>
              <w:rPr>
                <w:rFonts w:cstheme="minorHAnsi"/>
                <w:sz w:val="20"/>
                <w:szCs w:val="20"/>
              </w:rPr>
            </w:pPr>
            <w:r w:rsidRPr="003B0D4E">
              <w:rPr>
                <w:rFonts w:cstheme="minorHAnsi"/>
                <w:sz w:val="20"/>
                <w:szCs w:val="20"/>
              </w:rPr>
              <w:t>Food and drink (Class A3, A4, A5) (see note 3)</w:t>
            </w:r>
            <w:r w:rsidR="00D84CCB">
              <w:t xml:space="preserve"> </w:t>
            </w:r>
            <w:r w:rsidR="00D84CCB" w:rsidRPr="00D84CCB">
              <w:rPr>
                <w:rFonts w:cstheme="minorHAnsi"/>
                <w:sz w:val="20"/>
                <w:szCs w:val="20"/>
                <w:highlight w:val="yellow"/>
              </w:rPr>
              <w:t xml:space="preserve">over 300 </w:t>
            </w:r>
            <w:proofErr w:type="spellStart"/>
            <w:r w:rsidR="00D84CCB" w:rsidRPr="00D84CCB">
              <w:rPr>
                <w:rFonts w:cstheme="minorHAnsi"/>
                <w:sz w:val="20"/>
                <w:szCs w:val="20"/>
                <w:highlight w:val="yellow"/>
              </w:rPr>
              <w:t>sq</w:t>
            </w:r>
            <w:proofErr w:type="spellEnd"/>
            <w:r w:rsidR="00D84CCB" w:rsidRPr="00D84CCB">
              <w:rPr>
                <w:rFonts w:cstheme="minorHAnsi"/>
                <w:sz w:val="20"/>
                <w:szCs w:val="20"/>
                <w:highlight w:val="yellow"/>
              </w:rPr>
              <w:t xml:space="preserve"> m</w:t>
            </w:r>
            <w:r w:rsidRPr="00D84CCB">
              <w:rPr>
                <w:rFonts w:cstheme="minorHAnsi"/>
                <w:sz w:val="20"/>
                <w:szCs w:val="20"/>
                <w:highlight w:val="yellow"/>
              </w:rPr>
              <w:t>.</w:t>
            </w:r>
          </w:p>
        </w:tc>
        <w:tc>
          <w:tcPr>
            <w:tcW w:w="3287" w:type="dxa"/>
          </w:tcPr>
          <w:p w:rsidR="003B0D4E" w:rsidRPr="003B0D4E" w:rsidRDefault="00162B21" w:rsidP="003B0D4E">
            <w:pPr>
              <w:rPr>
                <w:rFonts w:cstheme="minorHAnsi"/>
                <w:sz w:val="20"/>
                <w:szCs w:val="20"/>
              </w:rPr>
            </w:pPr>
            <w:r>
              <w:rPr>
                <w:rFonts w:cstheme="minorHAnsi"/>
                <w:sz w:val="20"/>
                <w:szCs w:val="20"/>
              </w:rPr>
              <w:t>Zero</w:t>
            </w:r>
          </w:p>
        </w:tc>
        <w:tc>
          <w:tcPr>
            <w:tcW w:w="3763" w:type="dxa"/>
          </w:tcPr>
          <w:p w:rsidR="003B0D4E" w:rsidRPr="003B0D4E" w:rsidRDefault="003B0D4E" w:rsidP="003B0D4E">
            <w:pPr>
              <w:rPr>
                <w:rFonts w:cstheme="minorHAnsi"/>
                <w:sz w:val="20"/>
                <w:szCs w:val="20"/>
              </w:rPr>
            </w:pPr>
            <w:r w:rsidRPr="003B0D4E">
              <w:rPr>
                <w:rFonts w:cstheme="minorHAnsi"/>
                <w:sz w:val="20"/>
                <w:szCs w:val="20"/>
              </w:rPr>
              <w:t xml:space="preserve">£120 per sq m </w:t>
            </w:r>
          </w:p>
        </w:tc>
      </w:tr>
      <w:tr w:rsidR="00162B21" w:rsidRPr="003B0D4E" w:rsidTr="005C25A7">
        <w:trPr>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 xml:space="preserve">Class A2 Financial and Professional services. </w:t>
            </w:r>
          </w:p>
        </w:tc>
        <w:tc>
          <w:tcPr>
            <w:tcW w:w="3287" w:type="dxa"/>
          </w:tcPr>
          <w:p w:rsidR="00162B21" w:rsidRDefault="00162B21">
            <w:r w:rsidRPr="00BC1353">
              <w:rPr>
                <w:rFonts w:cstheme="minorHAnsi"/>
                <w:sz w:val="20"/>
                <w:szCs w:val="20"/>
              </w:rPr>
              <w:t>Zero</w:t>
            </w:r>
          </w:p>
        </w:tc>
        <w:tc>
          <w:tcPr>
            <w:tcW w:w="3763" w:type="dxa"/>
          </w:tcPr>
          <w:p w:rsidR="00162B21" w:rsidRDefault="00162B21">
            <w:r w:rsidRPr="00BC1353">
              <w:rPr>
                <w:rFonts w:cstheme="minorHAnsi"/>
                <w:sz w:val="20"/>
                <w:szCs w:val="20"/>
              </w:rPr>
              <w:t>Zero</w:t>
            </w:r>
          </w:p>
        </w:tc>
      </w:tr>
      <w:tr w:rsidR="00162B21" w:rsidRPr="003B0D4E" w:rsidTr="005C25A7">
        <w:trPr>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Class B employment uses</w:t>
            </w:r>
            <w:r>
              <w:rPr>
                <w:rFonts w:cstheme="minorHAnsi"/>
                <w:sz w:val="20"/>
                <w:szCs w:val="20"/>
              </w:rPr>
              <w:t>.</w:t>
            </w:r>
            <w:r w:rsidRPr="003B0D4E">
              <w:rPr>
                <w:rFonts w:cstheme="minorHAnsi"/>
                <w:sz w:val="20"/>
                <w:szCs w:val="20"/>
              </w:rPr>
              <w:t xml:space="preserve"> </w:t>
            </w:r>
          </w:p>
        </w:tc>
        <w:tc>
          <w:tcPr>
            <w:tcW w:w="3287" w:type="dxa"/>
          </w:tcPr>
          <w:p w:rsidR="00162B21" w:rsidRDefault="00162B21">
            <w:r w:rsidRPr="00E67349">
              <w:rPr>
                <w:rFonts w:cstheme="minorHAnsi"/>
                <w:sz w:val="20"/>
                <w:szCs w:val="20"/>
              </w:rPr>
              <w:t>Zero</w:t>
            </w:r>
          </w:p>
        </w:tc>
        <w:tc>
          <w:tcPr>
            <w:tcW w:w="3763" w:type="dxa"/>
          </w:tcPr>
          <w:p w:rsidR="00162B21" w:rsidRDefault="00162B21">
            <w:r w:rsidRPr="00E67349">
              <w:rPr>
                <w:rFonts w:cstheme="minorHAnsi"/>
                <w:sz w:val="20"/>
                <w:szCs w:val="20"/>
              </w:rPr>
              <w:t>Zero</w:t>
            </w:r>
          </w:p>
        </w:tc>
      </w:tr>
      <w:tr w:rsidR="00162B21" w:rsidRPr="003B0D4E" w:rsidTr="005C25A7">
        <w:trPr>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Class D1 Non-residential institutions</w:t>
            </w:r>
            <w:r w:rsidRPr="003B0D4E">
              <w:rPr>
                <w:rFonts w:cstheme="minorHAnsi"/>
                <w:sz w:val="20"/>
                <w:szCs w:val="20"/>
                <w:vertAlign w:val="superscript"/>
              </w:rPr>
              <w:t xml:space="preserve">. </w:t>
            </w:r>
            <w:r w:rsidRPr="003B0D4E">
              <w:rPr>
                <w:rFonts w:cstheme="minorHAnsi"/>
                <w:sz w:val="20"/>
                <w:szCs w:val="20"/>
              </w:rPr>
              <w:t>(</w:t>
            </w:r>
            <w:proofErr w:type="gramStart"/>
            <w:r w:rsidRPr="003B0D4E">
              <w:rPr>
                <w:rFonts w:cstheme="minorHAnsi"/>
                <w:sz w:val="20"/>
                <w:szCs w:val="20"/>
              </w:rPr>
              <w:t>see</w:t>
            </w:r>
            <w:proofErr w:type="gramEnd"/>
            <w:r w:rsidRPr="003B0D4E">
              <w:rPr>
                <w:rFonts w:cstheme="minorHAnsi"/>
                <w:sz w:val="20"/>
                <w:szCs w:val="20"/>
              </w:rPr>
              <w:t xml:space="preserve"> Note 3).</w:t>
            </w:r>
            <w:r w:rsidRPr="003B0D4E">
              <w:rPr>
                <w:rFonts w:cstheme="minorHAnsi"/>
                <w:sz w:val="20"/>
                <w:szCs w:val="20"/>
                <w:vertAlign w:val="superscript"/>
              </w:rPr>
              <w:t xml:space="preserve"> </w:t>
            </w:r>
          </w:p>
        </w:tc>
        <w:tc>
          <w:tcPr>
            <w:tcW w:w="3287" w:type="dxa"/>
          </w:tcPr>
          <w:p w:rsidR="00162B21" w:rsidRDefault="00162B21">
            <w:r w:rsidRPr="00027E32">
              <w:rPr>
                <w:rFonts w:cstheme="minorHAnsi"/>
                <w:sz w:val="20"/>
                <w:szCs w:val="20"/>
              </w:rPr>
              <w:t>Zero</w:t>
            </w:r>
          </w:p>
        </w:tc>
        <w:tc>
          <w:tcPr>
            <w:tcW w:w="3763" w:type="dxa"/>
          </w:tcPr>
          <w:p w:rsidR="00162B21" w:rsidRDefault="00162B21">
            <w:r w:rsidRPr="00027E32">
              <w:rPr>
                <w:rFonts w:cstheme="minorHAnsi"/>
                <w:sz w:val="20"/>
                <w:szCs w:val="20"/>
              </w:rPr>
              <w:t>Zero</w:t>
            </w:r>
          </w:p>
        </w:tc>
      </w:tr>
      <w:tr w:rsidR="00162B21" w:rsidRPr="003B0D4E" w:rsidTr="005C25A7">
        <w:trPr>
          <w:trHeight w:val="841"/>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Class D2 Assembly and leisure/non residential institutions (see Note 3).</w:t>
            </w:r>
          </w:p>
        </w:tc>
        <w:tc>
          <w:tcPr>
            <w:tcW w:w="3287" w:type="dxa"/>
          </w:tcPr>
          <w:p w:rsidR="00162B21" w:rsidRDefault="00162B21">
            <w:r w:rsidRPr="00027E32">
              <w:rPr>
                <w:rFonts w:cstheme="minorHAnsi"/>
                <w:sz w:val="20"/>
                <w:szCs w:val="20"/>
              </w:rPr>
              <w:t>Zero</w:t>
            </w:r>
          </w:p>
        </w:tc>
        <w:tc>
          <w:tcPr>
            <w:tcW w:w="3763" w:type="dxa"/>
          </w:tcPr>
          <w:p w:rsidR="00162B21" w:rsidRDefault="00162B21">
            <w:r w:rsidRPr="00027E32">
              <w:rPr>
                <w:rFonts w:cstheme="minorHAnsi"/>
                <w:sz w:val="20"/>
                <w:szCs w:val="20"/>
              </w:rPr>
              <w:t>Zero</w:t>
            </w:r>
          </w:p>
        </w:tc>
      </w:tr>
      <w:tr w:rsidR="00162B21" w:rsidRPr="003B0D4E" w:rsidTr="005C25A7">
        <w:trPr>
          <w:jc w:val="center"/>
        </w:trPr>
        <w:tc>
          <w:tcPr>
            <w:tcW w:w="2836" w:type="dxa"/>
          </w:tcPr>
          <w:p w:rsidR="00162B21" w:rsidRPr="003B0D4E" w:rsidRDefault="00162B21" w:rsidP="003B0D4E">
            <w:pPr>
              <w:rPr>
                <w:rFonts w:cstheme="minorHAnsi"/>
                <w:sz w:val="20"/>
                <w:szCs w:val="20"/>
              </w:rPr>
            </w:pPr>
            <w:r w:rsidRPr="003B0D4E">
              <w:rPr>
                <w:rFonts w:cstheme="minorHAnsi"/>
                <w:sz w:val="20"/>
                <w:szCs w:val="20"/>
              </w:rPr>
              <w:t>Class C1 Hotels</w:t>
            </w:r>
            <w:r>
              <w:rPr>
                <w:rFonts w:cstheme="minorHAnsi"/>
                <w:sz w:val="20"/>
                <w:szCs w:val="20"/>
              </w:rPr>
              <w:t xml:space="preserve"> and commercially rated holiday accommodation. (See note 4).</w:t>
            </w:r>
          </w:p>
        </w:tc>
        <w:tc>
          <w:tcPr>
            <w:tcW w:w="3287" w:type="dxa"/>
          </w:tcPr>
          <w:p w:rsidR="00162B21" w:rsidRDefault="00162B21">
            <w:r w:rsidRPr="00027E32">
              <w:rPr>
                <w:rFonts w:cstheme="minorHAnsi"/>
                <w:sz w:val="20"/>
                <w:szCs w:val="20"/>
              </w:rPr>
              <w:t>Zero</w:t>
            </w:r>
          </w:p>
        </w:tc>
        <w:tc>
          <w:tcPr>
            <w:tcW w:w="3763" w:type="dxa"/>
          </w:tcPr>
          <w:p w:rsidR="00162B21" w:rsidRDefault="00162B21">
            <w:r w:rsidRPr="00027E32">
              <w:rPr>
                <w:rFonts w:cstheme="minorHAnsi"/>
                <w:sz w:val="20"/>
                <w:szCs w:val="20"/>
              </w:rPr>
              <w:t>Zero</w:t>
            </w:r>
          </w:p>
        </w:tc>
      </w:tr>
      <w:tr w:rsidR="00162B21" w:rsidRPr="003B0D4E" w:rsidTr="005C25A7">
        <w:trPr>
          <w:jc w:val="center"/>
        </w:trPr>
        <w:tc>
          <w:tcPr>
            <w:tcW w:w="2836" w:type="dxa"/>
          </w:tcPr>
          <w:p w:rsidR="00162B21" w:rsidRPr="003B0D4E" w:rsidRDefault="00162B21" w:rsidP="00591EC1">
            <w:pPr>
              <w:rPr>
                <w:rFonts w:cstheme="minorHAnsi"/>
                <w:sz w:val="20"/>
                <w:szCs w:val="20"/>
              </w:rPr>
            </w:pPr>
            <w:r w:rsidRPr="003B0D4E">
              <w:rPr>
                <w:rFonts w:cstheme="minorHAnsi"/>
                <w:sz w:val="20"/>
                <w:szCs w:val="20"/>
              </w:rPr>
              <w:t xml:space="preserve">Class C2 and C2A Residential Institutions (see Note </w:t>
            </w:r>
            <w:r>
              <w:rPr>
                <w:rFonts w:cstheme="minorHAnsi"/>
                <w:sz w:val="20"/>
                <w:szCs w:val="20"/>
              </w:rPr>
              <w:t>5</w:t>
            </w:r>
            <w:r w:rsidRPr="003B0D4E">
              <w:rPr>
                <w:rFonts w:cstheme="minorHAnsi"/>
                <w:sz w:val="20"/>
                <w:szCs w:val="20"/>
              </w:rPr>
              <w:t xml:space="preserve">). </w:t>
            </w:r>
          </w:p>
        </w:tc>
        <w:tc>
          <w:tcPr>
            <w:tcW w:w="3287" w:type="dxa"/>
          </w:tcPr>
          <w:p w:rsidR="00162B21" w:rsidRDefault="00162B21">
            <w:r w:rsidRPr="00027E32">
              <w:rPr>
                <w:rFonts w:cstheme="minorHAnsi"/>
                <w:sz w:val="20"/>
                <w:szCs w:val="20"/>
              </w:rPr>
              <w:t>Zero</w:t>
            </w:r>
          </w:p>
        </w:tc>
        <w:tc>
          <w:tcPr>
            <w:tcW w:w="3763" w:type="dxa"/>
          </w:tcPr>
          <w:p w:rsidR="00162B21" w:rsidRDefault="00162B21">
            <w:r w:rsidRPr="00027E32">
              <w:rPr>
                <w:rFonts w:cstheme="minorHAnsi"/>
                <w:sz w:val="20"/>
                <w:szCs w:val="20"/>
              </w:rPr>
              <w:t>Zero</w:t>
            </w:r>
          </w:p>
        </w:tc>
      </w:tr>
      <w:tr w:rsidR="003B0D4E" w:rsidRPr="003B0D4E" w:rsidTr="005C25A7">
        <w:trPr>
          <w:jc w:val="center"/>
        </w:trPr>
        <w:tc>
          <w:tcPr>
            <w:tcW w:w="9886" w:type="dxa"/>
            <w:gridSpan w:val="3"/>
          </w:tcPr>
          <w:p w:rsidR="003B0D4E" w:rsidRPr="003B0D4E" w:rsidRDefault="003B0D4E" w:rsidP="003B0D4E">
            <w:pPr>
              <w:rPr>
                <w:rFonts w:cstheme="minorHAnsi"/>
                <w:b/>
                <w:sz w:val="20"/>
                <w:szCs w:val="20"/>
              </w:rPr>
            </w:pPr>
            <w:r w:rsidRPr="003B0D4E">
              <w:rPr>
                <w:rFonts w:cstheme="minorHAnsi"/>
                <w:b/>
                <w:sz w:val="20"/>
                <w:szCs w:val="20"/>
              </w:rPr>
              <w:lastRenderedPageBreak/>
              <w:t>Notes to Commercial and non-Residential Charging Zones</w:t>
            </w:r>
          </w:p>
        </w:tc>
      </w:tr>
      <w:tr w:rsidR="003B0D4E" w:rsidRPr="003B0D4E" w:rsidTr="005C25A7">
        <w:trPr>
          <w:jc w:val="center"/>
        </w:trPr>
        <w:tc>
          <w:tcPr>
            <w:tcW w:w="9886" w:type="dxa"/>
            <w:gridSpan w:val="3"/>
          </w:tcPr>
          <w:p w:rsidR="003B0D4E" w:rsidRPr="003B0D4E" w:rsidRDefault="003B0D4E" w:rsidP="003B0D4E">
            <w:pPr>
              <w:rPr>
                <w:rFonts w:cstheme="minorHAnsi"/>
                <w:sz w:val="20"/>
                <w:szCs w:val="20"/>
              </w:rPr>
            </w:pPr>
            <w:r w:rsidRPr="003B0D4E">
              <w:rPr>
                <w:rFonts w:cstheme="minorHAnsi"/>
                <w:b/>
                <w:sz w:val="20"/>
                <w:szCs w:val="20"/>
              </w:rPr>
              <w:t>Note 1:</w:t>
            </w:r>
            <w:r w:rsidRPr="003B0D4E">
              <w:rPr>
                <w:rFonts w:cstheme="minorHAnsi"/>
                <w:sz w:val="20"/>
                <w:szCs w:val="20"/>
              </w:rPr>
              <w:t xml:space="preserve"> Charitable institutions, e.g. churches are exempt from CIL, so long as the development is used primarily for charitable purposes. (See Regulations 43-44 of the CIL Regulations). </w:t>
            </w:r>
          </w:p>
        </w:tc>
      </w:tr>
      <w:tr w:rsidR="003B0D4E" w:rsidRPr="003B0D4E" w:rsidTr="005C25A7">
        <w:trPr>
          <w:jc w:val="center"/>
        </w:trPr>
        <w:tc>
          <w:tcPr>
            <w:tcW w:w="9886" w:type="dxa"/>
            <w:gridSpan w:val="3"/>
          </w:tcPr>
          <w:p w:rsidR="003B0D4E" w:rsidRPr="003B0D4E" w:rsidRDefault="003B0D4E" w:rsidP="00D84CCB">
            <w:pPr>
              <w:rPr>
                <w:rFonts w:cstheme="minorHAnsi"/>
                <w:b/>
                <w:sz w:val="20"/>
                <w:szCs w:val="20"/>
              </w:rPr>
            </w:pPr>
            <w:r w:rsidRPr="003B0D4E">
              <w:rPr>
                <w:rFonts w:cstheme="minorHAnsi"/>
                <w:b/>
                <w:sz w:val="20"/>
                <w:szCs w:val="20"/>
              </w:rPr>
              <w:t xml:space="preserve">Note 2: </w:t>
            </w:r>
            <w:r w:rsidRPr="003B0D4E">
              <w:rPr>
                <w:rFonts w:cstheme="minorHAnsi"/>
                <w:sz w:val="20"/>
                <w:szCs w:val="20"/>
              </w:rPr>
              <w:t>Applies to all A1 retail uses including</w:t>
            </w:r>
            <w:r w:rsidRPr="003B0D4E">
              <w:rPr>
                <w:rFonts w:cstheme="minorHAnsi"/>
                <w:b/>
                <w:sz w:val="20"/>
                <w:szCs w:val="20"/>
              </w:rPr>
              <w:t xml:space="preserve"> </w:t>
            </w:r>
            <w:r w:rsidRPr="003B0D4E">
              <w:rPr>
                <w:rFonts w:cstheme="minorHAnsi"/>
                <w:sz w:val="20"/>
                <w:szCs w:val="20"/>
              </w:rPr>
              <w:t>bulky retail and sui generis retail uses.</w:t>
            </w:r>
            <w:r w:rsidR="00D84CCB">
              <w:rPr>
                <w:rFonts w:cstheme="minorHAnsi"/>
                <w:sz w:val="20"/>
                <w:szCs w:val="20"/>
              </w:rPr>
              <w:t xml:space="preserve"> </w:t>
            </w:r>
            <w:r w:rsidR="00D84CCB" w:rsidRPr="00D84CCB">
              <w:rPr>
                <w:rFonts w:cstheme="minorHAnsi"/>
                <w:sz w:val="20"/>
                <w:szCs w:val="20"/>
                <w:highlight w:val="yellow"/>
              </w:rPr>
              <w:t>Where development results in more than 300 sq</w:t>
            </w:r>
            <w:r w:rsidR="00657CBC">
              <w:rPr>
                <w:rFonts w:cstheme="minorHAnsi"/>
                <w:sz w:val="20"/>
                <w:szCs w:val="20"/>
                <w:highlight w:val="yellow"/>
              </w:rPr>
              <w:t>.</w:t>
            </w:r>
            <w:r w:rsidR="00D84CCB" w:rsidRPr="00D84CCB">
              <w:rPr>
                <w:rFonts w:cstheme="minorHAnsi"/>
                <w:sz w:val="20"/>
                <w:szCs w:val="20"/>
                <w:highlight w:val="yellow"/>
              </w:rPr>
              <w:t xml:space="preserve"> m of floorspace, CIL is levied on all additional floorspace (not just floorspace above 300 sq</w:t>
            </w:r>
            <w:r w:rsidR="00657CBC">
              <w:rPr>
                <w:rFonts w:cstheme="minorHAnsi"/>
                <w:sz w:val="20"/>
                <w:szCs w:val="20"/>
                <w:highlight w:val="yellow"/>
              </w:rPr>
              <w:t>.</w:t>
            </w:r>
            <w:r w:rsidR="00D84CCB" w:rsidRPr="00D84CCB">
              <w:rPr>
                <w:rFonts w:cstheme="minorHAnsi"/>
                <w:sz w:val="20"/>
                <w:szCs w:val="20"/>
                <w:highlight w:val="yellow"/>
              </w:rPr>
              <w:t xml:space="preserve"> m</w:t>
            </w:r>
            <w:r w:rsidR="00657CBC">
              <w:rPr>
                <w:rFonts w:cstheme="minorHAnsi"/>
                <w:sz w:val="20"/>
                <w:szCs w:val="20"/>
                <w:highlight w:val="yellow"/>
              </w:rPr>
              <w:t>.</w:t>
            </w:r>
            <w:r w:rsidR="00D84CCB" w:rsidRPr="00D84CCB">
              <w:rPr>
                <w:rFonts w:cstheme="minorHAnsi"/>
                <w:sz w:val="20"/>
                <w:szCs w:val="20"/>
                <w:highlight w:val="yellow"/>
              </w:rPr>
              <w:t>).</w:t>
            </w:r>
            <w:r w:rsidR="00D84CCB">
              <w:rPr>
                <w:rFonts w:cstheme="minorHAnsi"/>
                <w:sz w:val="20"/>
                <w:szCs w:val="20"/>
              </w:rPr>
              <w:t xml:space="preserve"> </w:t>
            </w:r>
          </w:p>
        </w:tc>
      </w:tr>
      <w:tr w:rsidR="003B0D4E" w:rsidRPr="003B0D4E" w:rsidTr="005C25A7">
        <w:trPr>
          <w:jc w:val="center"/>
        </w:trPr>
        <w:tc>
          <w:tcPr>
            <w:tcW w:w="9886" w:type="dxa"/>
            <w:gridSpan w:val="3"/>
          </w:tcPr>
          <w:p w:rsidR="003B0D4E" w:rsidRPr="003B0D4E" w:rsidRDefault="003B0D4E" w:rsidP="003B0D4E">
            <w:pPr>
              <w:rPr>
                <w:rFonts w:cstheme="minorHAnsi"/>
                <w:sz w:val="20"/>
                <w:szCs w:val="20"/>
              </w:rPr>
            </w:pPr>
            <w:r w:rsidRPr="003B0D4E">
              <w:rPr>
                <w:rFonts w:cstheme="minorHAnsi"/>
                <w:b/>
                <w:sz w:val="20"/>
                <w:szCs w:val="20"/>
              </w:rPr>
              <w:t xml:space="preserve">Note 3: </w:t>
            </w:r>
            <w:r w:rsidRPr="003B0D4E">
              <w:rPr>
                <w:rFonts w:cstheme="minorHAnsi"/>
                <w:sz w:val="20"/>
                <w:szCs w:val="20"/>
              </w:rPr>
              <w:t xml:space="preserve"> s106 contributions may be sought where a development has an effect on non-CIL chargeable matters, such as the night time economy; or where site specific mitigation measures are required such as for access.</w:t>
            </w:r>
          </w:p>
        </w:tc>
      </w:tr>
      <w:tr w:rsidR="00591EC1" w:rsidRPr="003B0D4E" w:rsidTr="005C25A7">
        <w:trPr>
          <w:jc w:val="center"/>
        </w:trPr>
        <w:tc>
          <w:tcPr>
            <w:tcW w:w="9886" w:type="dxa"/>
            <w:gridSpan w:val="3"/>
          </w:tcPr>
          <w:p w:rsidR="00591EC1" w:rsidRPr="00591EC1" w:rsidRDefault="00591EC1" w:rsidP="00AC3F4C">
            <w:pPr>
              <w:rPr>
                <w:rFonts w:cstheme="minorHAnsi"/>
                <w:sz w:val="20"/>
                <w:szCs w:val="20"/>
              </w:rPr>
            </w:pPr>
            <w:r w:rsidRPr="00591EC1">
              <w:rPr>
                <w:rFonts w:cstheme="minorHAnsi"/>
                <w:b/>
                <w:sz w:val="20"/>
                <w:szCs w:val="20"/>
              </w:rPr>
              <w:t>Note 4.</w:t>
            </w:r>
            <w:r>
              <w:rPr>
                <w:rFonts w:cstheme="minorHAnsi"/>
                <w:sz w:val="20"/>
                <w:szCs w:val="20"/>
              </w:rPr>
              <w:t xml:space="preserve"> </w:t>
            </w:r>
            <w:r w:rsidRPr="00591EC1">
              <w:rPr>
                <w:rFonts w:cstheme="minorHAnsi"/>
                <w:sz w:val="20"/>
                <w:szCs w:val="20"/>
              </w:rPr>
              <w:t xml:space="preserve">Holiday accommodation (chalets, apartments etc) will be zero rated for CIL so long as they are subject to a </w:t>
            </w:r>
            <w:r w:rsidR="00727E0F">
              <w:rPr>
                <w:rFonts w:cstheme="minorHAnsi"/>
                <w:sz w:val="20"/>
                <w:szCs w:val="20"/>
              </w:rPr>
              <w:t xml:space="preserve">condition and </w:t>
            </w:r>
            <w:r w:rsidRPr="00591EC1">
              <w:rPr>
                <w:rFonts w:cstheme="minorHAnsi"/>
                <w:sz w:val="20"/>
                <w:szCs w:val="20"/>
              </w:rPr>
              <w:t xml:space="preserve">planning obligation restricting their occupation for tourism purposes, and </w:t>
            </w:r>
            <w:r>
              <w:rPr>
                <w:rFonts w:cstheme="minorHAnsi"/>
                <w:sz w:val="20"/>
                <w:szCs w:val="20"/>
              </w:rPr>
              <w:t xml:space="preserve">are rated for business rates.  If permission is subsequently sought for </w:t>
            </w:r>
            <w:r w:rsidR="00E53725">
              <w:rPr>
                <w:rFonts w:cstheme="minorHAnsi"/>
                <w:sz w:val="20"/>
                <w:szCs w:val="20"/>
              </w:rPr>
              <w:t xml:space="preserve">either a change of use or release of condition in order to permit permanent </w:t>
            </w:r>
            <w:r>
              <w:rPr>
                <w:rFonts w:cstheme="minorHAnsi"/>
                <w:sz w:val="20"/>
                <w:szCs w:val="20"/>
              </w:rPr>
              <w:t xml:space="preserve">residential accommodation, the Council will seek contributions towards the additional infrastructure </w:t>
            </w:r>
            <w:r w:rsidR="00AC3F4C">
              <w:rPr>
                <w:rFonts w:cstheme="minorHAnsi"/>
                <w:sz w:val="20"/>
                <w:szCs w:val="20"/>
              </w:rPr>
              <w:t xml:space="preserve">impact of </w:t>
            </w:r>
            <w:r w:rsidR="00E53725">
              <w:rPr>
                <w:rFonts w:cstheme="minorHAnsi"/>
                <w:sz w:val="20"/>
                <w:szCs w:val="20"/>
              </w:rPr>
              <w:t xml:space="preserve">permanent </w:t>
            </w:r>
            <w:r w:rsidR="00AC3F4C">
              <w:rPr>
                <w:rFonts w:cstheme="minorHAnsi"/>
                <w:sz w:val="20"/>
                <w:szCs w:val="20"/>
              </w:rPr>
              <w:t>residential use.</w:t>
            </w:r>
          </w:p>
        </w:tc>
      </w:tr>
      <w:tr w:rsidR="003B0D4E" w:rsidRPr="003B0D4E" w:rsidTr="005C25A7">
        <w:trPr>
          <w:jc w:val="center"/>
        </w:trPr>
        <w:tc>
          <w:tcPr>
            <w:tcW w:w="9886" w:type="dxa"/>
            <w:gridSpan w:val="3"/>
          </w:tcPr>
          <w:p w:rsidR="003B0D4E" w:rsidRPr="003B0D4E" w:rsidRDefault="003B0D4E" w:rsidP="003B0D4E">
            <w:pPr>
              <w:rPr>
                <w:rFonts w:cstheme="minorHAnsi"/>
                <w:sz w:val="20"/>
                <w:szCs w:val="20"/>
              </w:rPr>
            </w:pPr>
            <w:r w:rsidRPr="003B0D4E">
              <w:rPr>
                <w:rFonts w:cstheme="minorHAnsi"/>
                <w:b/>
                <w:sz w:val="20"/>
                <w:szCs w:val="20"/>
              </w:rPr>
              <w:t xml:space="preserve">Note </w:t>
            </w:r>
            <w:r w:rsidR="00591EC1">
              <w:rPr>
                <w:rFonts w:cstheme="minorHAnsi"/>
                <w:b/>
                <w:sz w:val="20"/>
                <w:szCs w:val="20"/>
              </w:rPr>
              <w:t>5</w:t>
            </w:r>
            <w:r w:rsidRPr="003B0D4E">
              <w:rPr>
                <w:rFonts w:cstheme="minorHAnsi"/>
                <w:b/>
                <w:sz w:val="20"/>
                <w:szCs w:val="20"/>
              </w:rPr>
              <w:t>:</w:t>
            </w:r>
            <w:r w:rsidRPr="003B0D4E">
              <w:rPr>
                <w:rFonts w:cstheme="minorHAnsi"/>
                <w:sz w:val="20"/>
                <w:szCs w:val="20"/>
              </w:rPr>
              <w:t xml:space="preserve"> Care Homes are taken to be non-self contained accommodation for persons who, by reason or age or infirmity, are in need of care. </w:t>
            </w:r>
          </w:p>
          <w:p w:rsidR="003B0D4E" w:rsidRPr="003B0D4E" w:rsidRDefault="003B0D4E" w:rsidP="003B0D4E">
            <w:pPr>
              <w:rPr>
                <w:rFonts w:cstheme="minorHAnsi"/>
                <w:sz w:val="20"/>
                <w:szCs w:val="20"/>
              </w:rPr>
            </w:pPr>
            <w:r w:rsidRPr="003B0D4E">
              <w:rPr>
                <w:rFonts w:cstheme="minorHAnsi"/>
                <w:sz w:val="20"/>
                <w:szCs w:val="20"/>
              </w:rPr>
              <w:t>Sheltered or retirement dwellings which are not extra care units as per the above definition, will be considered to be residential units that are liable to CIL.</w:t>
            </w:r>
          </w:p>
        </w:tc>
      </w:tr>
    </w:tbl>
    <w:p w:rsidR="00800074" w:rsidRDefault="00800074" w:rsidP="007D3527"/>
    <w:p w:rsidR="00DC62E0" w:rsidRDefault="00DC62E0" w:rsidP="00DC62E0">
      <w:pPr>
        <w:pStyle w:val="Heading2"/>
        <w:rPr>
          <w:rFonts w:ascii="Arial" w:hAnsi="Arial" w:cs="Arial"/>
          <w:lang w:val="en-GB"/>
        </w:rPr>
      </w:pPr>
      <w:bookmarkStart w:id="18" w:name="_Toc475640635"/>
      <w:bookmarkStart w:id="19" w:name="_Toc476318793"/>
      <w:bookmarkStart w:id="20" w:name="_Toc483911485"/>
      <w:r>
        <w:rPr>
          <w:rFonts w:ascii="Arial" w:hAnsi="Arial" w:cs="Arial"/>
          <w:lang w:val="en-GB"/>
        </w:rPr>
        <w:t>Charging Zone Maps</w:t>
      </w:r>
      <w:bookmarkEnd w:id="18"/>
      <w:bookmarkEnd w:id="19"/>
      <w:bookmarkEnd w:id="20"/>
    </w:p>
    <w:p w:rsidR="004D722B" w:rsidRPr="004D722B" w:rsidRDefault="004D722B" w:rsidP="004D722B">
      <w:pPr>
        <w:rPr>
          <w:color w:val="7030A0"/>
          <w:lang w:val="en-GB"/>
        </w:rPr>
      </w:pPr>
      <w:r w:rsidRPr="004D722B">
        <w:rPr>
          <w:color w:val="7030A0"/>
          <w:lang w:val="en-GB"/>
        </w:rPr>
        <w:t>2.3.1.</w:t>
      </w:r>
      <w:r>
        <w:rPr>
          <w:color w:val="7030A0"/>
          <w:lang w:val="en-GB"/>
        </w:rPr>
        <w:tab/>
      </w:r>
      <w:r w:rsidRPr="004D722B">
        <w:rPr>
          <w:lang w:val="en-GB"/>
        </w:rPr>
        <w:t>Charging Zone maps are set out in Appendix 1.These are:</w:t>
      </w:r>
      <w:r>
        <w:rPr>
          <w:color w:val="7030A0"/>
          <w:lang w:val="en-GB"/>
        </w:rPr>
        <w:t xml:space="preserve"> </w:t>
      </w:r>
    </w:p>
    <w:p w:rsidR="003B0D4E" w:rsidRDefault="003B0D4E" w:rsidP="004D722B">
      <w:pPr>
        <w:pStyle w:val="ListParagraph"/>
        <w:numPr>
          <w:ilvl w:val="0"/>
          <w:numId w:val="25"/>
        </w:numPr>
        <w:rPr>
          <w:b/>
          <w:color w:val="672080" w:themeColor="text1"/>
        </w:rPr>
      </w:pPr>
      <w:r w:rsidRPr="004D722B">
        <w:rPr>
          <w:b/>
          <w:color w:val="672080" w:themeColor="text1"/>
        </w:rPr>
        <w:t xml:space="preserve">Residential Charging Zones Summary Map </w:t>
      </w:r>
    </w:p>
    <w:p w:rsidR="004D722B" w:rsidRPr="004D722B" w:rsidRDefault="004D722B" w:rsidP="004D722B">
      <w:pPr>
        <w:pStyle w:val="ListParagraph"/>
        <w:rPr>
          <w:b/>
          <w:color w:val="672080" w:themeColor="text1"/>
        </w:rPr>
      </w:pPr>
    </w:p>
    <w:p w:rsidR="003B0D4E" w:rsidRDefault="003B0D4E" w:rsidP="004D722B">
      <w:pPr>
        <w:pStyle w:val="ListParagraph"/>
        <w:numPr>
          <w:ilvl w:val="0"/>
          <w:numId w:val="25"/>
        </w:numPr>
      </w:pPr>
      <w:r w:rsidRPr="004D722B">
        <w:rPr>
          <w:b/>
          <w:color w:val="672080" w:themeColor="text1"/>
        </w:rPr>
        <w:t>Residential Charging Zones Maps 1-39</w:t>
      </w:r>
      <w:r w:rsidRPr="004D722B">
        <w:rPr>
          <w:b/>
        </w:rPr>
        <w:t xml:space="preserve"> </w:t>
      </w:r>
      <w:r w:rsidRPr="00462CED">
        <w:t>showing Charging Zones 1-</w:t>
      </w:r>
      <w:r>
        <w:t>3</w:t>
      </w:r>
      <w:r w:rsidRPr="00462CED">
        <w:t>.  Note that the map boundaries/page numbers correspond to the Adopted Local Plan 2012-30.  The maps are designed primarily to be viewed on a screen and may be zoomed into (separate</w:t>
      </w:r>
      <w:r>
        <w:t xml:space="preserve"> document). </w:t>
      </w:r>
    </w:p>
    <w:p w:rsidR="004D722B" w:rsidRPr="003B0D4E" w:rsidRDefault="004D722B" w:rsidP="004D722B">
      <w:pPr>
        <w:pStyle w:val="ListParagraph"/>
      </w:pPr>
    </w:p>
    <w:p w:rsidR="003B0D4E" w:rsidRPr="004D722B" w:rsidRDefault="003B0D4E" w:rsidP="004D722B">
      <w:pPr>
        <w:pStyle w:val="ListParagraph"/>
        <w:numPr>
          <w:ilvl w:val="0"/>
          <w:numId w:val="25"/>
        </w:numPr>
        <w:rPr>
          <w:b/>
          <w:color w:val="672080" w:themeColor="text1"/>
        </w:rPr>
      </w:pPr>
      <w:r w:rsidRPr="004D722B">
        <w:rPr>
          <w:b/>
          <w:color w:val="672080" w:themeColor="text1"/>
        </w:rPr>
        <w:t>Map 2 Commercial Development Charging Zones:</w:t>
      </w:r>
    </w:p>
    <w:p w:rsidR="003B0D4E" w:rsidRPr="00C35F1F" w:rsidRDefault="004D722B" w:rsidP="003B0D4E">
      <w:pPr>
        <w:ind w:firstLine="720"/>
      </w:pPr>
      <w:r>
        <w:rPr>
          <w:b/>
          <w:color w:val="672080" w:themeColor="text1"/>
        </w:rPr>
        <w:tab/>
      </w:r>
      <w:r w:rsidR="003B0D4E" w:rsidRPr="003A5E34">
        <w:rPr>
          <w:b/>
          <w:color w:val="672080" w:themeColor="text1"/>
        </w:rPr>
        <w:t>Zone C1</w:t>
      </w:r>
      <w:r w:rsidR="003B0D4E" w:rsidRPr="00C35F1F">
        <w:t xml:space="preserve"> Town Centres, St</w:t>
      </w:r>
      <w:r w:rsidR="00DC62E0">
        <w:t>.</w:t>
      </w:r>
      <w:r w:rsidR="003B0D4E" w:rsidRPr="00C35F1F">
        <w:t xml:space="preserve"> Marychurch and Preston District Centres. </w:t>
      </w:r>
    </w:p>
    <w:p w:rsidR="004D722B" w:rsidRDefault="004D722B" w:rsidP="00905FB7">
      <w:pPr>
        <w:ind w:firstLine="720"/>
      </w:pPr>
      <w:r>
        <w:rPr>
          <w:b/>
          <w:color w:val="672080" w:themeColor="text1"/>
        </w:rPr>
        <w:tab/>
      </w:r>
      <w:r w:rsidR="003B0D4E" w:rsidRPr="003A5E34">
        <w:rPr>
          <w:b/>
          <w:color w:val="672080" w:themeColor="text1"/>
        </w:rPr>
        <w:t>Zone C2</w:t>
      </w:r>
      <w:r w:rsidR="003B0D4E">
        <w:t xml:space="preserve"> O</w:t>
      </w:r>
      <w:r w:rsidR="003B0D4E" w:rsidRPr="00C35F1F">
        <w:t>ut-of-town centre and The Willows District Centre</w:t>
      </w:r>
      <w:r w:rsidR="003B0D4E" w:rsidRPr="00EB2A61">
        <w:t>.</w:t>
      </w:r>
    </w:p>
    <w:p w:rsidR="00C927E0" w:rsidRDefault="00C927E0">
      <w:r>
        <w:br w:type="page"/>
      </w:r>
    </w:p>
    <w:p w:rsidR="00C927E0" w:rsidRDefault="00C927E0" w:rsidP="00C927E0">
      <w:r>
        <w:rPr>
          <w:noProof/>
          <w:lang w:val="en-GB" w:eastAsia="en-GB" w:bidi="ar-SA"/>
        </w:rPr>
        <w:lastRenderedPageBreak/>
        <w:drawing>
          <wp:inline distT="0" distB="0" distL="0" distR="0">
            <wp:extent cx="6400800" cy="93335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400800" cy="9333570"/>
                    </a:xfrm>
                    <a:prstGeom prst="rect">
                      <a:avLst/>
                    </a:prstGeom>
                    <a:noFill/>
                    <a:ln w="9525">
                      <a:noFill/>
                      <a:miter lim="800000"/>
                      <a:headEnd/>
                      <a:tailEnd/>
                    </a:ln>
                  </pic:spPr>
                </pic:pic>
              </a:graphicData>
            </a:graphic>
          </wp:inline>
        </w:drawing>
      </w:r>
    </w:p>
    <w:p w:rsidR="00C927E0" w:rsidRDefault="00C927E0" w:rsidP="00C927E0">
      <w:r>
        <w:rPr>
          <w:noProof/>
          <w:lang w:val="en-GB" w:eastAsia="en-GB" w:bidi="ar-SA"/>
        </w:rPr>
        <w:lastRenderedPageBreak/>
        <w:drawing>
          <wp:inline distT="0" distB="0" distL="0" distR="0">
            <wp:extent cx="6400800" cy="931126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400800" cy="9311268"/>
                    </a:xfrm>
                    <a:prstGeom prst="rect">
                      <a:avLst/>
                    </a:prstGeom>
                    <a:noFill/>
                    <a:ln w="9525">
                      <a:noFill/>
                      <a:miter lim="800000"/>
                      <a:headEnd/>
                      <a:tailEnd/>
                    </a:ln>
                  </pic:spPr>
                </pic:pic>
              </a:graphicData>
            </a:graphic>
          </wp:inline>
        </w:drawing>
      </w:r>
    </w:p>
    <w:sectPr w:rsidR="00C927E0" w:rsidSect="007A0999">
      <w:footerReference w:type="even" r:id="rId21"/>
      <w:footerReference w:type="default" r:id="rId22"/>
      <w:headerReference w:type="first" r:id="rId23"/>
      <w:endnotePr>
        <w:numFmt w:val="decimal"/>
      </w:endnotePr>
      <w:pgSz w:w="11906" w:h="16838" w:code="9"/>
      <w:pgMar w:top="851" w:right="851" w:bottom="1418" w:left="85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FB7" w:rsidRDefault="00905FB7" w:rsidP="0038010E">
      <w:pPr>
        <w:spacing w:after="0" w:line="240" w:lineRule="auto"/>
      </w:pPr>
      <w:r>
        <w:separator/>
      </w:r>
    </w:p>
  </w:endnote>
  <w:endnote w:type="continuationSeparator" w:id="0">
    <w:p w:rsidR="00905FB7" w:rsidRDefault="00905FB7" w:rsidP="0038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d B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929"/>
    </w:tblGrid>
    <w:tr w:rsidR="00905FB7" w:rsidRPr="0049492D" w:rsidTr="0049492D">
      <w:trPr>
        <w:trHeight w:val="567"/>
      </w:trPr>
      <w:tc>
        <w:tcPr>
          <w:tcW w:w="2978" w:type="dxa"/>
          <w:shd w:val="clear" w:color="auto" w:fill="672080" w:themeFill="text1"/>
          <w:vAlign w:val="center"/>
        </w:tcPr>
        <w:p w:rsidR="00905FB7" w:rsidRPr="0049492D" w:rsidRDefault="00905FB7" w:rsidP="0049492D">
          <w:pPr>
            <w:pStyle w:val="Footer"/>
            <w:ind w:left="851"/>
            <w:rPr>
              <w:b/>
              <w:color w:val="FFFFFF" w:themeColor="background1"/>
              <w:sz w:val="20"/>
            </w:rPr>
          </w:pPr>
          <w:r w:rsidRPr="0049492D">
            <w:rPr>
              <w:b/>
              <w:color w:val="FFFFFF" w:themeColor="background1"/>
              <w:sz w:val="20"/>
            </w:rPr>
            <w:t>PAGE</w:t>
          </w:r>
          <w:r>
            <w:rPr>
              <w:b/>
              <w:color w:val="FFFFFF" w:themeColor="background1"/>
              <w:sz w:val="20"/>
            </w:rPr>
            <w:t xml:space="preserve"> </w:t>
          </w:r>
          <w:r w:rsidR="00761FD2" w:rsidRPr="0049492D">
            <w:rPr>
              <w:b/>
              <w:color w:val="FFFFFF" w:themeColor="background1"/>
              <w:sz w:val="20"/>
            </w:rPr>
            <w:fldChar w:fldCharType="begin"/>
          </w:r>
          <w:r w:rsidRPr="0049492D">
            <w:rPr>
              <w:b/>
              <w:color w:val="FFFFFF" w:themeColor="background1"/>
              <w:sz w:val="20"/>
            </w:rPr>
            <w:instrText xml:space="preserve"> PAGE   \* MERGEFORMAT </w:instrText>
          </w:r>
          <w:r w:rsidR="00761FD2" w:rsidRPr="0049492D">
            <w:rPr>
              <w:b/>
              <w:color w:val="FFFFFF" w:themeColor="background1"/>
              <w:sz w:val="20"/>
            </w:rPr>
            <w:fldChar w:fldCharType="separate"/>
          </w:r>
          <w:r w:rsidR="00657CBC">
            <w:rPr>
              <w:b/>
              <w:noProof/>
              <w:color w:val="FFFFFF" w:themeColor="background1"/>
              <w:sz w:val="20"/>
            </w:rPr>
            <w:t>14</w:t>
          </w:r>
          <w:r w:rsidR="00761FD2" w:rsidRPr="0049492D">
            <w:rPr>
              <w:b/>
              <w:color w:val="FFFFFF" w:themeColor="background1"/>
              <w:sz w:val="20"/>
            </w:rPr>
            <w:fldChar w:fldCharType="end"/>
          </w:r>
        </w:p>
      </w:tc>
      <w:tc>
        <w:tcPr>
          <w:tcW w:w="8929" w:type="dxa"/>
          <w:shd w:val="clear" w:color="auto" w:fill="DCD0E8"/>
          <w:vAlign w:val="center"/>
        </w:tcPr>
        <w:p w:rsidR="00905FB7" w:rsidRPr="0049492D" w:rsidRDefault="00905FB7" w:rsidP="003F2F13">
          <w:pPr>
            <w:pStyle w:val="Footer"/>
            <w:ind w:right="851"/>
            <w:jc w:val="right"/>
            <w:rPr>
              <w:color w:val="672080" w:themeColor="text1"/>
              <w:sz w:val="20"/>
            </w:rPr>
          </w:pPr>
          <w:r>
            <w:rPr>
              <w:color w:val="672080" w:themeColor="text1"/>
              <w:sz w:val="20"/>
            </w:rPr>
            <w:t>CIL Charging Schedule (May 2017)</w:t>
          </w:r>
        </w:p>
      </w:tc>
    </w:tr>
  </w:tbl>
  <w:p w:rsidR="00905FB7" w:rsidRPr="0049492D" w:rsidRDefault="00905FB7" w:rsidP="0049492D">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2976"/>
    </w:tblGrid>
    <w:tr w:rsidR="00905FB7" w:rsidRPr="0049492D" w:rsidTr="007A0999">
      <w:trPr>
        <w:trHeight w:val="567"/>
      </w:trPr>
      <w:tc>
        <w:tcPr>
          <w:tcW w:w="8931" w:type="dxa"/>
          <w:shd w:val="clear" w:color="auto" w:fill="DCD0E8"/>
          <w:vAlign w:val="center"/>
        </w:tcPr>
        <w:p w:rsidR="00905FB7" w:rsidRPr="0049492D" w:rsidRDefault="00905FB7" w:rsidP="008D0A78">
          <w:pPr>
            <w:pStyle w:val="Footer"/>
            <w:ind w:left="851"/>
            <w:rPr>
              <w:b/>
              <w:color w:val="FFFFFF" w:themeColor="background1"/>
              <w:sz w:val="20"/>
            </w:rPr>
          </w:pPr>
          <w:r>
            <w:rPr>
              <w:color w:val="672080" w:themeColor="text1"/>
              <w:sz w:val="20"/>
            </w:rPr>
            <w:t>CIL Charging Schedule (May 2017)</w:t>
          </w:r>
        </w:p>
      </w:tc>
      <w:tc>
        <w:tcPr>
          <w:tcW w:w="2976" w:type="dxa"/>
          <w:shd w:val="clear" w:color="auto" w:fill="672080" w:themeFill="text1"/>
          <w:vAlign w:val="center"/>
        </w:tcPr>
        <w:p w:rsidR="00905FB7" w:rsidRPr="0049492D" w:rsidRDefault="00905FB7" w:rsidP="006360E9">
          <w:pPr>
            <w:pStyle w:val="Footer"/>
            <w:ind w:right="851"/>
            <w:jc w:val="right"/>
            <w:rPr>
              <w:color w:val="672080" w:themeColor="text1"/>
              <w:sz w:val="20"/>
            </w:rPr>
          </w:pPr>
          <w:r w:rsidRPr="0049492D">
            <w:rPr>
              <w:b/>
              <w:color w:val="FFFFFF" w:themeColor="background1"/>
              <w:sz w:val="20"/>
            </w:rPr>
            <w:t>PAGE</w:t>
          </w:r>
          <w:r>
            <w:rPr>
              <w:b/>
              <w:color w:val="FFFFFF" w:themeColor="background1"/>
              <w:sz w:val="20"/>
            </w:rPr>
            <w:t xml:space="preserve"> </w:t>
          </w:r>
          <w:r w:rsidR="00761FD2" w:rsidRPr="0049492D">
            <w:rPr>
              <w:b/>
              <w:color w:val="FFFFFF" w:themeColor="background1"/>
              <w:sz w:val="20"/>
            </w:rPr>
            <w:fldChar w:fldCharType="begin"/>
          </w:r>
          <w:r w:rsidRPr="0049492D">
            <w:rPr>
              <w:b/>
              <w:color w:val="FFFFFF" w:themeColor="background1"/>
              <w:sz w:val="20"/>
            </w:rPr>
            <w:instrText xml:space="preserve"> PAGE   \* MERGEFORMAT </w:instrText>
          </w:r>
          <w:r w:rsidR="00761FD2" w:rsidRPr="0049492D">
            <w:rPr>
              <w:b/>
              <w:color w:val="FFFFFF" w:themeColor="background1"/>
              <w:sz w:val="20"/>
            </w:rPr>
            <w:fldChar w:fldCharType="separate"/>
          </w:r>
          <w:r w:rsidR="00657CBC">
            <w:rPr>
              <w:b/>
              <w:noProof/>
              <w:color w:val="FFFFFF" w:themeColor="background1"/>
              <w:sz w:val="20"/>
            </w:rPr>
            <w:t>13</w:t>
          </w:r>
          <w:r w:rsidR="00761FD2" w:rsidRPr="0049492D">
            <w:rPr>
              <w:b/>
              <w:color w:val="FFFFFF" w:themeColor="background1"/>
              <w:sz w:val="20"/>
            </w:rPr>
            <w:fldChar w:fldCharType="end"/>
          </w:r>
        </w:p>
      </w:tc>
    </w:tr>
  </w:tbl>
  <w:p w:rsidR="00905FB7" w:rsidRPr="0049492D" w:rsidRDefault="00905FB7" w:rsidP="0049492D">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FB7" w:rsidRDefault="00905FB7" w:rsidP="0038010E">
      <w:pPr>
        <w:spacing w:after="0" w:line="240" w:lineRule="auto"/>
      </w:pPr>
      <w:r>
        <w:separator/>
      </w:r>
    </w:p>
  </w:footnote>
  <w:footnote w:type="continuationSeparator" w:id="0">
    <w:p w:rsidR="00905FB7" w:rsidRDefault="00905FB7" w:rsidP="003801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FB7" w:rsidRDefault="00905FB7">
    <w:pPr>
      <w:pStyle w:val="Header"/>
    </w:pPr>
    <w:r>
      <w:rPr>
        <w:noProof/>
        <w:lang w:val="en-GB" w:eastAsia="en-GB" w:bidi="ar-SA"/>
      </w:rPr>
      <w:drawing>
        <wp:anchor distT="0" distB="0" distL="114300" distR="114300" simplePos="0" relativeHeight="251658240" behindDoc="1" locked="0" layoutInCell="1" allowOverlap="1">
          <wp:simplePos x="0" y="0"/>
          <wp:positionH relativeFrom="column">
            <wp:posOffset>-534398</wp:posOffset>
          </wp:positionH>
          <wp:positionV relativeFrom="paragraph">
            <wp:posOffset>-360045</wp:posOffset>
          </wp:positionV>
          <wp:extent cx="7544344" cy="10698480"/>
          <wp:effectExtent l="19050" t="0" r="0" b="0"/>
          <wp:wrapNone/>
          <wp:docPr id="1"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1"/>
                  <a:stretch>
                    <a:fillRect/>
                  </a:stretch>
                </pic:blipFill>
                <pic:spPr>
                  <a:xfrm>
                    <a:off x="0" y="0"/>
                    <a:ext cx="7544344" cy="10698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10A"/>
    <w:multiLevelType w:val="hybridMultilevel"/>
    <w:tmpl w:val="3F587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start w:val="1"/>
      <w:numFmt w:val="bullet"/>
      <w:lvlText w:val=""/>
      <w:lvlJc w:val="left"/>
      <w:pPr>
        <w:ind w:left="2880" w:hanging="360"/>
      </w:pPr>
      <w:rPr>
        <w:rFonts w:ascii="Symbol" w:hAnsi="Symbol" w:hint="default"/>
      </w:rPr>
    </w:lvl>
    <w:lvl w:ilvl="4" w:tplc="7BC6021A">
      <w:numFmt w:val="bullet"/>
      <w:lvlText w:val="•"/>
      <w:lvlJc w:val="left"/>
      <w:pPr>
        <w:ind w:left="3675" w:hanging="435"/>
      </w:pPr>
      <w:rPr>
        <w:rFonts w:ascii="Arial" w:eastAsiaTheme="majorEastAsia" w:hAnsi="Arial"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66D00"/>
    <w:multiLevelType w:val="hybridMultilevel"/>
    <w:tmpl w:val="04CEC156"/>
    <w:lvl w:ilvl="0" w:tplc="8384DB5E">
      <w:numFmt w:val="bullet"/>
      <w:pStyle w:val="checklis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6F6C2C"/>
    <w:multiLevelType w:val="hybridMultilevel"/>
    <w:tmpl w:val="3A58A31A"/>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B28356D"/>
    <w:multiLevelType w:val="hybridMultilevel"/>
    <w:tmpl w:val="88F2161A"/>
    <w:lvl w:ilvl="0" w:tplc="864205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8F2D38"/>
    <w:multiLevelType w:val="hybridMultilevel"/>
    <w:tmpl w:val="0F407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2415C"/>
    <w:multiLevelType w:val="hybridMultilevel"/>
    <w:tmpl w:val="6F662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91E94"/>
    <w:multiLevelType w:val="hybridMultilevel"/>
    <w:tmpl w:val="AAA85B3E"/>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8510274"/>
    <w:multiLevelType w:val="hybridMultilevel"/>
    <w:tmpl w:val="EBBE6174"/>
    <w:lvl w:ilvl="0" w:tplc="DB141B18">
      <w:start w:val="1"/>
      <w:numFmt w:val="decimal"/>
      <w:lvlText w:val="%1."/>
      <w:lvlJc w:val="left"/>
      <w:pPr>
        <w:ind w:left="3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1859476D"/>
    <w:multiLevelType w:val="hybridMultilevel"/>
    <w:tmpl w:val="C64247E0"/>
    <w:lvl w:ilvl="0" w:tplc="3EACCEFC">
      <w:start w:val="1"/>
      <w:numFmt w:val="bullet"/>
      <w:lvlText w:val=""/>
      <w:lvlJc w:val="left"/>
      <w:pPr>
        <w:ind w:left="720" w:hanging="360"/>
      </w:pPr>
      <w:rPr>
        <w:rFonts w:ascii="Symbol" w:hAnsi="Symbol" w:hint="default"/>
        <w:color w:val="67208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5123E"/>
    <w:multiLevelType w:val="multilevel"/>
    <w:tmpl w:val="80A8363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b/>
        <w:color w:val="7F4A94"/>
      </w:rPr>
    </w:lvl>
    <w:lvl w:ilvl="3">
      <w:start w:val="1"/>
      <w:numFmt w:val="decimal"/>
      <w:pStyle w:val="Heading4"/>
      <w:lvlText w:val="%1.%2.%3.%4"/>
      <w:lvlJc w:val="left"/>
      <w:pPr>
        <w:ind w:left="864" w:hanging="864"/>
      </w:pPr>
      <w:rPr>
        <w:rFonts w:hint="default"/>
        <w:b/>
        <w:color w:val="7030A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4946FEC"/>
    <w:multiLevelType w:val="hybridMultilevel"/>
    <w:tmpl w:val="9A3A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46FB6"/>
    <w:multiLevelType w:val="hybridMultilevel"/>
    <w:tmpl w:val="616AA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03C88"/>
    <w:multiLevelType w:val="hybridMultilevel"/>
    <w:tmpl w:val="EDB0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267112"/>
    <w:multiLevelType w:val="hybridMultilevel"/>
    <w:tmpl w:val="2BEC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3112CB"/>
    <w:multiLevelType w:val="hybridMultilevel"/>
    <w:tmpl w:val="3ED86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F01FF"/>
    <w:multiLevelType w:val="hybridMultilevel"/>
    <w:tmpl w:val="70AAA7E0"/>
    <w:lvl w:ilvl="0" w:tplc="848679F0">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92C2C"/>
    <w:multiLevelType w:val="hybridMultilevel"/>
    <w:tmpl w:val="BC2EC1D2"/>
    <w:lvl w:ilvl="0" w:tplc="4BA2138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53DBD"/>
    <w:multiLevelType w:val="hybridMultilevel"/>
    <w:tmpl w:val="9126E1D6"/>
    <w:lvl w:ilvl="0" w:tplc="3F84FEB8">
      <w:start w:val="1"/>
      <w:numFmt w:val="bullet"/>
      <w:lvlText w:val="o"/>
      <w:lvlJc w:val="left"/>
      <w:pPr>
        <w:ind w:left="1440" w:hanging="360"/>
      </w:pPr>
      <w:rPr>
        <w:rFonts w:ascii="Courier New" w:hAnsi="Courier New" w:hint="default"/>
        <w:color w:val="67208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D85D61"/>
    <w:multiLevelType w:val="hybridMultilevel"/>
    <w:tmpl w:val="3682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B155E"/>
    <w:multiLevelType w:val="hybridMultilevel"/>
    <w:tmpl w:val="D138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203C5B"/>
    <w:multiLevelType w:val="multilevel"/>
    <w:tmpl w:val="F7B6B5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004" w:hanging="720"/>
      </w:pPr>
      <w:rPr>
        <w:rFonts w:ascii="Symbol" w:hAnsi="Symbol" w:hint="default"/>
        <w:b/>
        <w:color w:val="67208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11A4389"/>
    <w:multiLevelType w:val="hybridMultilevel"/>
    <w:tmpl w:val="A64AE9AC"/>
    <w:lvl w:ilvl="0" w:tplc="3EACCEFC">
      <w:start w:val="1"/>
      <w:numFmt w:val="bullet"/>
      <w:lvlText w:val=""/>
      <w:lvlJc w:val="left"/>
      <w:pPr>
        <w:ind w:left="720" w:hanging="360"/>
      </w:pPr>
      <w:rPr>
        <w:rFonts w:ascii="Symbol" w:hAnsi="Symbol" w:hint="default"/>
        <w:color w:val="672080" w:themeColor="text1"/>
      </w:rPr>
    </w:lvl>
    <w:lvl w:ilvl="1" w:tplc="08090003" w:tentative="1">
      <w:start w:val="1"/>
      <w:numFmt w:val="bullet"/>
      <w:lvlText w:val="o"/>
      <w:lvlJc w:val="left"/>
      <w:pPr>
        <w:ind w:left="1440" w:hanging="360"/>
      </w:pPr>
      <w:rPr>
        <w:rFonts w:ascii="Courier New" w:hAnsi="Courier New" w:cs="Courier New" w:hint="default"/>
      </w:rPr>
    </w:lvl>
    <w:lvl w:ilvl="2" w:tplc="1C0C3F8C">
      <w:start w:val="1"/>
      <w:numFmt w:val="bullet"/>
      <w:lvlText w:val=""/>
      <w:lvlJc w:val="left"/>
      <w:pPr>
        <w:ind w:left="2160" w:hanging="360"/>
      </w:pPr>
      <w:rPr>
        <w:rFonts w:ascii="Wingdings" w:hAnsi="Wingdings" w:hint="default"/>
        <w:color w:val="672080" w:themeColor="text1"/>
      </w:rPr>
    </w:lvl>
    <w:lvl w:ilvl="3" w:tplc="08090001" w:tentative="1">
      <w:start w:val="1"/>
      <w:numFmt w:val="bullet"/>
      <w:lvlText w:val=""/>
      <w:lvlJc w:val="left"/>
      <w:pPr>
        <w:ind w:left="2880" w:hanging="360"/>
      </w:pPr>
      <w:rPr>
        <w:rFonts w:ascii="Symbol" w:hAnsi="Symbol" w:hint="default"/>
      </w:rPr>
    </w:lvl>
    <w:lvl w:ilvl="4" w:tplc="3EACCEFC">
      <w:start w:val="1"/>
      <w:numFmt w:val="bullet"/>
      <w:lvlText w:val=""/>
      <w:lvlJc w:val="left"/>
      <w:pPr>
        <w:ind w:left="3600" w:hanging="360"/>
      </w:pPr>
      <w:rPr>
        <w:rFonts w:ascii="Symbol" w:hAnsi="Symbol" w:hint="default"/>
        <w:color w:val="672080" w:themeColor="text1"/>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0F09A9"/>
    <w:multiLevelType w:val="hybridMultilevel"/>
    <w:tmpl w:val="905C8580"/>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
  </w:num>
  <w:num w:numId="2">
    <w:abstractNumId w:val="9"/>
  </w:num>
  <w:num w:numId="3">
    <w:abstractNumId w:val="1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17"/>
  </w:num>
  <w:num w:numId="8">
    <w:abstractNumId w:val="13"/>
  </w:num>
  <w:num w:numId="9">
    <w:abstractNumId w:val="5"/>
  </w:num>
  <w:num w:numId="10">
    <w:abstractNumId w:val="18"/>
  </w:num>
  <w:num w:numId="11">
    <w:abstractNumId w:val="15"/>
  </w:num>
  <w:num w:numId="12">
    <w:abstractNumId w:val="1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num>
  <w:num w:numId="16">
    <w:abstractNumId w:val="11"/>
  </w:num>
  <w:num w:numId="17">
    <w:abstractNumId w:val="7"/>
  </w:num>
  <w:num w:numId="18">
    <w:abstractNumId w:val="4"/>
  </w:num>
  <w:num w:numId="19">
    <w:abstractNumId w:val="0"/>
  </w:num>
  <w:num w:numId="20">
    <w:abstractNumId w:val="21"/>
  </w:num>
  <w:num w:numId="21">
    <w:abstractNumId w:val="8"/>
  </w:num>
  <w:num w:numId="22">
    <w:abstractNumId w:val="22"/>
  </w:num>
  <w:num w:numId="23">
    <w:abstractNumId w:val="2"/>
  </w:num>
  <w:num w:numId="24">
    <w:abstractNumId w:val="6"/>
  </w:num>
  <w:num w:numId="25">
    <w:abstractNumId w:val="1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F69"/>
    <w:rsid w:val="000009CF"/>
    <w:rsid w:val="00000D0F"/>
    <w:rsid w:val="000019B4"/>
    <w:rsid w:val="00002867"/>
    <w:rsid w:val="00017068"/>
    <w:rsid w:val="00021A5A"/>
    <w:rsid w:val="00025A21"/>
    <w:rsid w:val="00027976"/>
    <w:rsid w:val="000335C5"/>
    <w:rsid w:val="000348BB"/>
    <w:rsid w:val="000372E2"/>
    <w:rsid w:val="00040EC8"/>
    <w:rsid w:val="000431F9"/>
    <w:rsid w:val="0004413F"/>
    <w:rsid w:val="000476C6"/>
    <w:rsid w:val="00051D0A"/>
    <w:rsid w:val="00053127"/>
    <w:rsid w:val="00055E40"/>
    <w:rsid w:val="00062C07"/>
    <w:rsid w:val="000634AD"/>
    <w:rsid w:val="000638DB"/>
    <w:rsid w:val="0006778D"/>
    <w:rsid w:val="00067EBF"/>
    <w:rsid w:val="00070370"/>
    <w:rsid w:val="000714D7"/>
    <w:rsid w:val="0007324D"/>
    <w:rsid w:val="000747CE"/>
    <w:rsid w:val="00077901"/>
    <w:rsid w:val="00077E6E"/>
    <w:rsid w:val="0008143C"/>
    <w:rsid w:val="000816F9"/>
    <w:rsid w:val="000836B6"/>
    <w:rsid w:val="000839FA"/>
    <w:rsid w:val="000844EF"/>
    <w:rsid w:val="000A03AA"/>
    <w:rsid w:val="000A15D7"/>
    <w:rsid w:val="000A1D3D"/>
    <w:rsid w:val="000A2BA2"/>
    <w:rsid w:val="000A7B35"/>
    <w:rsid w:val="000B0C06"/>
    <w:rsid w:val="000B24B5"/>
    <w:rsid w:val="000B255A"/>
    <w:rsid w:val="000B4367"/>
    <w:rsid w:val="000B5AFF"/>
    <w:rsid w:val="000C131B"/>
    <w:rsid w:val="000C3715"/>
    <w:rsid w:val="000C6655"/>
    <w:rsid w:val="000C77EA"/>
    <w:rsid w:val="000D1877"/>
    <w:rsid w:val="000D3174"/>
    <w:rsid w:val="000D4DAD"/>
    <w:rsid w:val="000D56BE"/>
    <w:rsid w:val="000E07EB"/>
    <w:rsid w:val="000E0BC0"/>
    <w:rsid w:val="000E0CAC"/>
    <w:rsid w:val="000E0E14"/>
    <w:rsid w:val="000E14CE"/>
    <w:rsid w:val="000E52E3"/>
    <w:rsid w:val="000F36EA"/>
    <w:rsid w:val="000F58D4"/>
    <w:rsid w:val="000F7194"/>
    <w:rsid w:val="00100834"/>
    <w:rsid w:val="00101071"/>
    <w:rsid w:val="00102A33"/>
    <w:rsid w:val="001051E1"/>
    <w:rsid w:val="00107360"/>
    <w:rsid w:val="001111B8"/>
    <w:rsid w:val="00112A51"/>
    <w:rsid w:val="00115988"/>
    <w:rsid w:val="00117748"/>
    <w:rsid w:val="00123040"/>
    <w:rsid w:val="0012343E"/>
    <w:rsid w:val="00123FBB"/>
    <w:rsid w:val="00125603"/>
    <w:rsid w:val="00125D98"/>
    <w:rsid w:val="00127D26"/>
    <w:rsid w:val="0013061F"/>
    <w:rsid w:val="001306FA"/>
    <w:rsid w:val="00134C91"/>
    <w:rsid w:val="00135B69"/>
    <w:rsid w:val="00136498"/>
    <w:rsid w:val="00141C01"/>
    <w:rsid w:val="00142D4A"/>
    <w:rsid w:val="00143F64"/>
    <w:rsid w:val="00144D91"/>
    <w:rsid w:val="00146624"/>
    <w:rsid w:val="0015493C"/>
    <w:rsid w:val="001567A3"/>
    <w:rsid w:val="00162B21"/>
    <w:rsid w:val="001643FD"/>
    <w:rsid w:val="00164DBE"/>
    <w:rsid w:val="001720A9"/>
    <w:rsid w:val="00175107"/>
    <w:rsid w:val="00176B9A"/>
    <w:rsid w:val="00180E9C"/>
    <w:rsid w:val="001810EE"/>
    <w:rsid w:val="0018409F"/>
    <w:rsid w:val="0018686F"/>
    <w:rsid w:val="00186CA0"/>
    <w:rsid w:val="00187D6F"/>
    <w:rsid w:val="00191915"/>
    <w:rsid w:val="00192802"/>
    <w:rsid w:val="00192BB4"/>
    <w:rsid w:val="00193A32"/>
    <w:rsid w:val="00194563"/>
    <w:rsid w:val="00195BD2"/>
    <w:rsid w:val="00196CF1"/>
    <w:rsid w:val="00197775"/>
    <w:rsid w:val="00197B16"/>
    <w:rsid w:val="001B0900"/>
    <w:rsid w:val="001B672E"/>
    <w:rsid w:val="001C1281"/>
    <w:rsid w:val="001C2265"/>
    <w:rsid w:val="001C23D1"/>
    <w:rsid w:val="001C5285"/>
    <w:rsid w:val="001C611F"/>
    <w:rsid w:val="001D0FC5"/>
    <w:rsid w:val="001D1C09"/>
    <w:rsid w:val="001E085F"/>
    <w:rsid w:val="001E1E0B"/>
    <w:rsid w:val="001E346F"/>
    <w:rsid w:val="001E41F8"/>
    <w:rsid w:val="001E7E19"/>
    <w:rsid w:val="001F067B"/>
    <w:rsid w:val="001F07F0"/>
    <w:rsid w:val="001F53AA"/>
    <w:rsid w:val="001F6964"/>
    <w:rsid w:val="002013F8"/>
    <w:rsid w:val="00211734"/>
    <w:rsid w:val="002118DC"/>
    <w:rsid w:val="00216021"/>
    <w:rsid w:val="002176AB"/>
    <w:rsid w:val="0022399D"/>
    <w:rsid w:val="002249D1"/>
    <w:rsid w:val="00225DD3"/>
    <w:rsid w:val="00225F45"/>
    <w:rsid w:val="00230FA1"/>
    <w:rsid w:val="00233422"/>
    <w:rsid w:val="002346AE"/>
    <w:rsid w:val="0023604B"/>
    <w:rsid w:val="00236308"/>
    <w:rsid w:val="002402F4"/>
    <w:rsid w:val="00241AE6"/>
    <w:rsid w:val="00241DBD"/>
    <w:rsid w:val="0024486A"/>
    <w:rsid w:val="0024512E"/>
    <w:rsid w:val="00245383"/>
    <w:rsid w:val="00245DBA"/>
    <w:rsid w:val="00247BA9"/>
    <w:rsid w:val="00250E51"/>
    <w:rsid w:val="0025578C"/>
    <w:rsid w:val="0026092B"/>
    <w:rsid w:val="00263B00"/>
    <w:rsid w:val="002659A6"/>
    <w:rsid w:val="00266F13"/>
    <w:rsid w:val="002671F7"/>
    <w:rsid w:val="00267D52"/>
    <w:rsid w:val="00270217"/>
    <w:rsid w:val="00270DB3"/>
    <w:rsid w:val="00270DD1"/>
    <w:rsid w:val="00274699"/>
    <w:rsid w:val="00280FEA"/>
    <w:rsid w:val="00281803"/>
    <w:rsid w:val="00282F03"/>
    <w:rsid w:val="002866FE"/>
    <w:rsid w:val="00291F0B"/>
    <w:rsid w:val="002938B7"/>
    <w:rsid w:val="00293A88"/>
    <w:rsid w:val="0029604A"/>
    <w:rsid w:val="002A112A"/>
    <w:rsid w:val="002A393D"/>
    <w:rsid w:val="002A6F4E"/>
    <w:rsid w:val="002B200F"/>
    <w:rsid w:val="002B34A4"/>
    <w:rsid w:val="002B595B"/>
    <w:rsid w:val="002B7845"/>
    <w:rsid w:val="002C16B5"/>
    <w:rsid w:val="002D2561"/>
    <w:rsid w:val="002D25EB"/>
    <w:rsid w:val="002D2DAD"/>
    <w:rsid w:val="002D3308"/>
    <w:rsid w:val="002D4D18"/>
    <w:rsid w:val="002D6140"/>
    <w:rsid w:val="002E2559"/>
    <w:rsid w:val="002E37DB"/>
    <w:rsid w:val="002E464D"/>
    <w:rsid w:val="002E518F"/>
    <w:rsid w:val="002E7854"/>
    <w:rsid w:val="002F6353"/>
    <w:rsid w:val="00300084"/>
    <w:rsid w:val="00303767"/>
    <w:rsid w:val="00303E71"/>
    <w:rsid w:val="00304621"/>
    <w:rsid w:val="00304737"/>
    <w:rsid w:val="0031128D"/>
    <w:rsid w:val="00313EFB"/>
    <w:rsid w:val="00315371"/>
    <w:rsid w:val="00320B6E"/>
    <w:rsid w:val="003217B6"/>
    <w:rsid w:val="00321B8F"/>
    <w:rsid w:val="00321FDD"/>
    <w:rsid w:val="00323431"/>
    <w:rsid w:val="0032583A"/>
    <w:rsid w:val="003276D2"/>
    <w:rsid w:val="003309B2"/>
    <w:rsid w:val="003329EC"/>
    <w:rsid w:val="003330EE"/>
    <w:rsid w:val="00335BD9"/>
    <w:rsid w:val="003369D6"/>
    <w:rsid w:val="00336DFF"/>
    <w:rsid w:val="00340345"/>
    <w:rsid w:val="00341284"/>
    <w:rsid w:val="003418F9"/>
    <w:rsid w:val="00341DEC"/>
    <w:rsid w:val="003423EC"/>
    <w:rsid w:val="00350009"/>
    <w:rsid w:val="003529DC"/>
    <w:rsid w:val="00352EEB"/>
    <w:rsid w:val="00354A9E"/>
    <w:rsid w:val="00356BEF"/>
    <w:rsid w:val="00362945"/>
    <w:rsid w:val="00362B97"/>
    <w:rsid w:val="0036456D"/>
    <w:rsid w:val="003727EA"/>
    <w:rsid w:val="0037375E"/>
    <w:rsid w:val="00374C88"/>
    <w:rsid w:val="0038010E"/>
    <w:rsid w:val="00382074"/>
    <w:rsid w:val="00384E33"/>
    <w:rsid w:val="003877A0"/>
    <w:rsid w:val="00390A55"/>
    <w:rsid w:val="003913A2"/>
    <w:rsid w:val="00394435"/>
    <w:rsid w:val="00395E2D"/>
    <w:rsid w:val="00397E13"/>
    <w:rsid w:val="003A0B0B"/>
    <w:rsid w:val="003A2055"/>
    <w:rsid w:val="003A2A6B"/>
    <w:rsid w:val="003A4D19"/>
    <w:rsid w:val="003A56D9"/>
    <w:rsid w:val="003A5E34"/>
    <w:rsid w:val="003A6A74"/>
    <w:rsid w:val="003B0D4E"/>
    <w:rsid w:val="003B2B4D"/>
    <w:rsid w:val="003B3098"/>
    <w:rsid w:val="003B4016"/>
    <w:rsid w:val="003B516D"/>
    <w:rsid w:val="003B5475"/>
    <w:rsid w:val="003B5948"/>
    <w:rsid w:val="003C148A"/>
    <w:rsid w:val="003C5D0D"/>
    <w:rsid w:val="003C6F14"/>
    <w:rsid w:val="003C7B62"/>
    <w:rsid w:val="003C7B7E"/>
    <w:rsid w:val="003D186D"/>
    <w:rsid w:val="003D2D43"/>
    <w:rsid w:val="003D45A6"/>
    <w:rsid w:val="003D7930"/>
    <w:rsid w:val="003E05F3"/>
    <w:rsid w:val="003E1C5B"/>
    <w:rsid w:val="003E2157"/>
    <w:rsid w:val="003E48A3"/>
    <w:rsid w:val="003E5964"/>
    <w:rsid w:val="003E692C"/>
    <w:rsid w:val="003F1A5E"/>
    <w:rsid w:val="003F2E18"/>
    <w:rsid w:val="003F2F13"/>
    <w:rsid w:val="003F38F1"/>
    <w:rsid w:val="003F3A00"/>
    <w:rsid w:val="003F4591"/>
    <w:rsid w:val="003F6654"/>
    <w:rsid w:val="003F7106"/>
    <w:rsid w:val="003F7DC2"/>
    <w:rsid w:val="00406501"/>
    <w:rsid w:val="00426AB3"/>
    <w:rsid w:val="00434744"/>
    <w:rsid w:val="00435294"/>
    <w:rsid w:val="00436406"/>
    <w:rsid w:val="00436532"/>
    <w:rsid w:val="00437D95"/>
    <w:rsid w:val="00437F84"/>
    <w:rsid w:val="00441A14"/>
    <w:rsid w:val="00442740"/>
    <w:rsid w:val="00442C62"/>
    <w:rsid w:val="0044502C"/>
    <w:rsid w:val="00446AB2"/>
    <w:rsid w:val="00446BE8"/>
    <w:rsid w:val="00450ADB"/>
    <w:rsid w:val="00451C0C"/>
    <w:rsid w:val="00454A65"/>
    <w:rsid w:val="00454A89"/>
    <w:rsid w:val="00457122"/>
    <w:rsid w:val="0045728B"/>
    <w:rsid w:val="0045787D"/>
    <w:rsid w:val="0046115D"/>
    <w:rsid w:val="004618F4"/>
    <w:rsid w:val="00462EF7"/>
    <w:rsid w:val="004654CD"/>
    <w:rsid w:val="004655E2"/>
    <w:rsid w:val="00465F76"/>
    <w:rsid w:val="00472C0E"/>
    <w:rsid w:val="00477904"/>
    <w:rsid w:val="004822C5"/>
    <w:rsid w:val="00483A63"/>
    <w:rsid w:val="00484EE6"/>
    <w:rsid w:val="0049212D"/>
    <w:rsid w:val="00493EBB"/>
    <w:rsid w:val="0049478C"/>
    <w:rsid w:val="0049492D"/>
    <w:rsid w:val="00497EE3"/>
    <w:rsid w:val="004A4489"/>
    <w:rsid w:val="004A5434"/>
    <w:rsid w:val="004A5C1F"/>
    <w:rsid w:val="004A6733"/>
    <w:rsid w:val="004B1742"/>
    <w:rsid w:val="004B1DBA"/>
    <w:rsid w:val="004B2A55"/>
    <w:rsid w:val="004B2AEC"/>
    <w:rsid w:val="004B49C5"/>
    <w:rsid w:val="004C0701"/>
    <w:rsid w:val="004C0FE2"/>
    <w:rsid w:val="004C131A"/>
    <w:rsid w:val="004C2182"/>
    <w:rsid w:val="004C285B"/>
    <w:rsid w:val="004C42BB"/>
    <w:rsid w:val="004D094C"/>
    <w:rsid w:val="004D2676"/>
    <w:rsid w:val="004D35C9"/>
    <w:rsid w:val="004D4025"/>
    <w:rsid w:val="004D6C2A"/>
    <w:rsid w:val="004D70E1"/>
    <w:rsid w:val="004D722B"/>
    <w:rsid w:val="004E00E8"/>
    <w:rsid w:val="004F6AF6"/>
    <w:rsid w:val="004F6D64"/>
    <w:rsid w:val="00500466"/>
    <w:rsid w:val="005006A8"/>
    <w:rsid w:val="00500C64"/>
    <w:rsid w:val="00501786"/>
    <w:rsid w:val="0050332A"/>
    <w:rsid w:val="005051AD"/>
    <w:rsid w:val="00505584"/>
    <w:rsid w:val="005122F9"/>
    <w:rsid w:val="0051405E"/>
    <w:rsid w:val="00516947"/>
    <w:rsid w:val="00522C28"/>
    <w:rsid w:val="00523CBE"/>
    <w:rsid w:val="0052426D"/>
    <w:rsid w:val="005243B2"/>
    <w:rsid w:val="0052684E"/>
    <w:rsid w:val="005268D8"/>
    <w:rsid w:val="00533443"/>
    <w:rsid w:val="00534F00"/>
    <w:rsid w:val="0053645A"/>
    <w:rsid w:val="00537643"/>
    <w:rsid w:val="005510F4"/>
    <w:rsid w:val="005526FB"/>
    <w:rsid w:val="005531CA"/>
    <w:rsid w:val="00553EB3"/>
    <w:rsid w:val="00554AEF"/>
    <w:rsid w:val="00554F49"/>
    <w:rsid w:val="00555458"/>
    <w:rsid w:val="00560270"/>
    <w:rsid w:val="00561A05"/>
    <w:rsid w:val="0056226A"/>
    <w:rsid w:val="00565011"/>
    <w:rsid w:val="00565B8F"/>
    <w:rsid w:val="00565CCB"/>
    <w:rsid w:val="00573BE4"/>
    <w:rsid w:val="00574BC2"/>
    <w:rsid w:val="00582595"/>
    <w:rsid w:val="00583F69"/>
    <w:rsid w:val="0058486C"/>
    <w:rsid w:val="0059007B"/>
    <w:rsid w:val="00591EC1"/>
    <w:rsid w:val="00593141"/>
    <w:rsid w:val="00593C8D"/>
    <w:rsid w:val="00594380"/>
    <w:rsid w:val="005946C9"/>
    <w:rsid w:val="00594B2A"/>
    <w:rsid w:val="005A519A"/>
    <w:rsid w:val="005A6C48"/>
    <w:rsid w:val="005A7569"/>
    <w:rsid w:val="005A762D"/>
    <w:rsid w:val="005B4881"/>
    <w:rsid w:val="005B497A"/>
    <w:rsid w:val="005B528A"/>
    <w:rsid w:val="005B697D"/>
    <w:rsid w:val="005C070F"/>
    <w:rsid w:val="005C1D9C"/>
    <w:rsid w:val="005C25A7"/>
    <w:rsid w:val="005C3BD9"/>
    <w:rsid w:val="005C4712"/>
    <w:rsid w:val="005C4C4F"/>
    <w:rsid w:val="005C543D"/>
    <w:rsid w:val="005D01E0"/>
    <w:rsid w:val="005D1C0F"/>
    <w:rsid w:val="005D22CC"/>
    <w:rsid w:val="005D2D70"/>
    <w:rsid w:val="005D379C"/>
    <w:rsid w:val="005D3D65"/>
    <w:rsid w:val="005D3D9D"/>
    <w:rsid w:val="005D7FF0"/>
    <w:rsid w:val="005E0FC3"/>
    <w:rsid w:val="005E105B"/>
    <w:rsid w:val="005E3D7C"/>
    <w:rsid w:val="005E4DA1"/>
    <w:rsid w:val="005E667E"/>
    <w:rsid w:val="005E710C"/>
    <w:rsid w:val="005F02E0"/>
    <w:rsid w:val="005F1EBC"/>
    <w:rsid w:val="005F214C"/>
    <w:rsid w:val="005F45C7"/>
    <w:rsid w:val="005F4E71"/>
    <w:rsid w:val="005F5309"/>
    <w:rsid w:val="005F7049"/>
    <w:rsid w:val="00601DC0"/>
    <w:rsid w:val="0060248F"/>
    <w:rsid w:val="0060278A"/>
    <w:rsid w:val="006033A7"/>
    <w:rsid w:val="00604B85"/>
    <w:rsid w:val="006109C6"/>
    <w:rsid w:val="00610D59"/>
    <w:rsid w:val="00620FC3"/>
    <w:rsid w:val="006248ED"/>
    <w:rsid w:val="00625092"/>
    <w:rsid w:val="00625B32"/>
    <w:rsid w:val="00625BE6"/>
    <w:rsid w:val="00626FDA"/>
    <w:rsid w:val="006273E1"/>
    <w:rsid w:val="00627B89"/>
    <w:rsid w:val="0063029D"/>
    <w:rsid w:val="00630A5B"/>
    <w:rsid w:val="006351F6"/>
    <w:rsid w:val="0063564D"/>
    <w:rsid w:val="00635B75"/>
    <w:rsid w:val="006360E9"/>
    <w:rsid w:val="00640344"/>
    <w:rsid w:val="0064185E"/>
    <w:rsid w:val="00642E6D"/>
    <w:rsid w:val="006505A1"/>
    <w:rsid w:val="00651660"/>
    <w:rsid w:val="00652149"/>
    <w:rsid w:val="00652150"/>
    <w:rsid w:val="006528D9"/>
    <w:rsid w:val="00652B2C"/>
    <w:rsid w:val="00652DD2"/>
    <w:rsid w:val="00657964"/>
    <w:rsid w:val="00657CBC"/>
    <w:rsid w:val="0066069D"/>
    <w:rsid w:val="00661928"/>
    <w:rsid w:val="00666F3B"/>
    <w:rsid w:val="0067046C"/>
    <w:rsid w:val="00671021"/>
    <w:rsid w:val="00680C11"/>
    <w:rsid w:val="00682DDD"/>
    <w:rsid w:val="00683F46"/>
    <w:rsid w:val="00690B3E"/>
    <w:rsid w:val="00691B65"/>
    <w:rsid w:val="0069204C"/>
    <w:rsid w:val="006933D8"/>
    <w:rsid w:val="00695874"/>
    <w:rsid w:val="006A08F2"/>
    <w:rsid w:val="006A0CDB"/>
    <w:rsid w:val="006A0DD8"/>
    <w:rsid w:val="006A1777"/>
    <w:rsid w:val="006A3F0F"/>
    <w:rsid w:val="006A4312"/>
    <w:rsid w:val="006A4B61"/>
    <w:rsid w:val="006A4D8C"/>
    <w:rsid w:val="006B1B36"/>
    <w:rsid w:val="006B2C90"/>
    <w:rsid w:val="006B32E4"/>
    <w:rsid w:val="006B69AA"/>
    <w:rsid w:val="006B7616"/>
    <w:rsid w:val="006B7B09"/>
    <w:rsid w:val="006C1265"/>
    <w:rsid w:val="006D289F"/>
    <w:rsid w:val="006D3C55"/>
    <w:rsid w:val="006D57BA"/>
    <w:rsid w:val="006D6BFF"/>
    <w:rsid w:val="006D6C75"/>
    <w:rsid w:val="006D7F51"/>
    <w:rsid w:val="006E2A04"/>
    <w:rsid w:val="006E2D3A"/>
    <w:rsid w:val="006E32B2"/>
    <w:rsid w:val="006E37AE"/>
    <w:rsid w:val="006E4CD6"/>
    <w:rsid w:val="006E75AC"/>
    <w:rsid w:val="006F127A"/>
    <w:rsid w:val="006F2331"/>
    <w:rsid w:val="006F24A3"/>
    <w:rsid w:val="006F3759"/>
    <w:rsid w:val="00701520"/>
    <w:rsid w:val="00702194"/>
    <w:rsid w:val="0070388B"/>
    <w:rsid w:val="00703EBA"/>
    <w:rsid w:val="00707637"/>
    <w:rsid w:val="00712A61"/>
    <w:rsid w:val="00713533"/>
    <w:rsid w:val="00715D54"/>
    <w:rsid w:val="007163CE"/>
    <w:rsid w:val="00723E5C"/>
    <w:rsid w:val="007256BF"/>
    <w:rsid w:val="007271F2"/>
    <w:rsid w:val="00727CEC"/>
    <w:rsid w:val="00727E0F"/>
    <w:rsid w:val="00730478"/>
    <w:rsid w:val="007304BD"/>
    <w:rsid w:val="007309F5"/>
    <w:rsid w:val="00731C31"/>
    <w:rsid w:val="0073625A"/>
    <w:rsid w:val="00736C7B"/>
    <w:rsid w:val="007377F9"/>
    <w:rsid w:val="007416D8"/>
    <w:rsid w:val="007437B0"/>
    <w:rsid w:val="00743C18"/>
    <w:rsid w:val="007451C6"/>
    <w:rsid w:val="00756E93"/>
    <w:rsid w:val="0076009A"/>
    <w:rsid w:val="00760C1C"/>
    <w:rsid w:val="00761FD2"/>
    <w:rsid w:val="0076220F"/>
    <w:rsid w:val="00764511"/>
    <w:rsid w:val="007649EE"/>
    <w:rsid w:val="0076762B"/>
    <w:rsid w:val="00770783"/>
    <w:rsid w:val="00773D36"/>
    <w:rsid w:val="00773FD4"/>
    <w:rsid w:val="00777FDC"/>
    <w:rsid w:val="00781176"/>
    <w:rsid w:val="007811DF"/>
    <w:rsid w:val="00783428"/>
    <w:rsid w:val="00786DA5"/>
    <w:rsid w:val="00790D63"/>
    <w:rsid w:val="00791734"/>
    <w:rsid w:val="0079381A"/>
    <w:rsid w:val="00794186"/>
    <w:rsid w:val="00797227"/>
    <w:rsid w:val="007A0999"/>
    <w:rsid w:val="007A2D86"/>
    <w:rsid w:val="007A67EB"/>
    <w:rsid w:val="007B00FA"/>
    <w:rsid w:val="007B19E6"/>
    <w:rsid w:val="007B4139"/>
    <w:rsid w:val="007B51B4"/>
    <w:rsid w:val="007B59E2"/>
    <w:rsid w:val="007B72E0"/>
    <w:rsid w:val="007C16AD"/>
    <w:rsid w:val="007C25EF"/>
    <w:rsid w:val="007C3179"/>
    <w:rsid w:val="007C59D2"/>
    <w:rsid w:val="007C7991"/>
    <w:rsid w:val="007D3527"/>
    <w:rsid w:val="007D6A02"/>
    <w:rsid w:val="007D7829"/>
    <w:rsid w:val="007E1A69"/>
    <w:rsid w:val="007E3F28"/>
    <w:rsid w:val="007F2C19"/>
    <w:rsid w:val="007F30E4"/>
    <w:rsid w:val="007F33D0"/>
    <w:rsid w:val="007F71AD"/>
    <w:rsid w:val="00800074"/>
    <w:rsid w:val="008004E4"/>
    <w:rsid w:val="00800AD2"/>
    <w:rsid w:val="00801BC2"/>
    <w:rsid w:val="00801EFB"/>
    <w:rsid w:val="00802D71"/>
    <w:rsid w:val="008044A0"/>
    <w:rsid w:val="0080456A"/>
    <w:rsid w:val="00807500"/>
    <w:rsid w:val="00807E9E"/>
    <w:rsid w:val="0081071B"/>
    <w:rsid w:val="00811390"/>
    <w:rsid w:val="008116DF"/>
    <w:rsid w:val="008125D1"/>
    <w:rsid w:val="00812C11"/>
    <w:rsid w:val="0081309F"/>
    <w:rsid w:val="00813D19"/>
    <w:rsid w:val="0081478D"/>
    <w:rsid w:val="008305EC"/>
    <w:rsid w:val="00831B39"/>
    <w:rsid w:val="00831D12"/>
    <w:rsid w:val="00832550"/>
    <w:rsid w:val="008345FB"/>
    <w:rsid w:val="00840C5F"/>
    <w:rsid w:val="008437B8"/>
    <w:rsid w:val="00845A19"/>
    <w:rsid w:val="00846A2E"/>
    <w:rsid w:val="00847BA2"/>
    <w:rsid w:val="00847F1D"/>
    <w:rsid w:val="0085346D"/>
    <w:rsid w:val="008544BD"/>
    <w:rsid w:val="00854F79"/>
    <w:rsid w:val="00855009"/>
    <w:rsid w:val="00855158"/>
    <w:rsid w:val="00855F13"/>
    <w:rsid w:val="0085603D"/>
    <w:rsid w:val="00863EC5"/>
    <w:rsid w:val="0086500F"/>
    <w:rsid w:val="00865ECF"/>
    <w:rsid w:val="00871E67"/>
    <w:rsid w:val="00877818"/>
    <w:rsid w:val="00877B3F"/>
    <w:rsid w:val="008808A5"/>
    <w:rsid w:val="00882022"/>
    <w:rsid w:val="00885A04"/>
    <w:rsid w:val="00886A32"/>
    <w:rsid w:val="00886DB5"/>
    <w:rsid w:val="00886DCC"/>
    <w:rsid w:val="00895AE3"/>
    <w:rsid w:val="00897D2E"/>
    <w:rsid w:val="008A00F5"/>
    <w:rsid w:val="008A212A"/>
    <w:rsid w:val="008A481C"/>
    <w:rsid w:val="008A4D7A"/>
    <w:rsid w:val="008A651F"/>
    <w:rsid w:val="008B2A0A"/>
    <w:rsid w:val="008C12DC"/>
    <w:rsid w:val="008C6B33"/>
    <w:rsid w:val="008D0A78"/>
    <w:rsid w:val="008D1490"/>
    <w:rsid w:val="008D166B"/>
    <w:rsid w:val="008D203B"/>
    <w:rsid w:val="008D254D"/>
    <w:rsid w:val="008D4A85"/>
    <w:rsid w:val="008E0D92"/>
    <w:rsid w:val="008E4050"/>
    <w:rsid w:val="008E6B2C"/>
    <w:rsid w:val="008F068F"/>
    <w:rsid w:val="008F14B7"/>
    <w:rsid w:val="008F15D1"/>
    <w:rsid w:val="008F1B0A"/>
    <w:rsid w:val="008F3B34"/>
    <w:rsid w:val="008F4B8A"/>
    <w:rsid w:val="008F5382"/>
    <w:rsid w:val="008F73BA"/>
    <w:rsid w:val="008F77BA"/>
    <w:rsid w:val="00903FC2"/>
    <w:rsid w:val="00905FB7"/>
    <w:rsid w:val="00906359"/>
    <w:rsid w:val="0090676C"/>
    <w:rsid w:val="00906ABC"/>
    <w:rsid w:val="00914332"/>
    <w:rsid w:val="00915759"/>
    <w:rsid w:val="009158F2"/>
    <w:rsid w:val="00917BBB"/>
    <w:rsid w:val="0092038F"/>
    <w:rsid w:val="00923C09"/>
    <w:rsid w:val="0092434A"/>
    <w:rsid w:val="00925CBB"/>
    <w:rsid w:val="00926852"/>
    <w:rsid w:val="00927773"/>
    <w:rsid w:val="009321C3"/>
    <w:rsid w:val="009409EC"/>
    <w:rsid w:val="00942F98"/>
    <w:rsid w:val="00943408"/>
    <w:rsid w:val="00946686"/>
    <w:rsid w:val="0095081C"/>
    <w:rsid w:val="00957613"/>
    <w:rsid w:val="009651C9"/>
    <w:rsid w:val="00967992"/>
    <w:rsid w:val="009679B5"/>
    <w:rsid w:val="009717E7"/>
    <w:rsid w:val="00973B91"/>
    <w:rsid w:val="00982EF7"/>
    <w:rsid w:val="0098650A"/>
    <w:rsid w:val="0098721A"/>
    <w:rsid w:val="00987500"/>
    <w:rsid w:val="00993450"/>
    <w:rsid w:val="0099449A"/>
    <w:rsid w:val="009978E6"/>
    <w:rsid w:val="009A0172"/>
    <w:rsid w:val="009A1CB8"/>
    <w:rsid w:val="009A3AAB"/>
    <w:rsid w:val="009A51ED"/>
    <w:rsid w:val="009A7925"/>
    <w:rsid w:val="009B4A24"/>
    <w:rsid w:val="009C377C"/>
    <w:rsid w:val="009C4875"/>
    <w:rsid w:val="009C48ED"/>
    <w:rsid w:val="009D0C0E"/>
    <w:rsid w:val="009D0CD6"/>
    <w:rsid w:val="009D718E"/>
    <w:rsid w:val="009E0890"/>
    <w:rsid w:val="009E4EE2"/>
    <w:rsid w:val="009E6B64"/>
    <w:rsid w:val="009E6CBA"/>
    <w:rsid w:val="009F0E3C"/>
    <w:rsid w:val="009F0ED1"/>
    <w:rsid w:val="009F2243"/>
    <w:rsid w:val="009F3D89"/>
    <w:rsid w:val="00A0485B"/>
    <w:rsid w:val="00A055DE"/>
    <w:rsid w:val="00A05DB7"/>
    <w:rsid w:val="00A135FD"/>
    <w:rsid w:val="00A15295"/>
    <w:rsid w:val="00A15514"/>
    <w:rsid w:val="00A15F22"/>
    <w:rsid w:val="00A15F6D"/>
    <w:rsid w:val="00A20213"/>
    <w:rsid w:val="00A2071D"/>
    <w:rsid w:val="00A22B0E"/>
    <w:rsid w:val="00A22DF6"/>
    <w:rsid w:val="00A231AD"/>
    <w:rsid w:val="00A2539D"/>
    <w:rsid w:val="00A25A9F"/>
    <w:rsid w:val="00A25FE7"/>
    <w:rsid w:val="00A302B2"/>
    <w:rsid w:val="00A34327"/>
    <w:rsid w:val="00A34CC9"/>
    <w:rsid w:val="00A34D32"/>
    <w:rsid w:val="00A360A0"/>
    <w:rsid w:val="00A432F8"/>
    <w:rsid w:val="00A43938"/>
    <w:rsid w:val="00A44D45"/>
    <w:rsid w:val="00A46622"/>
    <w:rsid w:val="00A46675"/>
    <w:rsid w:val="00A47A4F"/>
    <w:rsid w:val="00A50125"/>
    <w:rsid w:val="00A50966"/>
    <w:rsid w:val="00A53509"/>
    <w:rsid w:val="00A54B51"/>
    <w:rsid w:val="00A6519A"/>
    <w:rsid w:val="00A65898"/>
    <w:rsid w:val="00A66019"/>
    <w:rsid w:val="00A709B9"/>
    <w:rsid w:val="00A72CF8"/>
    <w:rsid w:val="00A75335"/>
    <w:rsid w:val="00A842C1"/>
    <w:rsid w:val="00A84D15"/>
    <w:rsid w:val="00A868FF"/>
    <w:rsid w:val="00A905AE"/>
    <w:rsid w:val="00A94BA3"/>
    <w:rsid w:val="00A9517C"/>
    <w:rsid w:val="00A97111"/>
    <w:rsid w:val="00AA5570"/>
    <w:rsid w:val="00AA7667"/>
    <w:rsid w:val="00AB39A4"/>
    <w:rsid w:val="00AB50B6"/>
    <w:rsid w:val="00AC3547"/>
    <w:rsid w:val="00AC3F4C"/>
    <w:rsid w:val="00AC4240"/>
    <w:rsid w:val="00AC49F4"/>
    <w:rsid w:val="00AE133A"/>
    <w:rsid w:val="00AE2177"/>
    <w:rsid w:val="00AE25BB"/>
    <w:rsid w:val="00AE3C78"/>
    <w:rsid w:val="00AE58BF"/>
    <w:rsid w:val="00AF01B0"/>
    <w:rsid w:val="00AF186F"/>
    <w:rsid w:val="00AF2967"/>
    <w:rsid w:val="00AF4B04"/>
    <w:rsid w:val="00AF4BA5"/>
    <w:rsid w:val="00AF6EC7"/>
    <w:rsid w:val="00B00246"/>
    <w:rsid w:val="00B03DB3"/>
    <w:rsid w:val="00B137FC"/>
    <w:rsid w:val="00B22970"/>
    <w:rsid w:val="00B23211"/>
    <w:rsid w:val="00B26769"/>
    <w:rsid w:val="00B321DA"/>
    <w:rsid w:val="00B340FF"/>
    <w:rsid w:val="00B34A3E"/>
    <w:rsid w:val="00B35A12"/>
    <w:rsid w:val="00B3680B"/>
    <w:rsid w:val="00B37AA5"/>
    <w:rsid w:val="00B4060F"/>
    <w:rsid w:val="00B4108F"/>
    <w:rsid w:val="00B4217F"/>
    <w:rsid w:val="00B438CD"/>
    <w:rsid w:val="00B45588"/>
    <w:rsid w:val="00B516A9"/>
    <w:rsid w:val="00B52700"/>
    <w:rsid w:val="00B544D2"/>
    <w:rsid w:val="00B55323"/>
    <w:rsid w:val="00B55944"/>
    <w:rsid w:val="00B60004"/>
    <w:rsid w:val="00B60CC0"/>
    <w:rsid w:val="00B60CF8"/>
    <w:rsid w:val="00B6314C"/>
    <w:rsid w:val="00B641C5"/>
    <w:rsid w:val="00B700EE"/>
    <w:rsid w:val="00B72901"/>
    <w:rsid w:val="00B734EF"/>
    <w:rsid w:val="00B74DA5"/>
    <w:rsid w:val="00B80D25"/>
    <w:rsid w:val="00B839C4"/>
    <w:rsid w:val="00B840DA"/>
    <w:rsid w:val="00B84BC2"/>
    <w:rsid w:val="00B91A04"/>
    <w:rsid w:val="00B92725"/>
    <w:rsid w:val="00B9372C"/>
    <w:rsid w:val="00BA710F"/>
    <w:rsid w:val="00BA74F2"/>
    <w:rsid w:val="00BB0DED"/>
    <w:rsid w:val="00BB1719"/>
    <w:rsid w:val="00BB4DFB"/>
    <w:rsid w:val="00BB5C3D"/>
    <w:rsid w:val="00BB66F1"/>
    <w:rsid w:val="00BC2F73"/>
    <w:rsid w:val="00BC32A3"/>
    <w:rsid w:val="00BC3F5C"/>
    <w:rsid w:val="00BC69A6"/>
    <w:rsid w:val="00BC7CFE"/>
    <w:rsid w:val="00BD3617"/>
    <w:rsid w:val="00BE2BDF"/>
    <w:rsid w:val="00BE3897"/>
    <w:rsid w:val="00BE6671"/>
    <w:rsid w:val="00BE6DBD"/>
    <w:rsid w:val="00BE7845"/>
    <w:rsid w:val="00BE7C9D"/>
    <w:rsid w:val="00BF00B0"/>
    <w:rsid w:val="00BF0422"/>
    <w:rsid w:val="00BF0A56"/>
    <w:rsid w:val="00BF3628"/>
    <w:rsid w:val="00C05721"/>
    <w:rsid w:val="00C05CF6"/>
    <w:rsid w:val="00C07961"/>
    <w:rsid w:val="00C10411"/>
    <w:rsid w:val="00C10E7B"/>
    <w:rsid w:val="00C12645"/>
    <w:rsid w:val="00C179C9"/>
    <w:rsid w:val="00C2133F"/>
    <w:rsid w:val="00C22C56"/>
    <w:rsid w:val="00C23CAC"/>
    <w:rsid w:val="00C27FA6"/>
    <w:rsid w:val="00C30F08"/>
    <w:rsid w:val="00C33357"/>
    <w:rsid w:val="00C34D41"/>
    <w:rsid w:val="00C37DE6"/>
    <w:rsid w:val="00C37E8E"/>
    <w:rsid w:val="00C405F0"/>
    <w:rsid w:val="00C411E9"/>
    <w:rsid w:val="00C41613"/>
    <w:rsid w:val="00C41CEE"/>
    <w:rsid w:val="00C45B3B"/>
    <w:rsid w:val="00C46ECA"/>
    <w:rsid w:val="00C47007"/>
    <w:rsid w:val="00C521B6"/>
    <w:rsid w:val="00C543B7"/>
    <w:rsid w:val="00C5474F"/>
    <w:rsid w:val="00C54C73"/>
    <w:rsid w:val="00C55B19"/>
    <w:rsid w:val="00C561DD"/>
    <w:rsid w:val="00C56241"/>
    <w:rsid w:val="00C62C49"/>
    <w:rsid w:val="00C62CEC"/>
    <w:rsid w:val="00C64357"/>
    <w:rsid w:val="00C65182"/>
    <w:rsid w:val="00C6582D"/>
    <w:rsid w:val="00C66A26"/>
    <w:rsid w:val="00C70C2A"/>
    <w:rsid w:val="00C730E3"/>
    <w:rsid w:val="00C75147"/>
    <w:rsid w:val="00C80F5B"/>
    <w:rsid w:val="00C80F98"/>
    <w:rsid w:val="00C8186C"/>
    <w:rsid w:val="00C81C5D"/>
    <w:rsid w:val="00C82027"/>
    <w:rsid w:val="00C8603B"/>
    <w:rsid w:val="00C927E0"/>
    <w:rsid w:val="00C97382"/>
    <w:rsid w:val="00CA454E"/>
    <w:rsid w:val="00CA7999"/>
    <w:rsid w:val="00CB091B"/>
    <w:rsid w:val="00CB2D75"/>
    <w:rsid w:val="00CB56B2"/>
    <w:rsid w:val="00CB7B8C"/>
    <w:rsid w:val="00CC392E"/>
    <w:rsid w:val="00CC3DCA"/>
    <w:rsid w:val="00CC7052"/>
    <w:rsid w:val="00CC77D7"/>
    <w:rsid w:val="00CD2E75"/>
    <w:rsid w:val="00CD6B06"/>
    <w:rsid w:val="00CE0367"/>
    <w:rsid w:val="00CE1C7C"/>
    <w:rsid w:val="00CE4305"/>
    <w:rsid w:val="00CE57AC"/>
    <w:rsid w:val="00CF02F3"/>
    <w:rsid w:val="00CF1DF3"/>
    <w:rsid w:val="00CF32CB"/>
    <w:rsid w:val="00CF4BE9"/>
    <w:rsid w:val="00CF7B4F"/>
    <w:rsid w:val="00CF7D4A"/>
    <w:rsid w:val="00D00413"/>
    <w:rsid w:val="00D07DEE"/>
    <w:rsid w:val="00D12488"/>
    <w:rsid w:val="00D14CA9"/>
    <w:rsid w:val="00D16687"/>
    <w:rsid w:val="00D17950"/>
    <w:rsid w:val="00D22648"/>
    <w:rsid w:val="00D22DEC"/>
    <w:rsid w:val="00D24828"/>
    <w:rsid w:val="00D2687C"/>
    <w:rsid w:val="00D31585"/>
    <w:rsid w:val="00D34BE2"/>
    <w:rsid w:val="00D4125B"/>
    <w:rsid w:val="00D4214C"/>
    <w:rsid w:val="00D46DD6"/>
    <w:rsid w:val="00D46E13"/>
    <w:rsid w:val="00D47AF1"/>
    <w:rsid w:val="00D506F0"/>
    <w:rsid w:val="00D507EE"/>
    <w:rsid w:val="00D51767"/>
    <w:rsid w:val="00D5226D"/>
    <w:rsid w:val="00D52271"/>
    <w:rsid w:val="00D5572E"/>
    <w:rsid w:val="00D57D94"/>
    <w:rsid w:val="00D605D2"/>
    <w:rsid w:val="00D61282"/>
    <w:rsid w:val="00D6303F"/>
    <w:rsid w:val="00D647B7"/>
    <w:rsid w:val="00D66EB1"/>
    <w:rsid w:val="00D70653"/>
    <w:rsid w:val="00D7091B"/>
    <w:rsid w:val="00D73B8E"/>
    <w:rsid w:val="00D73BA8"/>
    <w:rsid w:val="00D74F28"/>
    <w:rsid w:val="00D74FE6"/>
    <w:rsid w:val="00D7716B"/>
    <w:rsid w:val="00D81254"/>
    <w:rsid w:val="00D84CCB"/>
    <w:rsid w:val="00D856E7"/>
    <w:rsid w:val="00D86859"/>
    <w:rsid w:val="00D86AC8"/>
    <w:rsid w:val="00D87D5F"/>
    <w:rsid w:val="00D900C6"/>
    <w:rsid w:val="00D910A8"/>
    <w:rsid w:val="00D915E6"/>
    <w:rsid w:val="00D96BF0"/>
    <w:rsid w:val="00DA02F4"/>
    <w:rsid w:val="00DA53BB"/>
    <w:rsid w:val="00DA7953"/>
    <w:rsid w:val="00DB0B6E"/>
    <w:rsid w:val="00DB0E68"/>
    <w:rsid w:val="00DB596A"/>
    <w:rsid w:val="00DB5C8A"/>
    <w:rsid w:val="00DB5E0E"/>
    <w:rsid w:val="00DC22B4"/>
    <w:rsid w:val="00DC22FB"/>
    <w:rsid w:val="00DC357C"/>
    <w:rsid w:val="00DC563C"/>
    <w:rsid w:val="00DC5E5C"/>
    <w:rsid w:val="00DC5EB9"/>
    <w:rsid w:val="00DC62E0"/>
    <w:rsid w:val="00DC7297"/>
    <w:rsid w:val="00DD22E3"/>
    <w:rsid w:val="00DD3401"/>
    <w:rsid w:val="00DD3A5B"/>
    <w:rsid w:val="00DD3EA3"/>
    <w:rsid w:val="00DD7120"/>
    <w:rsid w:val="00DD79AB"/>
    <w:rsid w:val="00DD7AAE"/>
    <w:rsid w:val="00DD7CE2"/>
    <w:rsid w:val="00DE0D8B"/>
    <w:rsid w:val="00DE16C6"/>
    <w:rsid w:val="00DE442D"/>
    <w:rsid w:val="00DE4C6B"/>
    <w:rsid w:val="00DE4E74"/>
    <w:rsid w:val="00DE54B7"/>
    <w:rsid w:val="00DE6B55"/>
    <w:rsid w:val="00DF0D77"/>
    <w:rsid w:val="00DF1560"/>
    <w:rsid w:val="00DF4023"/>
    <w:rsid w:val="00DF48D9"/>
    <w:rsid w:val="00E01384"/>
    <w:rsid w:val="00E02673"/>
    <w:rsid w:val="00E041BA"/>
    <w:rsid w:val="00E043D4"/>
    <w:rsid w:val="00E0550D"/>
    <w:rsid w:val="00E0573A"/>
    <w:rsid w:val="00E057BD"/>
    <w:rsid w:val="00E0711E"/>
    <w:rsid w:val="00E074B9"/>
    <w:rsid w:val="00E108AE"/>
    <w:rsid w:val="00E130A8"/>
    <w:rsid w:val="00E1534E"/>
    <w:rsid w:val="00E15E94"/>
    <w:rsid w:val="00E23133"/>
    <w:rsid w:val="00E239D2"/>
    <w:rsid w:val="00E2422D"/>
    <w:rsid w:val="00E252F3"/>
    <w:rsid w:val="00E26C17"/>
    <w:rsid w:val="00E33480"/>
    <w:rsid w:val="00E35FA6"/>
    <w:rsid w:val="00E36C2B"/>
    <w:rsid w:val="00E44BA2"/>
    <w:rsid w:val="00E4535E"/>
    <w:rsid w:val="00E50CBD"/>
    <w:rsid w:val="00E51872"/>
    <w:rsid w:val="00E5234E"/>
    <w:rsid w:val="00E53725"/>
    <w:rsid w:val="00E53E8E"/>
    <w:rsid w:val="00E5599D"/>
    <w:rsid w:val="00E5659F"/>
    <w:rsid w:val="00E56649"/>
    <w:rsid w:val="00E5715A"/>
    <w:rsid w:val="00E60326"/>
    <w:rsid w:val="00E60F94"/>
    <w:rsid w:val="00E61CCD"/>
    <w:rsid w:val="00E63A4C"/>
    <w:rsid w:val="00E66E20"/>
    <w:rsid w:val="00E734A0"/>
    <w:rsid w:val="00E74527"/>
    <w:rsid w:val="00E74906"/>
    <w:rsid w:val="00E768E1"/>
    <w:rsid w:val="00E8313B"/>
    <w:rsid w:val="00E94A08"/>
    <w:rsid w:val="00E9642A"/>
    <w:rsid w:val="00EA10D8"/>
    <w:rsid w:val="00EA1821"/>
    <w:rsid w:val="00EA4EE9"/>
    <w:rsid w:val="00EB34FD"/>
    <w:rsid w:val="00EB3E36"/>
    <w:rsid w:val="00EB47C8"/>
    <w:rsid w:val="00EB52D8"/>
    <w:rsid w:val="00EB57FE"/>
    <w:rsid w:val="00EB6015"/>
    <w:rsid w:val="00EB6388"/>
    <w:rsid w:val="00EB6BD8"/>
    <w:rsid w:val="00EB758A"/>
    <w:rsid w:val="00EC096B"/>
    <w:rsid w:val="00EC330E"/>
    <w:rsid w:val="00EC52CA"/>
    <w:rsid w:val="00EC58A5"/>
    <w:rsid w:val="00EC68F5"/>
    <w:rsid w:val="00EC72DB"/>
    <w:rsid w:val="00EC739A"/>
    <w:rsid w:val="00ED1E61"/>
    <w:rsid w:val="00ED23E3"/>
    <w:rsid w:val="00ED5705"/>
    <w:rsid w:val="00ED7FB0"/>
    <w:rsid w:val="00EE3345"/>
    <w:rsid w:val="00EE428A"/>
    <w:rsid w:val="00EE5537"/>
    <w:rsid w:val="00EF10EF"/>
    <w:rsid w:val="00EF26F2"/>
    <w:rsid w:val="00EF28FD"/>
    <w:rsid w:val="00EF3134"/>
    <w:rsid w:val="00EF44AC"/>
    <w:rsid w:val="00EF63BF"/>
    <w:rsid w:val="00EF77D5"/>
    <w:rsid w:val="00F022A8"/>
    <w:rsid w:val="00F057A4"/>
    <w:rsid w:val="00F1101E"/>
    <w:rsid w:val="00F11B2E"/>
    <w:rsid w:val="00F1283C"/>
    <w:rsid w:val="00F16E5A"/>
    <w:rsid w:val="00F20F6A"/>
    <w:rsid w:val="00F22368"/>
    <w:rsid w:val="00F2545A"/>
    <w:rsid w:val="00F25760"/>
    <w:rsid w:val="00F42E4B"/>
    <w:rsid w:val="00F55844"/>
    <w:rsid w:val="00F60AF3"/>
    <w:rsid w:val="00F629DB"/>
    <w:rsid w:val="00F6373B"/>
    <w:rsid w:val="00F72292"/>
    <w:rsid w:val="00F73887"/>
    <w:rsid w:val="00F75160"/>
    <w:rsid w:val="00F83E0E"/>
    <w:rsid w:val="00F85272"/>
    <w:rsid w:val="00F87A1A"/>
    <w:rsid w:val="00F90C75"/>
    <w:rsid w:val="00F91A46"/>
    <w:rsid w:val="00F9433A"/>
    <w:rsid w:val="00F94C64"/>
    <w:rsid w:val="00F97C4C"/>
    <w:rsid w:val="00FA020B"/>
    <w:rsid w:val="00FA30A2"/>
    <w:rsid w:val="00FA34DE"/>
    <w:rsid w:val="00FA5716"/>
    <w:rsid w:val="00FA7A4A"/>
    <w:rsid w:val="00FB6438"/>
    <w:rsid w:val="00FC7738"/>
    <w:rsid w:val="00FC7B58"/>
    <w:rsid w:val="00FD35B1"/>
    <w:rsid w:val="00FD5819"/>
    <w:rsid w:val="00FE0B1B"/>
    <w:rsid w:val="00FE13EA"/>
    <w:rsid w:val="00FE429A"/>
    <w:rsid w:val="00FF1A13"/>
    <w:rsid w:val="00FF4177"/>
    <w:rsid w:val="00FF4C89"/>
    <w:rsid w:val="00FF6A67"/>
    <w:rsid w:val="00FF7030"/>
    <w:rsid w:val="00FF7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1398F29-453A-4C4E-B05D-B22B93492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10E"/>
  </w:style>
  <w:style w:type="paragraph" w:styleId="Heading1">
    <w:name w:val="heading 1"/>
    <w:basedOn w:val="Normal"/>
    <w:next w:val="Normal"/>
    <w:link w:val="Heading1Char"/>
    <w:uiPriority w:val="9"/>
    <w:qFormat/>
    <w:rsid w:val="00C30F08"/>
    <w:pPr>
      <w:numPr>
        <w:numId w:val="2"/>
      </w:numPr>
      <w:pBdr>
        <w:bottom w:val="single" w:sz="4" w:space="1" w:color="672080" w:themeColor="text1"/>
      </w:pBdr>
      <w:spacing w:before="480" w:after="0"/>
      <w:contextualSpacing/>
      <w:outlineLvl w:val="0"/>
    </w:pPr>
    <w:rPr>
      <w:rFonts w:asciiTheme="majorHAnsi" w:eastAsiaTheme="majorEastAsia" w:hAnsiTheme="majorHAnsi" w:cstheme="majorBidi"/>
      <w:bCs/>
      <w:caps/>
      <w:color w:val="672080" w:themeColor="text1"/>
      <w:sz w:val="48"/>
      <w:szCs w:val="28"/>
    </w:rPr>
  </w:style>
  <w:style w:type="paragraph" w:styleId="Heading2">
    <w:name w:val="heading 2"/>
    <w:basedOn w:val="Normal"/>
    <w:next w:val="Normal"/>
    <w:link w:val="Heading2Char"/>
    <w:uiPriority w:val="9"/>
    <w:unhideWhenUsed/>
    <w:qFormat/>
    <w:rsid w:val="00C30F08"/>
    <w:pPr>
      <w:numPr>
        <w:ilvl w:val="1"/>
        <w:numId w:val="2"/>
      </w:numPr>
      <w:spacing w:before="360" w:after="120"/>
      <w:outlineLvl w:val="1"/>
    </w:pPr>
    <w:rPr>
      <w:rFonts w:asciiTheme="majorHAnsi" w:eastAsiaTheme="majorEastAsia" w:hAnsiTheme="majorHAnsi" w:cstheme="majorBidi"/>
      <w:b/>
      <w:bCs/>
      <w:color w:val="7F4A94"/>
      <w:sz w:val="36"/>
      <w:szCs w:val="36"/>
    </w:rPr>
  </w:style>
  <w:style w:type="paragraph" w:styleId="Heading3">
    <w:name w:val="heading 3"/>
    <w:basedOn w:val="Normal"/>
    <w:next w:val="Normal"/>
    <w:link w:val="Heading3Char"/>
    <w:uiPriority w:val="9"/>
    <w:unhideWhenUsed/>
    <w:qFormat/>
    <w:rsid w:val="00C30F08"/>
    <w:pPr>
      <w:numPr>
        <w:ilvl w:val="2"/>
        <w:numId w:val="2"/>
      </w:numPr>
      <w:spacing w:after="240"/>
      <w:outlineLvl w:val="2"/>
    </w:pPr>
    <w:rPr>
      <w:rFonts w:asciiTheme="majorHAnsi" w:eastAsiaTheme="majorEastAsia" w:hAnsiTheme="majorHAnsi" w:cstheme="majorBidi"/>
      <w:bCs/>
      <w:color w:val="4D4D4D"/>
    </w:rPr>
  </w:style>
  <w:style w:type="paragraph" w:styleId="Heading4">
    <w:name w:val="heading 4"/>
    <w:basedOn w:val="Normal"/>
    <w:next w:val="Normal"/>
    <w:link w:val="Heading4Char"/>
    <w:uiPriority w:val="9"/>
    <w:unhideWhenUsed/>
    <w:qFormat/>
    <w:rsid w:val="0038010E"/>
    <w:pPr>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8010E"/>
    <w:pPr>
      <w:numPr>
        <w:ilvl w:val="4"/>
        <w:numId w:val="2"/>
      </w:numPr>
      <w:spacing w:before="200" w:after="0"/>
      <w:outlineLvl w:val="4"/>
    </w:pPr>
    <w:rPr>
      <w:rFonts w:asciiTheme="majorHAnsi" w:eastAsiaTheme="majorEastAsia" w:hAnsiTheme="majorHAnsi" w:cstheme="majorBidi"/>
      <w:b/>
      <w:bCs/>
      <w:color w:val="C072DB" w:themeColor="text1" w:themeTint="80"/>
    </w:rPr>
  </w:style>
  <w:style w:type="paragraph" w:styleId="Heading6">
    <w:name w:val="heading 6"/>
    <w:basedOn w:val="Normal"/>
    <w:next w:val="Normal"/>
    <w:link w:val="Heading6Char"/>
    <w:uiPriority w:val="9"/>
    <w:semiHidden/>
    <w:unhideWhenUsed/>
    <w:qFormat/>
    <w:rsid w:val="0038010E"/>
    <w:pPr>
      <w:numPr>
        <w:ilvl w:val="5"/>
        <w:numId w:val="2"/>
      </w:numPr>
      <w:spacing w:after="0" w:line="271" w:lineRule="auto"/>
      <w:outlineLvl w:val="5"/>
    </w:pPr>
    <w:rPr>
      <w:rFonts w:asciiTheme="majorHAnsi" w:eastAsiaTheme="majorEastAsia" w:hAnsiTheme="majorHAnsi" w:cstheme="majorBidi"/>
      <w:b/>
      <w:bCs/>
      <w:i/>
      <w:iCs/>
      <w:color w:val="C072DB" w:themeColor="text1" w:themeTint="80"/>
    </w:rPr>
  </w:style>
  <w:style w:type="paragraph" w:styleId="Heading7">
    <w:name w:val="heading 7"/>
    <w:basedOn w:val="Normal"/>
    <w:next w:val="Normal"/>
    <w:link w:val="Heading7Char"/>
    <w:uiPriority w:val="9"/>
    <w:semiHidden/>
    <w:unhideWhenUsed/>
    <w:qFormat/>
    <w:rsid w:val="0038010E"/>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8010E"/>
    <w:pPr>
      <w:numPr>
        <w:ilvl w:val="7"/>
        <w:numId w:val="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8010E"/>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08"/>
    <w:rPr>
      <w:rFonts w:asciiTheme="majorHAnsi" w:eastAsiaTheme="majorEastAsia" w:hAnsiTheme="majorHAnsi" w:cstheme="majorBidi"/>
      <w:bCs/>
      <w:caps/>
      <w:color w:val="672080" w:themeColor="text1"/>
      <w:sz w:val="48"/>
      <w:szCs w:val="28"/>
    </w:rPr>
  </w:style>
  <w:style w:type="character" w:customStyle="1" w:styleId="Heading2Char">
    <w:name w:val="Heading 2 Char"/>
    <w:basedOn w:val="DefaultParagraphFont"/>
    <w:link w:val="Heading2"/>
    <w:uiPriority w:val="9"/>
    <w:rsid w:val="00C30F08"/>
    <w:rPr>
      <w:rFonts w:asciiTheme="majorHAnsi" w:eastAsiaTheme="majorEastAsia" w:hAnsiTheme="majorHAnsi" w:cstheme="majorBidi"/>
      <w:b/>
      <w:bCs/>
      <w:color w:val="7F4A94"/>
      <w:sz w:val="36"/>
      <w:szCs w:val="36"/>
    </w:rPr>
  </w:style>
  <w:style w:type="character" w:customStyle="1" w:styleId="Heading3Char">
    <w:name w:val="Heading 3 Char"/>
    <w:basedOn w:val="DefaultParagraphFont"/>
    <w:link w:val="Heading3"/>
    <w:uiPriority w:val="9"/>
    <w:rsid w:val="00C30F08"/>
    <w:rPr>
      <w:rFonts w:asciiTheme="majorHAnsi" w:eastAsiaTheme="majorEastAsia" w:hAnsiTheme="majorHAnsi" w:cstheme="majorBidi"/>
      <w:bCs/>
      <w:color w:val="4D4D4D"/>
    </w:rPr>
  </w:style>
  <w:style w:type="character" w:customStyle="1" w:styleId="Heading4Char">
    <w:name w:val="Heading 4 Char"/>
    <w:basedOn w:val="DefaultParagraphFont"/>
    <w:link w:val="Heading4"/>
    <w:uiPriority w:val="9"/>
    <w:rsid w:val="0038010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8010E"/>
    <w:rPr>
      <w:rFonts w:asciiTheme="majorHAnsi" w:eastAsiaTheme="majorEastAsia" w:hAnsiTheme="majorHAnsi" w:cstheme="majorBidi"/>
      <w:b/>
      <w:bCs/>
      <w:color w:val="C072DB" w:themeColor="text1" w:themeTint="80"/>
    </w:rPr>
  </w:style>
  <w:style w:type="character" w:customStyle="1" w:styleId="Heading6Char">
    <w:name w:val="Heading 6 Char"/>
    <w:basedOn w:val="DefaultParagraphFont"/>
    <w:link w:val="Heading6"/>
    <w:uiPriority w:val="9"/>
    <w:semiHidden/>
    <w:rsid w:val="0038010E"/>
    <w:rPr>
      <w:rFonts w:asciiTheme="majorHAnsi" w:eastAsiaTheme="majorEastAsia" w:hAnsiTheme="majorHAnsi" w:cstheme="majorBidi"/>
      <w:b/>
      <w:bCs/>
      <w:i/>
      <w:iCs/>
      <w:color w:val="C072DB" w:themeColor="text1" w:themeTint="80"/>
    </w:rPr>
  </w:style>
  <w:style w:type="character" w:customStyle="1" w:styleId="Heading7Char">
    <w:name w:val="Heading 7 Char"/>
    <w:basedOn w:val="DefaultParagraphFont"/>
    <w:link w:val="Heading7"/>
    <w:uiPriority w:val="9"/>
    <w:semiHidden/>
    <w:rsid w:val="003801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801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8010E"/>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3801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8010E"/>
    <w:rPr>
      <w:rFonts w:asciiTheme="majorHAnsi" w:eastAsiaTheme="majorEastAsia" w:hAnsiTheme="majorHAnsi" w:cstheme="majorBidi"/>
      <w:i/>
      <w:iCs/>
      <w:spacing w:val="13"/>
      <w:sz w:val="24"/>
      <w:szCs w:val="24"/>
    </w:rPr>
  </w:style>
  <w:style w:type="paragraph" w:styleId="Title">
    <w:name w:val="Title"/>
    <w:aliases w:val="Description"/>
    <w:basedOn w:val="Normal"/>
    <w:next w:val="Normal"/>
    <w:link w:val="TitleChar"/>
    <w:uiPriority w:val="10"/>
    <w:qFormat/>
    <w:rsid w:val="003801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aliases w:val="Description Char"/>
    <w:basedOn w:val="DefaultParagraphFont"/>
    <w:link w:val="Title"/>
    <w:uiPriority w:val="10"/>
    <w:rsid w:val="0038010E"/>
    <w:rPr>
      <w:rFonts w:asciiTheme="majorHAnsi" w:eastAsiaTheme="majorEastAsia" w:hAnsiTheme="majorHAnsi" w:cstheme="majorBidi"/>
      <w:spacing w:val="5"/>
      <w:sz w:val="52"/>
      <w:szCs w:val="52"/>
    </w:rPr>
  </w:style>
  <w:style w:type="paragraph" w:customStyle="1" w:styleId="Credit12ptbook">
    <w:name w:val="Credit 12pt book"/>
    <w:basedOn w:val="Normal"/>
    <w:rsid w:val="00A2071D"/>
    <w:rPr>
      <w:color w:val="8E8D82"/>
      <w:szCs w:val="28"/>
    </w:rPr>
  </w:style>
  <w:style w:type="paragraph" w:customStyle="1" w:styleId="Bodytext14ptbook">
    <w:name w:val="Body text 14pt book"/>
    <w:basedOn w:val="Normal"/>
    <w:rsid w:val="00A2071D"/>
    <w:rPr>
      <w:color w:val="58574B"/>
      <w:sz w:val="28"/>
      <w:szCs w:val="28"/>
    </w:rPr>
  </w:style>
  <w:style w:type="paragraph" w:customStyle="1" w:styleId="Title16ptmedium">
    <w:name w:val="Title 16pt medium"/>
    <w:basedOn w:val="Normal"/>
    <w:rsid w:val="00A2071D"/>
    <w:rPr>
      <w:rFonts w:ascii="Futura Md BT" w:hAnsi="Futura Md BT"/>
      <w:color w:val="58574B"/>
      <w:sz w:val="36"/>
    </w:rPr>
  </w:style>
  <w:style w:type="paragraph" w:customStyle="1" w:styleId="NHSAddress">
    <w:name w:val="NHS Address"/>
    <w:basedOn w:val="Normal"/>
    <w:rsid w:val="00AA5570"/>
    <w:pPr>
      <w:jc w:val="right"/>
    </w:pPr>
    <w:rPr>
      <w:rFonts w:cs="Arial"/>
      <w:sz w:val="18"/>
      <w:szCs w:val="18"/>
    </w:rPr>
  </w:style>
  <w:style w:type="paragraph" w:customStyle="1" w:styleId="checklist">
    <w:name w:val="check list"/>
    <w:basedOn w:val="ListParagraph"/>
    <w:rsid w:val="002A6F4E"/>
    <w:pPr>
      <w:numPr>
        <w:numId w:val="1"/>
      </w:numPr>
      <w:spacing w:after="120"/>
      <w:contextualSpacing w:val="0"/>
    </w:pPr>
  </w:style>
  <w:style w:type="paragraph" w:styleId="ListParagraph">
    <w:name w:val="List Paragraph"/>
    <w:basedOn w:val="Normal"/>
    <w:uiPriority w:val="34"/>
    <w:qFormat/>
    <w:rsid w:val="0038010E"/>
    <w:pPr>
      <w:ind w:left="720"/>
      <w:contextualSpacing/>
    </w:pPr>
  </w:style>
  <w:style w:type="paragraph" w:customStyle="1" w:styleId="strapline">
    <w:name w:val="strapline"/>
    <w:basedOn w:val="Normal"/>
    <w:rsid w:val="002A6F4E"/>
    <w:pPr>
      <w:spacing w:after="0" w:line="240" w:lineRule="auto"/>
      <w:jc w:val="center"/>
    </w:pPr>
    <w:rPr>
      <w:b/>
      <w:i/>
      <w:color w:val="FFFFFF" w:themeColor="background1"/>
      <w:sz w:val="28"/>
    </w:rPr>
  </w:style>
  <w:style w:type="character" w:styleId="Strong">
    <w:name w:val="Strong"/>
    <w:uiPriority w:val="22"/>
    <w:qFormat/>
    <w:rsid w:val="0038010E"/>
    <w:rPr>
      <w:b/>
      <w:bCs/>
    </w:rPr>
  </w:style>
  <w:style w:type="character" w:styleId="Emphasis">
    <w:name w:val="Emphasis"/>
    <w:uiPriority w:val="20"/>
    <w:qFormat/>
    <w:rsid w:val="0038010E"/>
    <w:rPr>
      <w:b/>
      <w:bCs/>
      <w:i/>
      <w:iCs/>
      <w:spacing w:val="10"/>
      <w:bdr w:val="none" w:sz="0" w:space="0" w:color="auto"/>
      <w:shd w:val="clear" w:color="auto" w:fill="auto"/>
    </w:rPr>
  </w:style>
  <w:style w:type="paragraph" w:styleId="NoSpacing">
    <w:name w:val="No Spacing"/>
    <w:basedOn w:val="Normal"/>
    <w:uiPriority w:val="1"/>
    <w:qFormat/>
    <w:rsid w:val="0038010E"/>
    <w:pPr>
      <w:spacing w:after="0" w:line="240" w:lineRule="auto"/>
    </w:pPr>
  </w:style>
  <w:style w:type="paragraph" w:styleId="Quote">
    <w:name w:val="Quote"/>
    <w:basedOn w:val="Normal"/>
    <w:next w:val="Normal"/>
    <w:link w:val="QuoteChar"/>
    <w:uiPriority w:val="29"/>
    <w:qFormat/>
    <w:rsid w:val="0038010E"/>
    <w:pPr>
      <w:spacing w:before="200" w:after="0"/>
      <w:ind w:left="360" w:right="360"/>
    </w:pPr>
    <w:rPr>
      <w:i/>
      <w:iCs/>
    </w:rPr>
  </w:style>
  <w:style w:type="character" w:customStyle="1" w:styleId="QuoteChar">
    <w:name w:val="Quote Char"/>
    <w:basedOn w:val="DefaultParagraphFont"/>
    <w:link w:val="Quote"/>
    <w:uiPriority w:val="29"/>
    <w:rsid w:val="0038010E"/>
    <w:rPr>
      <w:i/>
      <w:iCs/>
    </w:rPr>
  </w:style>
  <w:style w:type="paragraph" w:styleId="IntenseQuote">
    <w:name w:val="Intense Quote"/>
    <w:basedOn w:val="Normal"/>
    <w:next w:val="Normal"/>
    <w:link w:val="IntenseQuoteChar"/>
    <w:uiPriority w:val="30"/>
    <w:qFormat/>
    <w:rsid w:val="003801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010E"/>
    <w:rPr>
      <w:b/>
      <w:bCs/>
      <w:i/>
      <w:iCs/>
    </w:rPr>
  </w:style>
  <w:style w:type="character" w:styleId="SubtleEmphasis">
    <w:name w:val="Subtle Emphasis"/>
    <w:uiPriority w:val="19"/>
    <w:qFormat/>
    <w:rsid w:val="0038010E"/>
    <w:rPr>
      <w:i/>
      <w:iCs/>
    </w:rPr>
  </w:style>
  <w:style w:type="character" w:styleId="IntenseEmphasis">
    <w:name w:val="Intense Emphasis"/>
    <w:uiPriority w:val="21"/>
    <w:qFormat/>
    <w:rsid w:val="0038010E"/>
    <w:rPr>
      <w:b/>
      <w:bCs/>
    </w:rPr>
  </w:style>
  <w:style w:type="character" w:styleId="SubtleReference">
    <w:name w:val="Subtle Reference"/>
    <w:uiPriority w:val="31"/>
    <w:qFormat/>
    <w:rsid w:val="0038010E"/>
    <w:rPr>
      <w:smallCaps/>
    </w:rPr>
  </w:style>
  <w:style w:type="character" w:styleId="IntenseReference">
    <w:name w:val="Intense Reference"/>
    <w:uiPriority w:val="32"/>
    <w:qFormat/>
    <w:rsid w:val="0038010E"/>
    <w:rPr>
      <w:smallCaps/>
      <w:spacing w:val="5"/>
      <w:u w:val="single"/>
    </w:rPr>
  </w:style>
  <w:style w:type="character" w:styleId="BookTitle">
    <w:name w:val="Book Title"/>
    <w:uiPriority w:val="33"/>
    <w:qFormat/>
    <w:rsid w:val="0038010E"/>
    <w:rPr>
      <w:i/>
      <w:iCs/>
      <w:smallCaps/>
      <w:spacing w:val="5"/>
    </w:rPr>
  </w:style>
  <w:style w:type="paragraph" w:styleId="TOCHeading">
    <w:name w:val="TOC Heading"/>
    <w:basedOn w:val="Heading1"/>
    <w:next w:val="Normal"/>
    <w:uiPriority w:val="39"/>
    <w:semiHidden/>
    <w:unhideWhenUsed/>
    <w:qFormat/>
    <w:rsid w:val="0038010E"/>
    <w:pPr>
      <w:outlineLvl w:val="9"/>
    </w:pPr>
  </w:style>
  <w:style w:type="paragraph" w:styleId="Header">
    <w:name w:val="header"/>
    <w:basedOn w:val="Normal"/>
    <w:link w:val="HeaderChar"/>
    <w:uiPriority w:val="99"/>
    <w:semiHidden/>
    <w:unhideWhenUsed/>
    <w:rsid w:val="003801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010E"/>
  </w:style>
  <w:style w:type="paragraph" w:styleId="Footer">
    <w:name w:val="footer"/>
    <w:basedOn w:val="Normal"/>
    <w:link w:val="FooterChar"/>
    <w:uiPriority w:val="99"/>
    <w:unhideWhenUsed/>
    <w:rsid w:val="00380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10E"/>
  </w:style>
  <w:style w:type="paragraph" w:styleId="BalloonText">
    <w:name w:val="Balloon Text"/>
    <w:basedOn w:val="Normal"/>
    <w:link w:val="BalloonTextChar"/>
    <w:uiPriority w:val="99"/>
    <w:semiHidden/>
    <w:unhideWhenUsed/>
    <w:rsid w:val="0049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92D"/>
    <w:rPr>
      <w:rFonts w:ascii="Tahoma" w:hAnsi="Tahoma" w:cs="Tahoma"/>
      <w:sz w:val="16"/>
      <w:szCs w:val="16"/>
    </w:rPr>
  </w:style>
  <w:style w:type="table" w:styleId="TableGrid">
    <w:name w:val="Table Grid"/>
    <w:basedOn w:val="TableNormal"/>
    <w:uiPriority w:val="59"/>
    <w:rsid w:val="00494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title">
    <w:name w:val="Heading 3 title"/>
    <w:basedOn w:val="Normal"/>
    <w:qFormat/>
    <w:rsid w:val="007A0999"/>
    <w:pPr>
      <w:spacing w:after="0"/>
    </w:pPr>
    <w:rPr>
      <w:b/>
      <w:color w:val="A16EB6"/>
      <w:sz w:val="26"/>
      <w:szCs w:val="26"/>
    </w:rPr>
  </w:style>
  <w:style w:type="paragraph" w:customStyle="1" w:styleId="Calloutboxheading">
    <w:name w:val="Call out box heading"/>
    <w:basedOn w:val="Normal"/>
    <w:qFormat/>
    <w:rsid w:val="00C30F08"/>
    <w:pPr>
      <w:spacing w:after="120" w:line="240" w:lineRule="auto"/>
    </w:pPr>
    <w:rPr>
      <w:b/>
      <w:color w:val="672080" w:themeColor="text1"/>
      <w:sz w:val="32"/>
      <w:szCs w:val="32"/>
    </w:rPr>
  </w:style>
  <w:style w:type="paragraph" w:customStyle="1" w:styleId="paragraphtext">
    <w:name w:val="paragraph text"/>
    <w:basedOn w:val="Normal"/>
    <w:qFormat/>
    <w:rsid w:val="00C30F08"/>
    <w:pPr>
      <w:spacing w:after="0" w:line="240" w:lineRule="auto"/>
    </w:pPr>
    <w:rPr>
      <w:color w:val="4D4D4D"/>
    </w:rPr>
  </w:style>
  <w:style w:type="paragraph" w:customStyle="1" w:styleId="tabletitles">
    <w:name w:val="table titles"/>
    <w:basedOn w:val="Normal"/>
    <w:qFormat/>
    <w:rsid w:val="00C30F08"/>
    <w:pPr>
      <w:spacing w:after="0" w:line="240" w:lineRule="auto"/>
    </w:pPr>
    <w:rPr>
      <w:b/>
      <w:color w:val="672080" w:themeColor="text1"/>
    </w:rPr>
  </w:style>
  <w:style w:type="table" w:customStyle="1" w:styleId="calloutbox">
    <w:name w:val="call out box"/>
    <w:basedOn w:val="TableNormal"/>
    <w:uiPriority w:val="99"/>
    <w:qFormat/>
    <w:rsid w:val="006360E9"/>
    <w:pPr>
      <w:spacing w:after="0" w:line="240" w:lineRule="auto"/>
    </w:pPr>
    <w:rPr>
      <w:color w:val="4D4D4D"/>
    </w:rPr>
    <w:tblPr>
      <w:tblCellMar>
        <w:top w:w="170" w:type="dxa"/>
        <w:left w:w="170" w:type="dxa"/>
        <w:bottom w:w="170" w:type="dxa"/>
        <w:right w:w="170" w:type="dxa"/>
      </w:tblCellMar>
    </w:tblPr>
    <w:tcPr>
      <w:shd w:val="clear" w:color="auto" w:fill="DCD0E8"/>
    </w:tcPr>
  </w:style>
  <w:style w:type="table" w:customStyle="1" w:styleId="Style1">
    <w:name w:val="Style1"/>
    <w:basedOn w:val="TableNormal"/>
    <w:uiPriority w:val="99"/>
    <w:qFormat/>
    <w:rsid w:val="00192802"/>
    <w:pPr>
      <w:spacing w:after="0" w:line="240" w:lineRule="auto"/>
    </w:pPr>
    <w:rPr>
      <w:color w:val="4D4D4D"/>
    </w:rPr>
    <w:tblP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top w:w="113" w:type="dxa"/>
        <w:bottom w:w="113" w:type="dxa"/>
      </w:tblCellMar>
    </w:tblPr>
    <w:tblStylePr w:type="firstRow">
      <w:rPr>
        <w:rFonts w:asciiTheme="minorHAnsi" w:hAnsiTheme="minorHAnsi"/>
        <w:b/>
        <w:color w:val="672080" w:themeColor="text1"/>
        <w:sz w:val="22"/>
      </w:rPr>
      <w:tblPr/>
      <w:tcPr>
        <w:shd w:val="clear" w:color="auto" w:fill="DCD0E8"/>
      </w:tcPr>
    </w:tblStylePr>
  </w:style>
  <w:style w:type="table" w:customStyle="1" w:styleId="LightShading1">
    <w:name w:val="Light Shading1"/>
    <w:basedOn w:val="TableNormal"/>
    <w:uiPriority w:val="60"/>
    <w:rsid w:val="00192802"/>
    <w:pPr>
      <w:spacing w:after="0" w:line="240" w:lineRule="auto"/>
    </w:pPr>
    <w:rPr>
      <w:color w:val="4C185F" w:themeColor="text1" w:themeShade="BF"/>
    </w:rPr>
    <w:tblPr>
      <w:tblStyleRowBandSize w:val="1"/>
      <w:tblStyleColBandSize w:val="1"/>
      <w:tblBorders>
        <w:top w:val="single" w:sz="8" w:space="0" w:color="672080" w:themeColor="text1"/>
        <w:bottom w:val="single" w:sz="8" w:space="0" w:color="672080" w:themeColor="text1"/>
      </w:tblBorders>
    </w:tblPr>
    <w:tblStylePr w:type="fir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la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B9ED" w:themeFill="text1" w:themeFillTint="3F"/>
      </w:tcPr>
    </w:tblStylePr>
    <w:tblStylePr w:type="band1Horz">
      <w:tblPr/>
      <w:tcPr>
        <w:tcBorders>
          <w:left w:val="nil"/>
          <w:right w:val="nil"/>
          <w:insideH w:val="nil"/>
          <w:insideV w:val="nil"/>
        </w:tcBorders>
        <w:shd w:val="clear" w:color="auto" w:fill="E0B9ED" w:themeFill="text1" w:themeFillTint="3F"/>
      </w:tcPr>
    </w:tblStylePr>
  </w:style>
  <w:style w:type="paragraph" w:styleId="TOC2">
    <w:name w:val="toc 2"/>
    <w:basedOn w:val="Normal"/>
    <w:next w:val="Normal"/>
    <w:autoRedefine/>
    <w:uiPriority w:val="39"/>
    <w:unhideWhenUsed/>
    <w:qFormat/>
    <w:rsid w:val="00C730E3"/>
    <w:pPr>
      <w:spacing w:after="100"/>
      <w:ind w:left="220"/>
    </w:pPr>
    <w:rPr>
      <w:color w:val="4D4D4D"/>
      <w:lang w:bidi="ar-SA"/>
    </w:rPr>
  </w:style>
  <w:style w:type="paragraph" w:styleId="TOC1">
    <w:name w:val="toc 1"/>
    <w:basedOn w:val="Normal"/>
    <w:next w:val="Normal"/>
    <w:autoRedefine/>
    <w:uiPriority w:val="39"/>
    <w:unhideWhenUsed/>
    <w:qFormat/>
    <w:rsid w:val="004F6AF6"/>
    <w:pPr>
      <w:tabs>
        <w:tab w:val="left" w:pos="440"/>
        <w:tab w:val="right" w:leader="dot" w:pos="10194"/>
      </w:tabs>
      <w:spacing w:after="100"/>
      <w:ind w:left="142"/>
    </w:pPr>
    <w:rPr>
      <w:b/>
      <w:color w:val="672080" w:themeColor="text1"/>
      <w:lang w:bidi="ar-SA"/>
    </w:rPr>
  </w:style>
  <w:style w:type="paragraph" w:styleId="TOC3">
    <w:name w:val="toc 3"/>
    <w:basedOn w:val="Normal"/>
    <w:next w:val="Normal"/>
    <w:autoRedefine/>
    <w:uiPriority w:val="39"/>
    <w:unhideWhenUsed/>
    <w:qFormat/>
    <w:rsid w:val="00C730E3"/>
    <w:pPr>
      <w:spacing w:after="100"/>
      <w:ind w:left="440"/>
    </w:pPr>
    <w:rPr>
      <w:color w:val="4D4D4D"/>
      <w:lang w:bidi="ar-SA"/>
    </w:rPr>
  </w:style>
  <w:style w:type="paragraph" w:customStyle="1" w:styleId="contentsheading">
    <w:name w:val="contents heading"/>
    <w:basedOn w:val="Heading1"/>
    <w:qFormat/>
    <w:rsid w:val="00C730E3"/>
    <w:pPr>
      <w:numPr>
        <w:numId w:val="0"/>
      </w:numPr>
      <w:ind w:left="1134" w:hanging="1134"/>
    </w:pPr>
  </w:style>
  <w:style w:type="character" w:styleId="Hyperlink">
    <w:name w:val="Hyperlink"/>
    <w:basedOn w:val="DefaultParagraphFont"/>
    <w:uiPriority w:val="99"/>
    <w:unhideWhenUsed/>
    <w:rsid w:val="00C730E3"/>
    <w:rPr>
      <w:color w:val="009EE0" w:themeColor="hyperlink"/>
      <w:u w:val="single"/>
    </w:rPr>
  </w:style>
  <w:style w:type="paragraph" w:customStyle="1" w:styleId="covertitle">
    <w:name w:val="cover title"/>
    <w:basedOn w:val="Normal"/>
    <w:qFormat/>
    <w:rsid w:val="00C730E3"/>
    <w:rPr>
      <w:b/>
      <w:color w:val="DCD0E8"/>
      <w:sz w:val="48"/>
      <w:szCs w:val="36"/>
    </w:rPr>
  </w:style>
  <w:style w:type="paragraph" w:customStyle="1" w:styleId="coversubtitle">
    <w:name w:val="cover subtitle"/>
    <w:basedOn w:val="covertitle"/>
    <w:qFormat/>
    <w:rsid w:val="00C730E3"/>
    <w:rPr>
      <w:color w:val="A16EB6"/>
      <w:sz w:val="36"/>
    </w:rPr>
  </w:style>
  <w:style w:type="paragraph" w:styleId="EndnoteText">
    <w:name w:val="endnote text"/>
    <w:basedOn w:val="Normal"/>
    <w:link w:val="EndnoteTextChar"/>
    <w:uiPriority w:val="99"/>
    <w:semiHidden/>
    <w:unhideWhenUsed/>
    <w:rsid w:val="00DA79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7953"/>
    <w:rPr>
      <w:sz w:val="20"/>
      <w:szCs w:val="20"/>
    </w:rPr>
  </w:style>
  <w:style w:type="character" w:styleId="EndnoteReference">
    <w:name w:val="endnote reference"/>
    <w:basedOn w:val="DefaultParagraphFont"/>
    <w:uiPriority w:val="99"/>
    <w:semiHidden/>
    <w:unhideWhenUsed/>
    <w:rsid w:val="00DA7953"/>
    <w:rPr>
      <w:vertAlign w:val="superscript"/>
    </w:rPr>
  </w:style>
  <w:style w:type="paragraph" w:customStyle="1" w:styleId="Default">
    <w:name w:val="Default"/>
    <w:rsid w:val="00DA7953"/>
    <w:pPr>
      <w:autoSpaceDE w:val="0"/>
      <w:autoSpaceDN w:val="0"/>
      <w:adjustRightInd w:val="0"/>
      <w:spacing w:after="0" w:line="240" w:lineRule="auto"/>
    </w:pPr>
    <w:rPr>
      <w:rFonts w:ascii="Swis721 BT" w:hAnsi="Swis721 BT" w:cs="Swis721 BT"/>
      <w:color w:val="000000"/>
      <w:sz w:val="24"/>
      <w:szCs w:val="24"/>
      <w:lang w:val="en-GB" w:bidi="ar-SA"/>
    </w:rPr>
  </w:style>
  <w:style w:type="character" w:customStyle="1" w:styleId="A10">
    <w:name w:val="A10"/>
    <w:uiPriority w:val="99"/>
    <w:rsid w:val="00DA7953"/>
    <w:rPr>
      <w:rFonts w:cs="Swis721 BT"/>
      <w:b/>
      <w:bCs/>
      <w:color w:val="000000"/>
      <w:sz w:val="22"/>
      <w:szCs w:val="22"/>
    </w:rPr>
  </w:style>
  <w:style w:type="paragraph" w:styleId="FootnoteText">
    <w:name w:val="footnote text"/>
    <w:basedOn w:val="Normal"/>
    <w:link w:val="FootnoteTextChar"/>
    <w:unhideWhenUsed/>
    <w:rsid w:val="00657964"/>
    <w:pPr>
      <w:spacing w:after="0" w:line="240" w:lineRule="auto"/>
    </w:pPr>
    <w:rPr>
      <w:sz w:val="20"/>
      <w:szCs w:val="20"/>
    </w:rPr>
  </w:style>
  <w:style w:type="character" w:customStyle="1" w:styleId="FootnoteTextChar">
    <w:name w:val="Footnote Text Char"/>
    <w:basedOn w:val="DefaultParagraphFont"/>
    <w:link w:val="FootnoteText"/>
    <w:rsid w:val="00657964"/>
    <w:rPr>
      <w:sz w:val="20"/>
      <w:szCs w:val="20"/>
    </w:rPr>
  </w:style>
  <w:style w:type="character" w:styleId="FootnoteReference">
    <w:name w:val="footnote reference"/>
    <w:basedOn w:val="DefaultParagraphFont"/>
    <w:uiPriority w:val="99"/>
    <w:unhideWhenUsed/>
    <w:rsid w:val="00657964"/>
    <w:rPr>
      <w:vertAlign w:val="superscript"/>
    </w:rPr>
  </w:style>
  <w:style w:type="character" w:styleId="CommentReference">
    <w:name w:val="annotation reference"/>
    <w:basedOn w:val="DefaultParagraphFont"/>
    <w:uiPriority w:val="99"/>
    <w:semiHidden/>
    <w:unhideWhenUsed/>
    <w:rsid w:val="002659A6"/>
    <w:rPr>
      <w:sz w:val="16"/>
      <w:szCs w:val="16"/>
    </w:rPr>
  </w:style>
  <w:style w:type="paragraph" w:styleId="CommentText">
    <w:name w:val="annotation text"/>
    <w:basedOn w:val="Normal"/>
    <w:link w:val="CommentTextChar"/>
    <w:uiPriority w:val="99"/>
    <w:semiHidden/>
    <w:unhideWhenUsed/>
    <w:rsid w:val="002659A6"/>
    <w:pPr>
      <w:spacing w:line="240" w:lineRule="auto"/>
    </w:pPr>
    <w:rPr>
      <w:sz w:val="20"/>
      <w:szCs w:val="20"/>
    </w:rPr>
  </w:style>
  <w:style w:type="character" w:customStyle="1" w:styleId="CommentTextChar">
    <w:name w:val="Comment Text Char"/>
    <w:basedOn w:val="DefaultParagraphFont"/>
    <w:link w:val="CommentText"/>
    <w:uiPriority w:val="99"/>
    <w:semiHidden/>
    <w:rsid w:val="002659A6"/>
    <w:rPr>
      <w:sz w:val="20"/>
      <w:szCs w:val="20"/>
    </w:rPr>
  </w:style>
  <w:style w:type="paragraph" w:styleId="CommentSubject">
    <w:name w:val="annotation subject"/>
    <w:basedOn w:val="CommentText"/>
    <w:next w:val="CommentText"/>
    <w:link w:val="CommentSubjectChar"/>
    <w:uiPriority w:val="99"/>
    <w:semiHidden/>
    <w:unhideWhenUsed/>
    <w:rsid w:val="002659A6"/>
    <w:rPr>
      <w:b/>
      <w:bCs/>
    </w:rPr>
  </w:style>
  <w:style w:type="character" w:customStyle="1" w:styleId="CommentSubjectChar">
    <w:name w:val="Comment Subject Char"/>
    <w:basedOn w:val="CommentTextChar"/>
    <w:link w:val="CommentSubject"/>
    <w:uiPriority w:val="99"/>
    <w:semiHidden/>
    <w:rsid w:val="002659A6"/>
    <w:rPr>
      <w:b/>
      <w:bCs/>
      <w:sz w:val="20"/>
      <w:szCs w:val="20"/>
    </w:rPr>
  </w:style>
  <w:style w:type="character" w:customStyle="1" w:styleId="legamendingtext">
    <w:name w:val="legamendingtext"/>
    <w:basedOn w:val="DefaultParagraphFont"/>
    <w:rsid w:val="009E4EE2"/>
  </w:style>
  <w:style w:type="paragraph" w:customStyle="1" w:styleId="legp2paratext1">
    <w:name w:val="legp2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paragraph" w:customStyle="1" w:styleId="legclearfix2">
    <w:name w:val="legclearfix2"/>
    <w:basedOn w:val="Normal"/>
    <w:rsid w:val="009E4EE2"/>
    <w:pPr>
      <w:shd w:val="clear" w:color="auto" w:fill="FFFFFF"/>
      <w:spacing w:after="120" w:line="360" w:lineRule="atLeast"/>
    </w:pPr>
    <w:rPr>
      <w:rFonts w:ascii="Times New Roman" w:eastAsia="Times New Roman" w:hAnsi="Times New Roman" w:cs="Times New Roman"/>
      <w:color w:val="494949"/>
      <w:sz w:val="19"/>
      <w:szCs w:val="19"/>
      <w:lang w:val="en-GB" w:eastAsia="en-GB" w:bidi="ar-SA"/>
    </w:rPr>
  </w:style>
  <w:style w:type="paragraph" w:customStyle="1" w:styleId="legp1paratext1">
    <w:name w:val="legp1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character" w:customStyle="1" w:styleId="spelle">
    <w:name w:val="spelle"/>
    <w:basedOn w:val="DefaultParagraphFont"/>
    <w:rsid w:val="00855158"/>
  </w:style>
  <w:style w:type="paragraph" w:styleId="NormalWeb">
    <w:name w:val="Normal (Web)"/>
    <w:basedOn w:val="Normal"/>
    <w:uiPriority w:val="99"/>
    <w:unhideWhenUsed/>
    <w:rsid w:val="001C1281"/>
    <w:pPr>
      <w:spacing w:after="240" w:line="240" w:lineRule="auto"/>
    </w:pPr>
    <w:rPr>
      <w:rFonts w:ascii="Times New Roman" w:eastAsia="Times New Roman" w:hAnsi="Times New Roman" w:cs="Times New Roman"/>
      <w:sz w:val="24"/>
      <w:szCs w:val="24"/>
      <w:lang w:val="en-GB" w:eastAsia="en-GB" w:bidi="ar-SA"/>
    </w:rPr>
  </w:style>
  <w:style w:type="character" w:styleId="FollowedHyperlink">
    <w:name w:val="FollowedHyperlink"/>
    <w:basedOn w:val="DefaultParagraphFont"/>
    <w:uiPriority w:val="99"/>
    <w:semiHidden/>
    <w:unhideWhenUsed/>
    <w:rsid w:val="00553EB3"/>
    <w:rPr>
      <w:color w:val="800080"/>
      <w:u w:val="single"/>
    </w:rPr>
  </w:style>
  <w:style w:type="paragraph" w:customStyle="1" w:styleId="xl65">
    <w:name w:val="xl65"/>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66">
    <w:name w:val="xl6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7">
    <w:name w:val="xl67"/>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8">
    <w:name w:val="xl68"/>
    <w:basedOn w:val="Normal"/>
    <w:rsid w:val="00553EB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69">
    <w:name w:val="xl6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0">
    <w:name w:val="xl70"/>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1">
    <w:name w:val="xl71"/>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2">
    <w:name w:val="xl72"/>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3">
    <w:name w:val="xl73"/>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4">
    <w:name w:val="xl7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5">
    <w:name w:val="xl75"/>
    <w:basedOn w:val="Normal"/>
    <w:rsid w:val="00553EB3"/>
    <w:pPr>
      <w:pBdr>
        <w:top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6">
    <w:name w:val="xl76"/>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7">
    <w:name w:val="xl77"/>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8">
    <w:name w:val="xl78"/>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9">
    <w:name w:val="xl7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80">
    <w:name w:val="xl80"/>
    <w:basedOn w:val="Normal"/>
    <w:rsid w:val="00553EB3"/>
    <w:pPr>
      <w:pBdr>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1">
    <w:name w:val="xl81"/>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2">
    <w:name w:val="xl82"/>
    <w:basedOn w:val="Normal"/>
    <w:rsid w:val="00553EB3"/>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3">
    <w:name w:val="xl83"/>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84">
    <w:name w:val="xl8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5">
    <w:name w:val="xl85"/>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6">
    <w:name w:val="xl8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87">
    <w:name w:val="xl87"/>
    <w:basedOn w:val="Normal"/>
    <w:rsid w:val="00553EB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8">
    <w:name w:val="xl88"/>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9">
    <w:name w:val="xl89"/>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GB" w:eastAsia="en-GB" w:bidi="ar-SA"/>
    </w:rPr>
  </w:style>
  <w:style w:type="paragraph" w:customStyle="1" w:styleId="xl90">
    <w:name w:val="xl90"/>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1">
    <w:name w:val="xl91"/>
    <w:basedOn w:val="Normal"/>
    <w:rsid w:val="00553EB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2">
    <w:name w:val="xl92"/>
    <w:basedOn w:val="Normal"/>
    <w:rsid w:val="00553EB3"/>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3">
    <w:name w:val="xl93"/>
    <w:basedOn w:val="Normal"/>
    <w:rsid w:val="00553EB3"/>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4">
    <w:name w:val="xl94"/>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95">
    <w:name w:val="xl95"/>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96">
    <w:name w:val="xl96"/>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7">
    <w:name w:val="xl97"/>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98">
    <w:name w:val="xl98"/>
    <w:basedOn w:val="Normal"/>
    <w:rsid w:val="00553EB3"/>
    <w:pPr>
      <w:pBdr>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9">
    <w:name w:val="xl99"/>
    <w:basedOn w:val="Normal"/>
    <w:rsid w:val="00553EB3"/>
    <w:pPr>
      <w:pBdr>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0">
    <w:name w:val="xl100"/>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1">
    <w:name w:val="xl101"/>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2">
    <w:name w:val="xl102"/>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3">
    <w:name w:val="xl103"/>
    <w:basedOn w:val="Normal"/>
    <w:rsid w:val="00553EB3"/>
    <w:pPr>
      <w:pBdr>
        <w:top w:val="single" w:sz="8"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4">
    <w:name w:val="xl104"/>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5">
    <w:name w:val="xl105"/>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6">
    <w:name w:val="xl106"/>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7">
    <w:name w:val="xl107"/>
    <w:basedOn w:val="Normal"/>
    <w:rsid w:val="00553EB3"/>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8">
    <w:name w:val="xl108"/>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9">
    <w:name w:val="xl109"/>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0">
    <w:name w:val="xl110"/>
    <w:basedOn w:val="Normal"/>
    <w:rsid w:val="00553EB3"/>
    <w:pPr>
      <w:pBdr>
        <w:top w:val="single" w:sz="4" w:space="0" w:color="auto"/>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11">
    <w:name w:val="xl111"/>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12">
    <w:name w:val="xl112"/>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13">
    <w:name w:val="xl11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4">
    <w:name w:val="xl114"/>
    <w:basedOn w:val="Normal"/>
    <w:rsid w:val="00553EB3"/>
    <w:pPr>
      <w:pBdr>
        <w:top w:val="single" w:sz="8" w:space="0" w:color="auto"/>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5">
    <w:name w:val="xl115"/>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6">
    <w:name w:val="xl116"/>
    <w:basedOn w:val="Normal"/>
    <w:rsid w:val="00553EB3"/>
    <w:pPr>
      <w:pBdr>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7">
    <w:name w:val="xl117"/>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8">
    <w:name w:val="xl118"/>
    <w:basedOn w:val="Normal"/>
    <w:rsid w:val="00553EB3"/>
    <w:pPr>
      <w:pBdr>
        <w:top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9">
    <w:name w:val="xl119"/>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20">
    <w:name w:val="xl120"/>
    <w:basedOn w:val="Normal"/>
    <w:rsid w:val="00553EB3"/>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1">
    <w:name w:val="xl121"/>
    <w:basedOn w:val="Normal"/>
    <w:rsid w:val="00553EB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2">
    <w:name w:val="xl122"/>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3">
    <w:name w:val="xl12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4">
    <w:name w:val="xl124"/>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5">
    <w:name w:val="xl125"/>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6">
    <w:name w:val="xl126"/>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7">
    <w:name w:val="xl127"/>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8">
    <w:name w:val="xl128"/>
    <w:basedOn w:val="Normal"/>
    <w:rsid w:val="00553EB3"/>
    <w:pPr>
      <w:pBdr>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9">
    <w:name w:val="xl129"/>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0">
    <w:name w:val="xl130"/>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1">
    <w:name w:val="xl131"/>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2">
    <w:name w:val="xl132"/>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3">
    <w:name w:val="xl133"/>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4">
    <w:name w:val="xl134"/>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5">
    <w:name w:val="xl135"/>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6">
    <w:name w:val="xl136"/>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7">
    <w:name w:val="xl137"/>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38">
    <w:name w:val="xl138"/>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39">
    <w:name w:val="xl139"/>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0">
    <w:name w:val="xl140"/>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1">
    <w:name w:val="xl141"/>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2">
    <w:name w:val="xl142"/>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43">
    <w:name w:val="xl143"/>
    <w:basedOn w:val="Normal"/>
    <w:rsid w:val="00553EB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4">
    <w:name w:val="xl144"/>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5">
    <w:name w:val="xl145"/>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6">
    <w:name w:val="xl146"/>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7">
    <w:name w:val="xl147"/>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48">
    <w:name w:val="xl148"/>
    <w:basedOn w:val="Normal"/>
    <w:rsid w:val="00553EB3"/>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9">
    <w:name w:val="xl149"/>
    <w:basedOn w:val="Normal"/>
    <w:rsid w:val="00553EB3"/>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0">
    <w:name w:val="xl150"/>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1">
    <w:name w:val="xl151"/>
    <w:basedOn w:val="Normal"/>
    <w:rsid w:val="00553EB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2">
    <w:name w:val="xl152"/>
    <w:basedOn w:val="Normal"/>
    <w:rsid w:val="00553EB3"/>
    <w:pPr>
      <w:pBdr>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53">
    <w:name w:val="xl153"/>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54">
    <w:name w:val="xl154"/>
    <w:basedOn w:val="Normal"/>
    <w:rsid w:val="00553EB3"/>
    <w:pPr>
      <w:pBdr>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5">
    <w:name w:val="xl155"/>
    <w:basedOn w:val="Normal"/>
    <w:rsid w:val="00553EB3"/>
    <w:pPr>
      <w:pBdr>
        <w:top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56">
    <w:name w:val="xl156"/>
    <w:basedOn w:val="Normal"/>
    <w:rsid w:val="00553EB3"/>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57">
    <w:name w:val="xl157"/>
    <w:basedOn w:val="Normal"/>
    <w:rsid w:val="00553EB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58">
    <w:name w:val="xl158"/>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9">
    <w:name w:val="xl159"/>
    <w:basedOn w:val="Normal"/>
    <w:rsid w:val="00553EB3"/>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0">
    <w:name w:val="xl160"/>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1">
    <w:name w:val="xl161"/>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2">
    <w:name w:val="xl162"/>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3">
    <w:name w:val="xl163"/>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4">
    <w:name w:val="xl164"/>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5">
    <w:name w:val="xl165"/>
    <w:basedOn w:val="Normal"/>
    <w:rsid w:val="00553EB3"/>
    <w:pPr>
      <w:pBdr>
        <w:top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6">
    <w:name w:val="xl166"/>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7">
    <w:name w:val="xl167"/>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8">
    <w:name w:val="xl168"/>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9">
    <w:name w:val="xl169"/>
    <w:basedOn w:val="Normal"/>
    <w:rsid w:val="00553EB3"/>
    <w:pPr>
      <w:pBdr>
        <w:top w:val="single" w:sz="4" w:space="0" w:color="auto"/>
        <w:left w:val="single" w:sz="8"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0">
    <w:name w:val="xl170"/>
    <w:basedOn w:val="Normal"/>
    <w:rsid w:val="00553EB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1">
    <w:name w:val="xl171"/>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2">
    <w:name w:val="xl172"/>
    <w:basedOn w:val="Normal"/>
    <w:rsid w:val="00553E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3">
    <w:name w:val="xl173"/>
    <w:basedOn w:val="Normal"/>
    <w:rsid w:val="00553EB3"/>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74">
    <w:name w:val="xl174"/>
    <w:basedOn w:val="Normal"/>
    <w:rsid w:val="00553EB3"/>
    <w:pPr>
      <w:pBdr>
        <w:bottom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75">
    <w:name w:val="xl175"/>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76">
    <w:name w:val="xl176"/>
    <w:basedOn w:val="Normal"/>
    <w:rsid w:val="00553EB3"/>
    <w:pPr>
      <w:pBdr>
        <w:top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7">
    <w:name w:val="xl177"/>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8">
    <w:name w:val="xl178"/>
    <w:basedOn w:val="Normal"/>
    <w:rsid w:val="00553EB3"/>
    <w:pPr>
      <w:pBdr>
        <w:top w:val="single" w:sz="4" w:space="0" w:color="auto"/>
        <w:left w:val="single" w:sz="8"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9">
    <w:name w:val="xl179"/>
    <w:basedOn w:val="Normal"/>
    <w:rsid w:val="00553EB3"/>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0">
    <w:name w:val="xl180"/>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1">
    <w:name w:val="xl181"/>
    <w:basedOn w:val="Normal"/>
    <w:rsid w:val="00553EB3"/>
    <w:pPr>
      <w:pBdr>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2">
    <w:name w:val="xl182"/>
    <w:basedOn w:val="Normal"/>
    <w:rsid w:val="00553EB3"/>
    <w:pPr>
      <w:pBdr>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3">
    <w:name w:val="xl183"/>
    <w:basedOn w:val="Normal"/>
    <w:rsid w:val="00553EB3"/>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4">
    <w:name w:val="xl184"/>
    <w:basedOn w:val="Normal"/>
    <w:rsid w:val="00553EB3"/>
    <w:pPr>
      <w:pBdr>
        <w:top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5">
    <w:name w:val="xl185"/>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6">
    <w:name w:val="xl186"/>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7">
    <w:name w:val="xl187"/>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88">
    <w:name w:val="xl188"/>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9">
    <w:name w:val="xl189"/>
    <w:basedOn w:val="Normal"/>
    <w:rsid w:val="00553EB3"/>
    <w:pPr>
      <w:pBdr>
        <w:top w:val="single" w:sz="4" w:space="0" w:color="auto"/>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90">
    <w:name w:val="xl190"/>
    <w:basedOn w:val="Normal"/>
    <w:rsid w:val="00553EB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1">
    <w:name w:val="xl191"/>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92">
    <w:name w:val="xl192"/>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3">
    <w:name w:val="xl193"/>
    <w:basedOn w:val="Normal"/>
    <w:rsid w:val="00553EB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4">
    <w:name w:val="xl194"/>
    <w:basedOn w:val="Normal"/>
    <w:rsid w:val="00553EB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8663">
      <w:bodyDiv w:val="1"/>
      <w:marLeft w:val="0"/>
      <w:marRight w:val="0"/>
      <w:marTop w:val="0"/>
      <w:marBottom w:val="0"/>
      <w:divBdr>
        <w:top w:val="none" w:sz="0" w:space="0" w:color="auto"/>
        <w:left w:val="none" w:sz="0" w:space="0" w:color="auto"/>
        <w:bottom w:val="none" w:sz="0" w:space="0" w:color="auto"/>
        <w:right w:val="none" w:sz="0" w:space="0" w:color="auto"/>
      </w:divBdr>
    </w:div>
    <w:div w:id="215745742">
      <w:bodyDiv w:val="1"/>
      <w:marLeft w:val="0"/>
      <w:marRight w:val="0"/>
      <w:marTop w:val="0"/>
      <w:marBottom w:val="0"/>
      <w:divBdr>
        <w:top w:val="none" w:sz="0" w:space="0" w:color="auto"/>
        <w:left w:val="none" w:sz="0" w:space="0" w:color="auto"/>
        <w:bottom w:val="none" w:sz="0" w:space="0" w:color="auto"/>
        <w:right w:val="none" w:sz="0" w:space="0" w:color="auto"/>
      </w:divBdr>
      <w:divsChild>
        <w:div w:id="585846750">
          <w:marLeft w:val="0"/>
          <w:marRight w:val="0"/>
          <w:marTop w:val="0"/>
          <w:marBottom w:val="0"/>
          <w:divBdr>
            <w:top w:val="none" w:sz="0" w:space="0" w:color="auto"/>
            <w:left w:val="none" w:sz="0" w:space="0" w:color="auto"/>
            <w:bottom w:val="none" w:sz="0" w:space="0" w:color="auto"/>
            <w:right w:val="none" w:sz="0" w:space="0" w:color="auto"/>
          </w:divBdr>
          <w:divsChild>
            <w:div w:id="718866950">
              <w:marLeft w:val="-225"/>
              <w:marRight w:val="-225"/>
              <w:marTop w:val="0"/>
              <w:marBottom w:val="0"/>
              <w:divBdr>
                <w:top w:val="none" w:sz="0" w:space="0" w:color="auto"/>
                <w:left w:val="none" w:sz="0" w:space="0" w:color="auto"/>
                <w:bottom w:val="none" w:sz="0" w:space="0" w:color="auto"/>
                <w:right w:val="none" w:sz="0" w:space="0" w:color="auto"/>
              </w:divBdr>
              <w:divsChild>
                <w:div w:id="1090856346">
                  <w:marLeft w:val="0"/>
                  <w:marRight w:val="0"/>
                  <w:marTop w:val="0"/>
                  <w:marBottom w:val="0"/>
                  <w:divBdr>
                    <w:top w:val="none" w:sz="0" w:space="0" w:color="auto"/>
                    <w:left w:val="none" w:sz="0" w:space="0" w:color="auto"/>
                    <w:bottom w:val="none" w:sz="0" w:space="0" w:color="auto"/>
                    <w:right w:val="none" w:sz="0" w:space="0" w:color="auto"/>
                  </w:divBdr>
                  <w:divsChild>
                    <w:div w:id="813453663">
                      <w:marLeft w:val="0"/>
                      <w:marRight w:val="0"/>
                      <w:marTop w:val="0"/>
                      <w:marBottom w:val="0"/>
                      <w:divBdr>
                        <w:top w:val="single" w:sz="6" w:space="19" w:color="A2A2A2"/>
                        <w:left w:val="single" w:sz="6" w:space="11" w:color="A2A2A2"/>
                        <w:bottom w:val="single" w:sz="24" w:space="19" w:color="A2A2A2"/>
                        <w:right w:val="single" w:sz="6" w:space="11" w:color="A2A2A2"/>
                      </w:divBdr>
                      <w:divsChild>
                        <w:div w:id="1884639032">
                          <w:marLeft w:val="0"/>
                          <w:marRight w:val="0"/>
                          <w:marTop w:val="0"/>
                          <w:marBottom w:val="0"/>
                          <w:divBdr>
                            <w:top w:val="none" w:sz="0" w:space="0" w:color="auto"/>
                            <w:left w:val="none" w:sz="0" w:space="0" w:color="auto"/>
                            <w:bottom w:val="none" w:sz="0" w:space="0" w:color="auto"/>
                            <w:right w:val="none" w:sz="0" w:space="0" w:color="auto"/>
                          </w:divBdr>
                          <w:divsChild>
                            <w:div w:id="720253878">
                              <w:marLeft w:val="-225"/>
                              <w:marRight w:val="-225"/>
                              <w:marTop w:val="0"/>
                              <w:marBottom w:val="0"/>
                              <w:divBdr>
                                <w:top w:val="none" w:sz="0" w:space="0" w:color="auto"/>
                                <w:left w:val="none" w:sz="0" w:space="0" w:color="auto"/>
                                <w:bottom w:val="none" w:sz="0" w:space="0" w:color="auto"/>
                                <w:right w:val="none" w:sz="0" w:space="0" w:color="auto"/>
                              </w:divBdr>
                              <w:divsChild>
                                <w:div w:id="1003430972">
                                  <w:marLeft w:val="0"/>
                                  <w:marRight w:val="0"/>
                                  <w:marTop w:val="0"/>
                                  <w:marBottom w:val="0"/>
                                  <w:divBdr>
                                    <w:top w:val="none" w:sz="0" w:space="0" w:color="auto"/>
                                    <w:left w:val="none" w:sz="0" w:space="0" w:color="auto"/>
                                    <w:bottom w:val="none" w:sz="0" w:space="0" w:color="auto"/>
                                    <w:right w:val="none" w:sz="0" w:space="0" w:color="auto"/>
                                  </w:divBdr>
                                  <w:divsChild>
                                    <w:div w:id="2014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830556">
      <w:bodyDiv w:val="1"/>
      <w:marLeft w:val="0"/>
      <w:marRight w:val="0"/>
      <w:marTop w:val="0"/>
      <w:marBottom w:val="0"/>
      <w:divBdr>
        <w:top w:val="none" w:sz="0" w:space="0" w:color="auto"/>
        <w:left w:val="none" w:sz="0" w:space="0" w:color="auto"/>
        <w:bottom w:val="none" w:sz="0" w:space="0" w:color="auto"/>
        <w:right w:val="none" w:sz="0" w:space="0" w:color="auto"/>
      </w:divBdr>
      <w:divsChild>
        <w:div w:id="814294510">
          <w:marLeft w:val="0"/>
          <w:marRight w:val="0"/>
          <w:marTop w:val="0"/>
          <w:marBottom w:val="0"/>
          <w:divBdr>
            <w:top w:val="none" w:sz="0" w:space="0" w:color="auto"/>
            <w:left w:val="none" w:sz="0" w:space="0" w:color="auto"/>
            <w:bottom w:val="none" w:sz="0" w:space="0" w:color="auto"/>
            <w:right w:val="none" w:sz="0" w:space="0" w:color="auto"/>
          </w:divBdr>
          <w:divsChild>
            <w:div w:id="661127559">
              <w:marLeft w:val="0"/>
              <w:marRight w:val="0"/>
              <w:marTop w:val="0"/>
              <w:marBottom w:val="0"/>
              <w:divBdr>
                <w:top w:val="single" w:sz="2" w:space="0" w:color="FFFFFF"/>
                <w:left w:val="single" w:sz="6" w:space="0" w:color="FFFFFF"/>
                <w:bottom w:val="single" w:sz="6" w:space="0" w:color="FFFFFF"/>
                <w:right w:val="single" w:sz="6" w:space="0" w:color="FFFFFF"/>
              </w:divBdr>
              <w:divsChild>
                <w:div w:id="926226645">
                  <w:marLeft w:val="0"/>
                  <w:marRight w:val="0"/>
                  <w:marTop w:val="0"/>
                  <w:marBottom w:val="0"/>
                  <w:divBdr>
                    <w:top w:val="single" w:sz="6" w:space="1" w:color="D3D3D3"/>
                    <w:left w:val="none" w:sz="0" w:space="0" w:color="auto"/>
                    <w:bottom w:val="none" w:sz="0" w:space="0" w:color="auto"/>
                    <w:right w:val="none" w:sz="0" w:space="0" w:color="auto"/>
                  </w:divBdr>
                  <w:divsChild>
                    <w:div w:id="1191262327">
                      <w:marLeft w:val="0"/>
                      <w:marRight w:val="0"/>
                      <w:marTop w:val="0"/>
                      <w:marBottom w:val="0"/>
                      <w:divBdr>
                        <w:top w:val="none" w:sz="0" w:space="0" w:color="auto"/>
                        <w:left w:val="none" w:sz="0" w:space="0" w:color="auto"/>
                        <w:bottom w:val="none" w:sz="0" w:space="0" w:color="auto"/>
                        <w:right w:val="none" w:sz="0" w:space="0" w:color="auto"/>
                      </w:divBdr>
                      <w:divsChild>
                        <w:div w:id="20512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449780">
      <w:bodyDiv w:val="1"/>
      <w:marLeft w:val="0"/>
      <w:marRight w:val="0"/>
      <w:marTop w:val="0"/>
      <w:marBottom w:val="0"/>
      <w:divBdr>
        <w:top w:val="none" w:sz="0" w:space="0" w:color="auto"/>
        <w:left w:val="none" w:sz="0" w:space="0" w:color="auto"/>
        <w:bottom w:val="none" w:sz="0" w:space="0" w:color="auto"/>
        <w:right w:val="none" w:sz="0" w:space="0" w:color="auto"/>
      </w:divBdr>
    </w:div>
    <w:div w:id="1050689824">
      <w:bodyDiv w:val="1"/>
      <w:marLeft w:val="0"/>
      <w:marRight w:val="0"/>
      <w:marTop w:val="0"/>
      <w:marBottom w:val="0"/>
      <w:divBdr>
        <w:top w:val="none" w:sz="0" w:space="0" w:color="auto"/>
        <w:left w:val="none" w:sz="0" w:space="0" w:color="auto"/>
        <w:bottom w:val="none" w:sz="0" w:space="0" w:color="auto"/>
        <w:right w:val="none" w:sz="0" w:space="0" w:color="auto"/>
      </w:divBdr>
    </w:div>
    <w:div w:id="1124235016">
      <w:bodyDiv w:val="1"/>
      <w:marLeft w:val="0"/>
      <w:marRight w:val="0"/>
      <w:marTop w:val="0"/>
      <w:marBottom w:val="0"/>
      <w:divBdr>
        <w:top w:val="none" w:sz="0" w:space="0" w:color="auto"/>
        <w:left w:val="none" w:sz="0" w:space="0" w:color="auto"/>
        <w:bottom w:val="none" w:sz="0" w:space="0" w:color="auto"/>
        <w:right w:val="none" w:sz="0" w:space="0" w:color="auto"/>
      </w:divBdr>
    </w:div>
    <w:div w:id="1247574834">
      <w:bodyDiv w:val="1"/>
      <w:marLeft w:val="0"/>
      <w:marRight w:val="0"/>
      <w:marTop w:val="0"/>
      <w:marBottom w:val="0"/>
      <w:divBdr>
        <w:top w:val="none" w:sz="0" w:space="0" w:color="auto"/>
        <w:left w:val="none" w:sz="0" w:space="0" w:color="auto"/>
        <w:bottom w:val="none" w:sz="0" w:space="0" w:color="auto"/>
        <w:right w:val="none" w:sz="0" w:space="0" w:color="auto"/>
      </w:divBdr>
      <w:divsChild>
        <w:div w:id="1632320178">
          <w:marLeft w:val="0"/>
          <w:marRight w:val="0"/>
          <w:marTop w:val="0"/>
          <w:marBottom w:val="0"/>
          <w:divBdr>
            <w:top w:val="none" w:sz="0" w:space="0" w:color="auto"/>
            <w:left w:val="none" w:sz="0" w:space="0" w:color="auto"/>
            <w:bottom w:val="none" w:sz="0" w:space="0" w:color="auto"/>
            <w:right w:val="none" w:sz="0" w:space="0" w:color="auto"/>
          </w:divBdr>
          <w:divsChild>
            <w:div w:id="334113631">
              <w:marLeft w:val="0"/>
              <w:marRight w:val="0"/>
              <w:marTop w:val="0"/>
              <w:marBottom w:val="0"/>
              <w:divBdr>
                <w:top w:val="single" w:sz="2" w:space="0" w:color="FFFFFF"/>
                <w:left w:val="single" w:sz="6" w:space="0" w:color="FFFFFF"/>
                <w:bottom w:val="single" w:sz="6" w:space="0" w:color="FFFFFF"/>
                <w:right w:val="single" w:sz="6" w:space="0" w:color="FFFFFF"/>
              </w:divBdr>
              <w:divsChild>
                <w:div w:id="1576697842">
                  <w:marLeft w:val="0"/>
                  <w:marRight w:val="0"/>
                  <w:marTop w:val="0"/>
                  <w:marBottom w:val="0"/>
                  <w:divBdr>
                    <w:top w:val="single" w:sz="6" w:space="1" w:color="D3D3D3"/>
                    <w:left w:val="none" w:sz="0" w:space="0" w:color="auto"/>
                    <w:bottom w:val="none" w:sz="0" w:space="0" w:color="auto"/>
                    <w:right w:val="none" w:sz="0" w:space="0" w:color="auto"/>
                  </w:divBdr>
                  <w:divsChild>
                    <w:div w:id="8555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80788">
      <w:bodyDiv w:val="1"/>
      <w:marLeft w:val="0"/>
      <w:marRight w:val="0"/>
      <w:marTop w:val="0"/>
      <w:marBottom w:val="0"/>
      <w:divBdr>
        <w:top w:val="none" w:sz="0" w:space="0" w:color="auto"/>
        <w:left w:val="none" w:sz="0" w:space="0" w:color="auto"/>
        <w:bottom w:val="none" w:sz="0" w:space="0" w:color="auto"/>
        <w:right w:val="none" w:sz="0" w:space="0" w:color="auto"/>
      </w:divBdr>
      <w:divsChild>
        <w:div w:id="254215304">
          <w:marLeft w:val="0"/>
          <w:marRight w:val="0"/>
          <w:marTop w:val="0"/>
          <w:marBottom w:val="0"/>
          <w:divBdr>
            <w:top w:val="none" w:sz="0" w:space="0" w:color="auto"/>
            <w:left w:val="none" w:sz="0" w:space="0" w:color="auto"/>
            <w:bottom w:val="none" w:sz="0" w:space="0" w:color="auto"/>
            <w:right w:val="none" w:sz="0" w:space="0" w:color="auto"/>
          </w:divBdr>
          <w:divsChild>
            <w:div w:id="2128619923">
              <w:marLeft w:val="-225"/>
              <w:marRight w:val="-225"/>
              <w:marTop w:val="0"/>
              <w:marBottom w:val="0"/>
              <w:divBdr>
                <w:top w:val="none" w:sz="0" w:space="0" w:color="auto"/>
                <w:left w:val="none" w:sz="0" w:space="0" w:color="auto"/>
                <w:bottom w:val="none" w:sz="0" w:space="0" w:color="auto"/>
                <w:right w:val="none" w:sz="0" w:space="0" w:color="auto"/>
              </w:divBdr>
              <w:divsChild>
                <w:div w:id="1927030203">
                  <w:marLeft w:val="0"/>
                  <w:marRight w:val="0"/>
                  <w:marTop w:val="0"/>
                  <w:marBottom w:val="0"/>
                  <w:divBdr>
                    <w:top w:val="none" w:sz="0" w:space="0" w:color="auto"/>
                    <w:left w:val="none" w:sz="0" w:space="0" w:color="auto"/>
                    <w:bottom w:val="none" w:sz="0" w:space="0" w:color="auto"/>
                    <w:right w:val="none" w:sz="0" w:space="0" w:color="auto"/>
                  </w:divBdr>
                  <w:divsChild>
                    <w:div w:id="1744402857">
                      <w:marLeft w:val="0"/>
                      <w:marRight w:val="0"/>
                      <w:marTop w:val="0"/>
                      <w:marBottom w:val="0"/>
                      <w:divBdr>
                        <w:top w:val="single" w:sz="6" w:space="19" w:color="A2A2A2"/>
                        <w:left w:val="single" w:sz="6" w:space="11" w:color="A2A2A2"/>
                        <w:bottom w:val="single" w:sz="24" w:space="19" w:color="A2A2A2"/>
                        <w:right w:val="single" w:sz="6" w:space="11" w:color="A2A2A2"/>
                      </w:divBdr>
                      <w:divsChild>
                        <w:div w:id="1245728796">
                          <w:marLeft w:val="-225"/>
                          <w:marRight w:val="-225"/>
                          <w:marTop w:val="0"/>
                          <w:marBottom w:val="0"/>
                          <w:divBdr>
                            <w:top w:val="none" w:sz="0" w:space="0" w:color="auto"/>
                            <w:left w:val="none" w:sz="0" w:space="0" w:color="auto"/>
                            <w:bottom w:val="none" w:sz="0" w:space="0" w:color="auto"/>
                            <w:right w:val="none" w:sz="0" w:space="0" w:color="auto"/>
                          </w:divBdr>
                        </w:div>
                        <w:div w:id="1455439685">
                          <w:marLeft w:val="-225"/>
                          <w:marRight w:val="-225"/>
                          <w:marTop w:val="0"/>
                          <w:marBottom w:val="0"/>
                          <w:divBdr>
                            <w:top w:val="none" w:sz="0" w:space="0" w:color="auto"/>
                            <w:left w:val="none" w:sz="0" w:space="0" w:color="auto"/>
                            <w:bottom w:val="none" w:sz="0" w:space="0" w:color="auto"/>
                            <w:right w:val="none" w:sz="0" w:space="0" w:color="auto"/>
                          </w:divBdr>
                          <w:divsChild>
                            <w:div w:id="202984663">
                              <w:marLeft w:val="0"/>
                              <w:marRight w:val="0"/>
                              <w:marTop w:val="0"/>
                              <w:marBottom w:val="0"/>
                              <w:divBdr>
                                <w:top w:val="none" w:sz="0" w:space="0" w:color="auto"/>
                                <w:left w:val="none" w:sz="0" w:space="0" w:color="auto"/>
                                <w:bottom w:val="none" w:sz="0" w:space="0" w:color="auto"/>
                                <w:right w:val="none" w:sz="0" w:space="0" w:color="auto"/>
                              </w:divBdr>
                            </w:div>
                            <w:div w:id="948315048">
                              <w:marLeft w:val="0"/>
                              <w:marRight w:val="0"/>
                              <w:marTop w:val="0"/>
                              <w:marBottom w:val="0"/>
                              <w:divBdr>
                                <w:top w:val="none" w:sz="0" w:space="0" w:color="auto"/>
                                <w:left w:val="none" w:sz="0" w:space="0" w:color="auto"/>
                                <w:bottom w:val="none" w:sz="0" w:space="0" w:color="auto"/>
                                <w:right w:val="none" w:sz="0" w:space="0" w:color="auto"/>
                              </w:divBdr>
                            </w:div>
                            <w:div w:id="1504978000">
                              <w:marLeft w:val="0"/>
                              <w:marRight w:val="0"/>
                              <w:marTop w:val="0"/>
                              <w:marBottom w:val="0"/>
                              <w:divBdr>
                                <w:top w:val="none" w:sz="0" w:space="0" w:color="auto"/>
                                <w:left w:val="none" w:sz="0" w:space="0" w:color="auto"/>
                                <w:bottom w:val="none" w:sz="0" w:space="0" w:color="auto"/>
                                <w:right w:val="none" w:sz="0" w:space="0" w:color="auto"/>
                              </w:divBdr>
                            </w:div>
                            <w:div w:id="17361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bay.gov.uk/CIL" TargetMode="External"/><Relationship Id="rId18" Type="http://schemas.openxmlformats.org/officeDocument/2006/relationships/hyperlink" Target="http://www.torbay.gov.uk/CI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lanningportal.gov.uk" TargetMode="External"/><Relationship Id="rId17" Type="http://schemas.openxmlformats.org/officeDocument/2006/relationships/hyperlink" Target="https://www.planningportal.co.uk/info/200126/applications/70/community_infrastructure_levy/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nningportal.gov.uk/planning/applications/howtoapply/whattosubmit/ci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nningguidance.planningportal.gov.uk/blog/guidance/community-infrastructure-levy/" TargetMode="External"/><Relationship Id="rId23" Type="http://schemas.openxmlformats.org/officeDocument/2006/relationships/header" Target="header1.xml"/><Relationship Id="rId10" Type="http://schemas.openxmlformats.org/officeDocument/2006/relationships/hyperlink" Target="mailto:future.planning@torbay.gov.uk"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torbay.gov.uk/CIL" TargetMode="External"/><Relationship Id="rId14" Type="http://schemas.openxmlformats.org/officeDocument/2006/relationships/hyperlink" Target="http://www.pas.gov.uk/community-infrastructure-levy"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sr009\AppData\Local\Microsoft\Windows\Temporary%20Internet%20Files\Content.Outlook\1ZQODR1Y\3239_local%20plan%20template.dotx" TargetMode="External"/></Relationships>
</file>

<file path=word/theme/theme1.xml><?xml version="1.0" encoding="utf-8"?>
<a:theme xmlns:a="http://schemas.openxmlformats.org/drawingml/2006/main" name="council theme">
  <a:themeElements>
    <a:clrScheme name="Custom 2">
      <a:dk1>
        <a:srgbClr val="672080"/>
      </a:dk1>
      <a:lt1>
        <a:sysClr val="window" lastClr="FFFFFF"/>
      </a:lt1>
      <a:dk2>
        <a:srgbClr val="004489"/>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8C708B-ACC9-41C5-A2E9-D6D188CD1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3239_local plan template</Template>
  <TotalTime>4</TotalTime>
  <Pages>14</Pages>
  <Words>3327</Words>
  <Characters>18969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22252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stsr009</dc:creator>
  <cp:lastModifiedBy>Pickhaver, David</cp:lastModifiedBy>
  <cp:revision>3</cp:revision>
  <cp:lastPrinted>2017-03-06T10:45:00Z</cp:lastPrinted>
  <dcterms:created xsi:type="dcterms:W3CDTF">2020-10-19T13:53:00Z</dcterms:created>
  <dcterms:modified xsi:type="dcterms:W3CDTF">2020-10-19T13:56:00Z</dcterms:modified>
</cp:coreProperties>
</file>